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In this study, we performed current source density analysis of chronic laminar local field potential (LFP) recorded from the anterior frontal field A (</w:t>
      </w:r>
      <w:proofErr w:type="spellStart"/>
      <w:r>
        <w:rPr>
          <w:rFonts w:cs="Arial"/>
        </w:rPr>
        <w:t>FrA</w:t>
      </w:r>
      <w:proofErr w:type="spellEnd"/>
      <w:r>
        <w:rPr>
          <w:rFonts w:cs="Arial"/>
        </w:rPr>
        <w:t xml:space="preserve">) of awake behaving Mongolian gerbils (Meriones </w:t>
      </w:r>
      <w:r>
        <w:rPr>
          <w:rFonts w:cs="Arial"/>
          <w:i/>
        </w:rPr>
        <w:t>unguiculatus</w:t>
      </w:r>
      <w:r>
        <w:rPr>
          <w:rFonts w:cs="Arial"/>
        </w:rPr>
        <w:t>). The goal was to capture the layer specific, spatiotemporal population activity at a mesoscopic scale. Animals (n=5) were made to perform a probabilistic foraging task where they learn to either exploit a food resource or explore an alternative option. A series of continuous foraging sessions with electrophysiological recordings from frontal field A allowed us to investigate the frontal activity patterns involved in decision making during an exploitation/exploration dilemma.</w:t>
      </w:r>
    </w:p>
    <w:p>
      <w:pPr>
        <w:pStyle w:val="Heading2"/>
      </w:pPr>
      <w:r>
        <w:t>Neural recordings from frontal region A (FrA)</w:t>
      </w:r>
    </w:p>
    <w:p>
      <w:r>
        <w:t>Chronic in vivo electrophysiology data were recorded using a 32 multichannel laminar electrode (</w:t>
      </w:r>
      <w:proofErr w:type="spellStart"/>
      <w:r>
        <w:rPr>
          <w:sz w:val="23"/>
          <w:szCs w:val="23"/>
        </w:rPr>
        <w:t>Neuronexus</w:t>
      </w:r>
      <w:proofErr w:type="spellEnd"/>
      <w:r>
        <w:rPr>
          <w:sz w:val="23"/>
          <w:szCs w:val="23"/>
        </w:rPr>
        <w:t xml:space="preserve">, </w:t>
      </w:r>
      <w:r>
        <w:rPr>
          <w:sz w:val="23"/>
          <w:szCs w:val="23"/>
          <w:highlight w:val="yellow"/>
        </w:rPr>
        <w:t>A1</w:t>
      </w:r>
      <w:r>
        <w:rPr>
          <w:sz w:val="23"/>
          <w:szCs w:val="23"/>
        </w:rPr>
        <w:t>x32-6 mm-50-177_H32_21mm</w:t>
      </w:r>
      <w:r>
        <w:t xml:space="preserve">), while the gerbils perform the probabilistic foraging task. The electrode was surgically implanted into the </w:t>
      </w:r>
      <w:proofErr w:type="spellStart"/>
      <w:r>
        <w:t>FrA</w:t>
      </w:r>
      <w:proofErr w:type="spellEnd"/>
      <w:r>
        <w:t xml:space="preserve"> region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w:t>
      </w:r>
      <w:proofErr w:type="spellStart"/>
      <w:r>
        <w:t>Kentaroh</w:t>
      </w:r>
      <w:proofErr w:type="spellEnd"/>
      <w:r>
        <w:t xml:space="preserve"> </w:t>
      </w:r>
      <w:proofErr w:type="spellStart"/>
      <w:r>
        <w:t>Takagaki</w:t>
      </w:r>
      <w:proofErr w:type="spellEnd"/>
      <w:r>
        <w:t xml:space="preserve"> at the SPL Department – LIN, based on </w:t>
      </w:r>
      <w:proofErr w:type="spellStart"/>
      <w:r>
        <w:t>Seto</w:t>
      </w:r>
      <w:proofErr w:type="spellEnd"/>
      <w:r>
        <w:t>-Ohshima et al., 1992) took place before the surgery. Only the animals that did not show epileptic seizure during the screening test were included for the study.</w:t>
      </w:r>
    </w:p>
    <w:p>
      <w:pPr>
        <w:pStyle w:val="Heading3"/>
        <w:ind w:left="709"/>
      </w:pPr>
      <w:r>
        <w:lastRenderedPageBreak/>
        <w:t>Experimental setup</w:t>
      </w:r>
    </w:p>
    <w:p>
      <w:pPr>
        <w:keepNext/>
        <w:jc w:val="center"/>
      </w:pPr>
      <w:r>
        <w:rPr>
          <w:noProof/>
        </w:rPr>
        <w:drawing>
          <wp:inline distT="0" distB="0" distL="0" distR="0">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lang w:val="en-DE"/>
        </w:rPr>
        <w:t xml:space="preserve">Schematic representation of the </w:t>
      </w:r>
      <w:r>
        <w:rPr>
          <w:b/>
          <w:bCs/>
          <w:i w:val="0"/>
          <w:color w:val="auto"/>
          <w:sz w:val="20"/>
          <w:lang w:val="en-US"/>
        </w:rPr>
        <w:t>behavioural</w:t>
      </w:r>
      <w:r>
        <w:rPr>
          <w:b/>
          <w:bCs/>
          <w:i w:val="0"/>
          <w:color w:val="auto"/>
          <w:sz w:val="20"/>
          <w:lang w:val="en-DE"/>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The foraging box (</w:t>
      </w:r>
      <w:r>
        <w:rPr>
          <w:i w:val="0"/>
          <w:color w:val="auto"/>
          <w:sz w:val="20"/>
          <w:lang w:val="en-US"/>
        </w:rPr>
        <w:t>37cm x 26cm x 48cm</w:t>
      </w:r>
      <w:r>
        <w:rPr>
          <w:i w:val="0"/>
          <w:color w:val="auto"/>
          <w:sz w:val="20"/>
          <w:lang w:val="en-US"/>
        </w:rPr>
        <w:t xml:space="preserve">)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proofErr w:type="spellStart"/>
      <w:r>
        <w:rPr>
          <w:iCs w:val="0"/>
          <w:color w:val="auto"/>
          <w:sz w:val="20"/>
          <w:lang w:val="en-US"/>
        </w:rPr>
        <w:t>Lottem</w:t>
      </w:r>
      <w:proofErr w:type="spellEnd"/>
      <w:r>
        <w:rPr>
          <w:iCs w:val="0"/>
          <w:color w:val="auto"/>
          <w:sz w:val="20"/>
          <w:lang w:val="en-US"/>
        </w:rPr>
        <w:t xml:space="preserve">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pPr>
        <w:rPr>
          <w:rFonts w:cs="Arial"/>
        </w:rPr>
      </w:pPr>
      <w:r>
        <w:rPr>
          <w:rFonts w:cs="Arial"/>
        </w:rPr>
        <w:t>The foraging box (</w:t>
      </w:r>
      <w:bookmarkStart w:id="0" w:name="_Hlk152850319"/>
      <w:r>
        <w:rPr>
          <w:rFonts w:cs="Arial"/>
        </w:rPr>
        <w:t>37cm x 26cm x 48cm</w:t>
      </w:r>
      <w:bookmarkEnd w:id="0"/>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according to Eq.1. he starting probability was selected randomly from the given three different possibilities (Fig.1C). The generated digital reward outcome (1 – reward; 0 – no reward) based on the reward probability was converted into an analog signal by a DAC (Arduino) and </w:t>
      </w:r>
      <w:r>
        <w:rPr>
          <w:rFonts w:cs="Arial"/>
        </w:rPr>
        <w:lastRenderedPageBreak/>
        <w:t>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(20-fold gain, HST/32V-G20, </w:t>
      </w:r>
      <w:commentRangeStart w:id="1"/>
      <w:proofErr w:type="spellStart"/>
      <w:r>
        <w:rPr>
          <w:rFonts w:cs="Arial"/>
          <w:highlight w:val="yellow"/>
        </w:rPr>
        <w:t>Plexon</w:t>
      </w:r>
      <w:proofErr w:type="spellEnd"/>
      <w:r>
        <w:rPr>
          <w:rFonts w:cs="Arial"/>
        </w:rPr>
        <w:t xml:space="preserve"> </w:t>
      </w:r>
      <w:commentRangeEnd w:id="1"/>
      <w:r>
        <w:rPr>
          <w:rStyle w:val="CommentReference"/>
        </w:rPr>
        <w:commentReference w:id="1"/>
      </w:r>
      <w:r>
        <w:rPr>
          <w:rFonts w:cs="Arial"/>
        </w:rPr>
        <w:t>Inc.)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broad band filter (</w:t>
      </w:r>
      <w:commentRangeStart w:id="2"/>
      <w:r>
        <w:rPr>
          <w:rFonts w:cs="Arial"/>
          <w:highlight w:val="yellow"/>
        </w:rPr>
        <w:t>range</w:t>
      </w:r>
      <w:commentRangeEnd w:id="2"/>
      <w:r>
        <w:rPr>
          <w:rStyle w:val="CommentReference"/>
        </w:rPr>
        <w:commentReference w:id="2"/>
      </w:r>
      <w:r>
        <w:rPr>
          <w:rFonts w:cs="Arial"/>
        </w:rPr>
        <w:t>)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w:t>
      </w:r>
      <w:proofErr w:type="spellStart"/>
      <w:r>
        <w:t>Lottem</w:t>
      </w:r>
      <w:proofErr w:type="spellEnd"/>
      <w:r>
        <w:t xml:space="preserve">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w:t>
      </w:r>
      <w:proofErr w:type="gramStart"/>
      <w:r>
        <w:t xml:space="preserve">   (</w:t>
      </w:r>
      <w:proofErr w:type="gramEnd"/>
      <w:r>
        <w:t>1)</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xml:space="preserve">, and A3) were randomly ordered and the trial type was not cued to the animal. In order to obtain more trials within a session and to maintain </w:t>
      </w:r>
      <w:r>
        <w:lastRenderedPageBreak/>
        <w:t>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t>There were no prior training sessions for the animals. They directly started the foraging session and learnt the behaviour over the course of time. Each session lasted a maximum of 30 minutes.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R2022b) using our custom written script.</w:t>
      </w:r>
    </w:p>
    <w:p>
      <w:pPr>
        <w:pStyle w:val="Heading3"/>
        <w:spacing w:after="240"/>
        <w:ind w:left="709"/>
      </w:pPr>
      <w:r>
        <w:t>Data storage and analysis pipeline</w:t>
      </w:r>
    </w:p>
    <w:p>
      <w:pPr>
        <w:keepNext/>
        <w:jc w:val="center"/>
      </w:pPr>
      <w:r>
        <w:rPr>
          <w:noProof/>
        </w:rPr>
        <w:drawing>
          <wp:inline distT="0" distB="0" distL="0" distR="0">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w:t>
      </w:r>
      <w:r>
        <w:rPr>
          <w:b/>
          <w:i w:val="0"/>
          <w:color w:val="auto"/>
          <w:sz w:val="20"/>
        </w:rPr>
        <w:t xml:space="preserve">Schematic representation of the data analysis pipeline. </w:t>
      </w:r>
      <w:r>
        <w:rPr>
          <w:bCs/>
          <w:i w:val="0"/>
          <w:color w:val="auto"/>
          <w:sz w:val="20"/>
        </w:rPr>
        <w:t xml:space="preserve">The raw laminar local field potentials are pre-processed for artefact correction and channel rectification. The pre-processed LFP is then transformed into its respective current source profile by applying a second spatial derivative. Finally, the signals from current source profiles are rectified and averaged across the channels to obtain the overall cortical activity. </w:t>
      </w:r>
    </w:p>
    <w:p>
      <w:r>
        <w:lastRenderedPageBreak/>
        <w:t xml:space="preserve">For each foraging session, the raw behaviour data was acquired as both “.csv” and </w:t>
      </w:r>
      <w:proofErr w:type="gramStart"/>
      <w:r>
        <w:t>“.mat</w:t>
      </w:r>
      <w:proofErr w:type="gramEnd"/>
      <w:r>
        <w:t xml:space="preserve">” format while the raw electrophysiological data was acquired in “.dat”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t>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visualized and manually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pPr>
        <w:pStyle w:val="Heading3"/>
        <w:spacing w:after="240"/>
        <w:ind w:left="709"/>
      </w:pPr>
      <w:r>
        <w:t>Current source density (CSD) analysis</w:t>
      </w:r>
    </w:p>
    <w:p>
      <w:r>
        <w:t>The CSD profile was computed from the laminar LFPs by taking a second spatial derivative as shown in equation (2).</w:t>
      </w:r>
    </w:p>
    <w:p>
      <w:pPr>
        <w:jc w:val="right"/>
      </w:pPr>
      <w:r>
        <w:rPr>
          <w:noProof/>
        </w:rPr>
        <w:drawing>
          <wp:anchor distT="0" distB="0" distL="114300" distR="114300" simplePos="0" relativeHeight="251658240" behindDoc="1" locked="0" layoutInCell="1" allowOverlap="1">
            <wp:simplePos x="0" y="0"/>
            <wp:positionH relativeFrom="column">
              <wp:posOffset>1141108</wp:posOffset>
            </wp:positionH>
            <wp:positionV relativeFrom="paragraph">
              <wp:posOffset>-183</wp:posOffset>
            </wp:positionV>
            <wp:extent cx="3289012" cy="473846"/>
            <wp:effectExtent l="0" t="0" r="6985" b="254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9012" cy="473846"/>
                    </a:xfrm>
                    <a:prstGeom prst="rect">
                      <a:avLst/>
                    </a:prstGeom>
                  </pic:spPr>
                </pic:pic>
              </a:graphicData>
            </a:graphic>
          </wp:anchor>
        </w:drawing>
      </w:r>
      <w:r>
        <w:t>(2)</w:t>
      </w:r>
    </w:p>
    <w:p>
      <w:pPr>
        <w:rPr>
          <w:rFonts w:cs="Arial"/>
        </w:rPr>
      </w:pPr>
    </w:p>
    <w:p>
      <w:pPr>
        <w:rPr>
          <w:rFonts w:cs="Arial"/>
        </w:rPr>
      </w:pPr>
      <w:r>
        <w:rPr>
          <w:rFonts w:cs="Arial"/>
        </w:rPr>
        <w:lastRenderedPageBreak/>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1985). LFP 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w:t>
      </w:r>
      <w:proofErr w:type="spellStart"/>
      <w:r>
        <w:rPr>
          <w:rFonts w:cs="Arial"/>
        </w:rPr>
        <w:t>Mitzdorf</w:t>
      </w:r>
      <w:proofErr w:type="spellEnd"/>
      <w:r>
        <w:rPr>
          <w:rFonts w:cs="Arial"/>
        </w:rPr>
        <w:t>, 1985, Happel et al., 2010a)</w:t>
      </w:r>
      <w:r>
        <w:t xml:space="preserve">. </w:t>
      </w:r>
    </w:p>
    <w:p>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3.</w:t>
      </w:r>
    </w:p>
    <w:p>
      <w:pPr>
        <w:jc w:val="center"/>
        <w:rPr>
          <w:b/>
        </w:rPr>
      </w:pPr>
      <w:r>
        <w:rPr>
          <w:b/>
        </w:rPr>
        <w:t>Equation from Marina’s thesis</w:t>
      </w:r>
    </w:p>
    <w:p>
      <w:r>
        <w:t>N is the number of recording channels and t is the time. The AVREC represents the temporal profile of the whole columnar activity (reference from Marina’s thesis).</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w:t>
      </w:r>
      <w:r>
        <w:t>Typically, the first response is assumed to mark the infragranular layer V</w:t>
      </w:r>
      <w:r>
        <w:t xml:space="preserve"> (reference)</w:t>
      </w:r>
      <w:r>
        <w:t>.</w:t>
      </w:r>
      <w:r>
        <w:t xml:space="preserve"> Upon identifying the infragranular layers, the granular and supragranular </w:t>
      </w:r>
      <w:r>
        <w:lastRenderedPageBreak/>
        <w:t xml:space="preserve">layers are identified and confirmed based on the electrode depth in the cortex retrieved from histology slides (Fig). </w:t>
      </w:r>
    </w:p>
    <w:p>
      <w:r>
        <w:t xml:space="preserve">Early (0-100 ms) and late phases (100-500 ms) from the end of the poke were identified within the time-locked the CSD and AVREC (-1 to +2 seconds) that could best separate the encoding of expectation and evaluation of reward respectively. Analyses were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r>
        <w:t xml:space="preserve">Further. to study the activity profiles at layer specific level, the sources were removed and only the sinks were considered </w:t>
      </w:r>
      <w:r>
        <w:t>to ensure that the signal is contributed only by layer specific local excitatory synaptic populations</w:t>
      </w:r>
      <w:r>
        <w:t xml:space="preserve"> and eliminate the contribution of return currents from other cortical layers. Three channels that best represents the layer activity was taken and the RMS was computed for the average rectified sinks for each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data was z-normalized across pokes.</w:t>
      </w:r>
    </w:p>
    <w:sectPr>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ishal Kannan" w:date="2023-12-08T13:49:00Z" w:initials="VK">
    <w:p>
      <w:pPr>
        <w:pStyle w:val="CommentText"/>
      </w:pPr>
      <w:r>
        <w:rPr>
          <w:rStyle w:val="CommentReference"/>
        </w:rPr>
        <w:annotationRef/>
      </w:r>
      <w:r>
        <w:t xml:space="preserve">Have to confirm this. Parthiban uses INTAN and the pre-amp is also from INTAN.  But </w:t>
      </w:r>
      <w:proofErr w:type="spellStart"/>
      <w:r>
        <w:t>Plexon</w:t>
      </w:r>
      <w:proofErr w:type="spellEnd"/>
      <w:r>
        <w:t xml:space="preserve"> is something Marina used in her thesis. Parthiban is not sure about this. </w:t>
      </w:r>
    </w:p>
  </w:comment>
  <w:comment w:id="2" w:author="Vishal Kannan" w:date="2023-12-08T13:50:00Z" w:initials="VK">
    <w:p>
      <w:pPr>
        <w:pStyle w:val="CommentText"/>
      </w:pPr>
      <w:r>
        <w:rPr>
          <w:rStyle w:val="CommentReference"/>
        </w:rPr>
        <w:annotationRef/>
      </w:r>
      <w:r>
        <w:t>The range in the INTAN system config says 0.1Hz to 12 kHz. 12 kHz is something I find too high for LFP signals. So, need to confirm this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68</cp:revision>
  <dcterms:created xsi:type="dcterms:W3CDTF">2023-12-06T13:47:00Z</dcterms:created>
  <dcterms:modified xsi:type="dcterms:W3CDTF">2023-12-08T15:38:00Z</dcterms:modified>
</cp:coreProperties>
</file>