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ind w:left="426" w:hanging="426"/>
        <w:rPr>
          <w:rFonts w:cs="Arial"/>
        </w:rPr>
      </w:pPr>
      <w:r>
        <w:rPr>
          <w:rFonts w:cs="Arial"/>
        </w:rPr>
        <w:t>Materials and methods</w:t>
      </w:r>
    </w:p>
    <w:p>
      <w:pPr>
        <w:rPr>
          <w:rFonts w:cs="Arial"/>
        </w:rPr>
      </w:pPr>
      <w:r>
        <w:rPr>
          <w:rFonts w:cs="Arial"/>
        </w:rPr>
        <w:t xml:space="preserve">In this study, we performed current source density analysis of chronic laminar local field potential (LFP) recorded from the anterior frontal field A (FrA) of awake behaving Mongolian gerbils (Meriones </w:t>
      </w:r>
      <w:r>
        <w:rPr>
          <w:rFonts w:cs="Arial"/>
          <w:i/>
        </w:rPr>
        <w:t>unguiculatus</w:t>
      </w:r>
      <w:r>
        <w:rPr>
          <w:rFonts w:cs="Arial"/>
        </w:rPr>
        <w:t>). The goal was to capture the layer specific, spatiotemporal population activity at a mesoscopic scale. Animals (n=5) were made to perform a probabilistic foraging task where they learn to either exploit a food resource or explore an alternative option. A series of continuous foraging sessions allowed us to investigate the frontal cortical dynamics involved in decision making during an exploitation/exploration dilemma.</w:t>
      </w:r>
    </w:p>
    <w:p>
      <w:pPr>
        <w:pStyle w:val="Heading2"/>
      </w:pPr>
      <w:r>
        <w:t>Neural recordings from frontal region A (FrA)</w:t>
      </w:r>
    </w:p>
    <w:p>
      <w:r>
        <w:t>Chronic in vivo electrophysiology data were recorded using a 32 multichannel laminar electrode (Dimensions, Neuronexus), while the gerbils perform the probabilistic foraging task. The electrode was surgically implanted into the FrA region (5mm anterior to Bregma, 1.5 mm lateral to lambda). Animals were allowed to recover for at least one week post-surgery before starting the first foraging session. As gerbils have a genetic tendency to develop epileptic seizures, a 3-day behavioural screening protocol (established by Gonzalo Arias Gil and Dr. Kentaroh Takagaki at the SPL Department  - LIN, based on Seto-Ohshima et al., 1992) took place before the surgery (not before experiments?). Only the animals that did not show epileptic seizure during the screening test were included for the study.</w:t>
      </w:r>
    </w:p>
    <w:p>
      <w:pPr>
        <w:pStyle w:val="Heading3"/>
        <w:ind w:left="709"/>
      </w:pPr>
      <w:r>
        <w:lastRenderedPageBreak/>
        <w:t>Experimental setup</w:t>
      </w:r>
    </w:p>
    <w:p>
      <w:pPr>
        <w:keepNext/>
        <w:jc w:val="center"/>
      </w:pPr>
      <w:r>
        <w:rPr>
          <w:noProof/>
        </w:rPr>
        <w:drawing>
          <wp:inline distT="0" distB="0" distL="0" distR="0">
            <wp:extent cx="5760720"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Data analysis pipeline</w:t>
      </w:r>
    </w:p>
    <w:p>
      <w:pPr>
        <w:rPr>
          <w:rFonts w:cs="Arial"/>
        </w:rPr>
      </w:pPr>
      <w:r>
        <w:rPr>
          <w:rFonts w:cs="Arial"/>
        </w:rPr>
        <w:t>The foraging cage (or box?) (Dimensions, company?) was placed in a chamber that is electrically and acoustically shielded. It contained two spouts on the right and left side and each spout had an infrared (IR) emitter/sensor pair on the sides to detect the nose poke. Each spout was attached to a food dispenser (Campden Instruments Ltd., USA) placed outside the foraging cage (Fig).</w:t>
      </w:r>
    </w:p>
    <w:p>
      <w:pPr>
        <w:rPr>
          <w:rFonts w:cs="Arial"/>
        </w:rPr>
      </w:pPr>
      <w:r>
        <w:rPr>
          <w:rFonts w:cs="Arial"/>
        </w:rPr>
        <w:t>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following probabilities of reward was generated in MATLAB. The generated digital reward outcome (1 – reward; 0 – no reward) based on the reward probability was converted into an analog signal by a DAC (Arduino) and 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pPr>
        <w:rPr>
          <w:rFonts w:cs="Arial"/>
        </w:rPr>
      </w:pPr>
      <w:r>
        <w:rPr>
          <w:rFonts w:cs="Arial"/>
        </w:rPr>
        <w:t xml:space="preserve">Multichannel electrophysiology recordings were performed after connecting the head connector of the implanted electrode to the preamplifier (20 fold gain, </w:t>
      </w:r>
      <w:r>
        <w:rPr>
          <w:rFonts w:cs="Arial"/>
          <w:highlight w:val="yellow"/>
        </w:rPr>
        <w:t>bandpass</w:t>
      </w:r>
      <w:r>
        <w:rPr>
          <w:rFonts w:cs="Arial"/>
        </w:rPr>
        <w:t xml:space="preserve"> filtered, HST/32V-G20, Plexon Inc.) which in turn is connected to a data acquisition </w:t>
      </w:r>
      <w:r>
        <w:rPr>
          <w:rFonts w:cs="Arial"/>
        </w:rPr>
        <w:lastRenderedPageBreak/>
        <w:t>system (INTAN ##). The electric cable was covered by a metal mesh for bite protection. Tension of the cable was relieved by a spring and a commutator that allows rotation and free movement of the animal inside the cage. Broadband LFPs were acquired using a low pass filter (range) and sampled at 30 kHz. Proper grounding of the animal through its common ground was ensured to avoid ground loops between recording system, foraging cage and the animal.</w:t>
      </w:r>
    </w:p>
    <w:p>
      <w:pPr>
        <w:pStyle w:val="Heading2"/>
      </w:pPr>
      <w:r>
        <w:t>Probabilistic foraging paradigm</w:t>
      </w:r>
    </w:p>
    <w:p>
      <w:pPr>
        <w:spacing w:before="240"/>
      </w:pPr>
      <w:r>
        <w:t xml:space="preserve">The probabilistic foraging task was adapted from Lottem et al., 2018 in which the gerbils learn to do a nose poking behaviour to obtain rewards. Every foraging session consists of N trials, with each trial comprising a sequence of nose pokes. Each individual nose poke has a probability of being rewarded with a 20 mg food pellet. The reward probability for consequent pokes within a trial decreased exponentially forcing the gerbil to alternate between the spouts, thereby introducing the exploitation-exploration dilemma. Only the pokes that lasted for at least 100 ms were assigned as hit pokes and followed the reward probability rule. The error pokes (poke duration &lt; 100 ms) were unrewarded. </w:t>
      </w:r>
    </w:p>
    <w:p>
      <w:r>
        <w:t>Three different reward starting probabilities were used that followed the exponentially decreasing trend according to equation (1).</w:t>
      </w:r>
    </w:p>
    <w:p>
      <w:pPr>
        <w:jc w:val="center"/>
        <w:rPr>
          <w:vertAlign w:val="superscript"/>
        </w:rPr>
      </w:pPr>
      <w:r>
        <w:t>P (O</w:t>
      </w:r>
      <w:r>
        <w:rPr>
          <w:vertAlign w:val="subscript"/>
        </w:rPr>
        <w:t>n</w:t>
      </w:r>
      <w:r>
        <w:t xml:space="preserve"> = 1|ti) = A</w:t>
      </w:r>
      <w:r>
        <w:rPr>
          <w:vertAlign w:val="subscript"/>
        </w:rPr>
        <w:t xml:space="preserve">i </w:t>
      </w:r>
      <w:r>
        <w:t>e</w:t>
      </w:r>
      <w:r>
        <w:rPr>
          <w:vertAlign w:val="superscript"/>
        </w:rPr>
        <w:t>-(n-1)/5</w:t>
      </w:r>
    </w:p>
    <w:p>
      <w:r>
        <w:t>Where t</w:t>
      </w:r>
      <w:r>
        <w:rPr>
          <w:vertAlign w:val="subscript"/>
        </w:rPr>
        <w:t>i</w:t>
      </w:r>
      <w:r>
        <w:t xml:space="preserve"> is the i</w:t>
      </w:r>
      <w:r>
        <w:rPr>
          <w:vertAlign w:val="superscript"/>
        </w:rPr>
        <w:t>th</w:t>
      </w:r>
      <w:r>
        <w:t xml:space="preserve"> trial type (i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O</w:t>
      </w:r>
      <w:r>
        <w:rPr>
          <w:vertAlign w:val="subscript"/>
        </w:rPr>
        <w:t>n</w:t>
      </w:r>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and A3) were randomly ordered and the trial type was not cued to the animal. In order to obtain more trials within a session and to maintain 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r>
        <w:lastRenderedPageBreak/>
        <w:t>There were no prior training sessions for the animals. They directly started the foraging session and learnt the behaviour over the course of time. Each session lasted a maximum of 30 minutes in which the gerbil performed an average of ## trials, gaining an average of ## rewards per trial. There was a total of 20 sessions per animal that was performed continuously without any break. The behaviour of the gerbil was consistent throughout the session.</w:t>
      </w:r>
    </w:p>
    <w:p>
      <w:pPr>
        <w:pStyle w:val="Heading2"/>
      </w:pPr>
      <w:r>
        <w:t>Data analyses</w:t>
      </w:r>
    </w:p>
    <w:p>
      <w:pPr>
        <w:spacing w:before="240"/>
      </w:pPr>
      <w:r>
        <w:t>All the pre-processing and analyses were performed in MATLAB (MathWorks 2022b) using our custom written script.</w:t>
      </w:r>
    </w:p>
    <w:p>
      <w:pPr>
        <w:pStyle w:val="Heading3"/>
        <w:spacing w:after="240"/>
        <w:ind w:left="709"/>
      </w:pPr>
      <w:r>
        <w:t>Data storage and analysis pipeline</w:t>
      </w:r>
    </w:p>
    <w:p>
      <w:pPr>
        <w:keepNext/>
        <w:jc w:val="center"/>
      </w:pPr>
      <w:r>
        <w:rPr>
          <w:noProof/>
        </w:rPr>
        <w:drawing>
          <wp:inline distT="0" distB="0" distL="0" distR="0">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w:t>
      </w:r>
      <w:r>
        <w:rPr>
          <w:b/>
          <w:i w:val="0"/>
          <w:color w:val="auto"/>
          <w:sz w:val="20"/>
        </w:rPr>
        <w:t>Data analysis pipeline</w:t>
      </w:r>
    </w:p>
    <w:p>
      <w:r>
        <w:t xml:space="preserve">For each foraging session, the raw behaviour data was acquired as both “.csv” and “.mat” format while the raw electrophysiological data was acquired in “.dat”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three dimensional matrix (channels x samples x trials) containing the spatial (channel) and temporal (samples) information for each trial. </w:t>
      </w:r>
    </w:p>
    <w:p>
      <w:r>
        <w:lastRenderedPageBreak/>
        <w:t>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CSDs and AVRECs.</w:t>
      </w:r>
    </w:p>
    <w:p>
      <w:pPr>
        <w:pStyle w:val="Heading3"/>
        <w:spacing w:after="240"/>
        <w:ind w:left="709"/>
      </w:pPr>
      <w:r>
        <w:t>Pre-processing</w:t>
      </w:r>
    </w:p>
    <w:p>
      <w:r>
        <w:t xml:space="preserve">Trial wise session data were analyzed to remove motion and chewing artefacts from the LFP using an amplitude cut-off factor (Threshold = mean </w:t>
      </w:r>
      <w:r>
        <w:rPr>
          <w:rFonts w:cs="Arial"/>
        </w:rPr>
        <w:t>±</w:t>
      </w:r>
      <w:r>
        <w:t xml:space="preserve"> 2 *standard deviation).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visualized and manually corrected, the current source density profile for each trial were re-obtained and averaged per session. The artefact corrected and channel interpolated data was exported as a data container consisting of session averaged LFPs and CSDs for separate epochs of interest.</w:t>
      </w:r>
    </w:p>
    <w:p>
      <w:pPr>
        <w:pStyle w:val="Heading3"/>
        <w:spacing w:after="240"/>
        <w:ind w:left="709"/>
      </w:pPr>
      <w:r>
        <w:t>Behaviour analysis</w:t>
      </w:r>
    </w:p>
    <w:p>
      <w:pPr>
        <w:pStyle w:val="Heading3"/>
        <w:spacing w:after="240"/>
        <w:ind w:left="709"/>
      </w:pPr>
      <w:r>
        <w:t>Current source density (CSD) analysis</w:t>
      </w:r>
    </w:p>
    <w:p>
      <w:r>
        <w:t>The CSD profile was computed from the laminar LFPs by taking a second spatial derivative as shown in equation (2).</w:t>
      </w:r>
    </w:p>
    <w:p>
      <w:pPr>
        <w:jc w:val="center"/>
        <w:rPr>
          <w:b/>
        </w:rPr>
      </w:pPr>
      <w:r>
        <w:rPr>
          <w:b/>
        </w:rPr>
        <w:t>Equation from Marina’s thesis</w:t>
      </w:r>
    </w:p>
    <w:p>
      <w:pPr>
        <w:rPr>
          <w:rFonts w:cs="Arial"/>
        </w:rPr>
      </w:pPr>
      <w:r>
        <w:rPr>
          <w:rFonts w:cs="Arial"/>
        </w:rPr>
        <w:t>Φ is the field potential, z is the spatial coordinate perpendicular to the cortical laminae, Δz is the spatial sampling interval, and n is the differential grid (Mitzdorf, 1985). LFP signals were smoothed using a Hamming window of 9 channels that corresponds to a spatial kernel filter of 400 µm (Happel et al., 2010a).</w:t>
      </w:r>
    </w:p>
    <w:p>
      <w:r>
        <w:t xml:space="preserve">CSD reflects the net amplitude of extracellular current flowing in (sinks) or out (source) of the neuronal tissue at a given point in time and space. Functionally, the current sinks represents the activation of excitatory synaptic populations while the source mainly represent the balancing return currents. This local functional spatiotemporal map of synaptic populations allows us to identify cortical layers by visualizing the </w:t>
      </w:r>
      <w:r>
        <w:lastRenderedPageBreak/>
        <w:t xml:space="preserve">spatiotemporal sequence of neuronal activation across the layers </w:t>
      </w:r>
      <w:r>
        <w:rPr>
          <w:rFonts w:cs="Arial"/>
        </w:rPr>
        <w:t>(Mitzdorf, 1985, Happel et al., 2010a)</w:t>
      </w:r>
      <w:r>
        <w:t xml:space="preserve">. </w:t>
      </w:r>
    </w:p>
    <w:p>
      <w:r>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r>
        <w:t>In order to get an overall columnar activity, the CSD profiles were transformed by averaging the rectified waveforms of each channel according to equation 3.</w:t>
      </w:r>
    </w:p>
    <w:p>
      <w:pPr>
        <w:jc w:val="center"/>
        <w:rPr>
          <w:b/>
        </w:rPr>
      </w:pPr>
      <w:r>
        <w:rPr>
          <w:b/>
        </w:rPr>
        <w:t>Equation from Marina’s thesis</w:t>
      </w:r>
    </w:p>
    <w:p>
      <w:r>
        <w:t>N is the number of recording channels and t is the time. The AVREC represents the temporal profile of the whole columnar activity (reference from Marina’s thesis).</w:t>
      </w:r>
    </w:p>
    <w:p>
      <w:pPr>
        <w:pStyle w:val="Heading3"/>
        <w:spacing w:after="240"/>
        <w:ind w:left="709"/>
      </w:pPr>
      <w:r>
        <w:t>Feature extraction</w:t>
      </w:r>
    </w:p>
    <w:p>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Therefore, we time-locked (-1 to +2 seconds) the CSD profile to the end of a poke and compared it between two different conditions (with and without reward) in order to identify the reward/ prediction error response respectively in certain cortical layers. </w:t>
      </w:r>
      <w:r>
        <w:t>Typically, the first response is assumed to mark the infragranular layer V</w:t>
      </w:r>
      <w:r>
        <w:t xml:space="preserve"> (reference)</w:t>
      </w:r>
      <w:r>
        <w:t>.</w:t>
      </w:r>
      <w:r>
        <w:t xml:space="preserve"> Upon identifying the infragranular layers, the granular and supragranular layers are identified and confirmed based on the electrode depth in the cortex retrieved from histology slides (Fig). </w:t>
      </w:r>
    </w:p>
    <w:p>
      <w:r>
        <w:t xml:space="preserve">Early (0-100 ms) and late phases (100-500 ms) from the end of the poke were identified within the time-locked the CSD and AVREC (-1 to +2 seconds) that could best separate the encoding of expectation and evaluation of reward respectively. Analyses were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r>
        <w:lastRenderedPageBreak/>
        <w:t xml:space="preserve">Further. to study the activity profiles at layer specific level, the sources were removed and only the sinks were considered </w:t>
      </w:r>
      <w:r>
        <w:t>to ensure that the signal is contributed only by layer specific local excitatory synaptic populations</w:t>
      </w:r>
      <w:r>
        <w:t xml:space="preserve"> and eliminate the contribution of return currents from other cortical layers. Three channels that best represents the layer activity was taken and the RMS was computed for the average rectified sinks for each at individual poke level.</w:t>
      </w:r>
    </w:p>
    <w:p>
      <w:pPr>
        <w:pStyle w:val="Heading3"/>
        <w:spacing w:after="240"/>
        <w:ind w:left="709"/>
      </w:pPr>
      <w:r>
        <w:t>Statistics</w:t>
      </w:r>
    </w:p>
    <w:p>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data was z-normalized across pokes.</w:t>
      </w:r>
    </w:p>
    <w:sectPr>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8</cp:revision>
  <dcterms:created xsi:type="dcterms:W3CDTF">2023-12-06T13:47:00Z</dcterms:created>
  <dcterms:modified xsi:type="dcterms:W3CDTF">2023-12-06T13:59:00Z</dcterms:modified>
</cp:coreProperties>
</file>