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8E44AD"/>
          <w:sz w:val="52"/>
          <w:szCs w:val="52"/>
        </w:rPr>
        <w:t xml:space="preserve">JP Morgan Chase APAC</w:t>
      </w:r>
    </w:p>
    <w:p>
      <w:pPr>
        <w:spacing w:after="100"/>
        <w:jc w:val="center"/>
      </w:pPr>
      <w:r>
        <w:rPr>
          <w:color w:val="2C3E50"/>
          <w:sz w:val="40"/>
          <w:szCs w:val="40"/>
        </w:rPr>
        <w:t xml:space="preserve">Head of Data &amp; AI Compliance</w:t>
      </w:r>
    </w:p>
    <w:p>
      <w:pPr>
        <w:spacing w:after="100"/>
        <w:jc w:val="center"/>
      </w:pPr>
      <w:r>
        <w:rPr>
          <w:color w:val="2C3E50"/>
          <w:sz w:val="36"/>
          <w:szCs w:val="36"/>
        </w:rPr>
        <w:t xml:space="preserve">Executive Director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Interview Preparation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Conduct and Operational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APAC (Singapore-based)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Executive Director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Interview Rounds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 Rounds (4-8 weeks)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Salary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SGD 450,000 - 650,000 Total Comp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8E44AD"/>
          <w:sz w:val="32"/>
          <w:szCs w:val="32"/>
        </w:rPr>
        <w:t xml:space="preserve">Key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 Governance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Oversee APAC AI laws compliance; develop policies; lead risk assessments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Privacy &amp;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PDPA, PIPL, APEC CBPR compliance; data protection oversight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Regulatory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Lead meetings with MAS, HKMA, ASIC; respond to examinations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ABS-MAS AI Roundtable, HKMA Working Groups, ASIFMA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Translate regulatory requirements into technical specifications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  <w:color w:val="8E44AD"/>
          <w:sz w:val="32"/>
          <w:szCs w:val="32"/>
        </w:rPr>
        <w:t xml:space="preserve">Required 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LLM Expertise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Architecture, prompt engineering, fine-tuning, safety mechanisms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Explainability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SHAP, LIME, AIF360 for fairness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Privacy Tech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Differential privacy, federated learning, anonymization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Governance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Catalogs, lineage tracking, quality 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APAC Regulations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 FEAT, HKMA BDAI, ASIC, PDPA, PIPL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8E44AD"/>
          <w:sz w:val="32"/>
          <w:szCs w:val="32"/>
        </w:rPr>
        <w:t xml:space="preserve">Interview Process (6 Rounds)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Interviewer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HR/Recruiter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Background, motivation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Hiring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Leadership, regulatory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CDAO/Tech Leaders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AI/ML deep dive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Regional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Regulatory, policy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Leadership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Stakeholder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Managing Director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 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Strategic vision, culture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  <w:color w:val="8E44AD"/>
          <w:sz w:val="32"/>
          <w:szCs w:val="32"/>
        </w:rPr>
        <w:t xml:space="preserve">Round 1-2: HR &amp; Hiring Manager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Walk me through your AI governance experience</w:t>
      </w:r>
    </w:p>
    <w:p>
      <w:pPr>
        <w:spacing w:after="150"/>
        <w:ind w:left="360"/>
      </w:pPr>
      <w:r>
        <w:t xml:space="preserve">12+ years at intersection of AI, data, and compliance. Built AI risk framework covering 200+ models. Led MAS, HKMA examinations. Developed LLM control specifications. Represented firm at ABS-MAS AI Roundtable.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How would you build an AI compliance function?</w:t>
      </w:r>
    </w:p>
    <w:p>
      <w:pPr>
        <w:spacing w:after="150"/>
        <w:ind w:left="360"/>
      </w:pPr>
      <w:r>
        <w:t xml:space="preserve">Phase 1 (Months 1-3): Current-state assessment, regulatory mapping, AI inventory, governance structure. Phase 2 (Months 3-6): Policy development, risk materiality framework, pre-deployment review. Phase 3 (Months 6-12): Automated monitoring, regulatory reporting, training programs. Key: Executive sponsorship, cross-functional alignment, proportionate approach.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Describe regulatory examination experience</w:t>
      </w:r>
    </w:p>
    <w:p>
      <w:pPr>
        <w:spacing w:after="150"/>
        <w:ind w:left="360"/>
      </w:pPr>
      <w:r>
        <w:t xml:space="preserve">Led MAS thematic review: coordinated 150+ question response, presented governance structure, minor findings only. HKMA GenAI deep dive: demonstrated fairness/transparency compliance, enhanced human oversight. Key learnings: proactive engagement, documentation critical, technical fluency matters.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8E44AD"/>
          <w:sz w:val="32"/>
          <w:szCs w:val="32"/>
        </w:rPr>
        <w:t xml:space="preserve">Round 3: Technical AI/ML Deep Dive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How would you assess LLM deployment risks?</w:t>
      </w:r>
    </w:p>
    <w:p>
      <w:pPr>
        <w:spacing w:after="150"/>
        <w:ind w:left="360"/>
      </w:pPr>
      <w:r>
        <w:t xml:space="preserve">Framework covers: (1) Model risks - hallucination (mitigate with RAG, citations), (2) Data risks - bias, leakage (training audits, PII detection), (3) Prompt injection (input validation, guardrails), (4) Output risks (filtering, human-in-loop), (5) Operational risks (vendor due diligence, version pinning). Risk materiality by: customer impact, decision autonomy, data sensitivity, reversibility.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How would you implement fairness testing for credit scoring?</w:t>
      </w:r>
    </w:p>
    <w:p>
      <w:pPr>
        <w:spacing w:after="150"/>
        <w:ind w:left="360"/>
      </w:pPr>
      <w:r>
        <w:t xml:space="preserve">Step 1: Define protected attributes (race, gender, age) and proxies. Step 2: Select metrics (Demographic Parity, Equalized Odds, Predictive Parity). Step 3: Implement using AIF360 - calculate Disparate Impact (target: 0.8-1.25) and Statistical Parity Difference (target: &lt;0.1). Step 4: Bias mitigation if needed (reweighing, adversarial debiasing). Step 5: Ongoing monthly dashboards, alerting on drift.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Explain SHAP vs LIME - when to use each?</w:t>
      </w:r>
    </w:p>
    <w:p>
      <w:pPr>
        <w:spacing w:after="150"/>
        <w:ind w:left="360"/>
      </w:pPr>
      <w:r>
        <w:t xml:space="preserve">SHAP: Based on game theory, theoretically grounded, shows each feature's contribution. Use for regulatory reporting, audit documentation, model debugging. LIME: Fits local linear model, fast and intuitive. Use for customer explanations, real-time needs. Both are model-agnostic explainability techniques.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What are differential privacy and federated learning?</w:t>
      </w:r>
    </w:p>
    <w:p>
      <w:pPr>
        <w:spacing w:after="150"/>
        <w:ind w:left="360"/>
      </w:pPr>
      <w:r>
        <w:t xml:space="preserve">Differential Privacy: Mathematical framework adding calibrated noise for provable privacy guarantees (epsilon-DP). Use for training on sensitive data, publishing stats. Federated Learning: Train models across decentralized data without centralizing - only gradients shared. Use for cross-institutional AML, healthcare. Both enable AI while maintaining data localization for PDPA/PIPL compliance.</w:t>
      </w:r>
    </w:p>
    <w:p>
      <w:pPr>
        <w:pStyle w:val="Heading1"/>
        <w:spacing w:before="300" w:after="150"/>
      </w:pPr>
      <w:r>
        <w:rPr>
          <w:b/>
          <w:bCs/>
          <w:color w:val="8E44AD"/>
          <w:sz w:val="32"/>
          <w:szCs w:val="32"/>
        </w:rPr>
        <w:t xml:space="preserve">Round 4: Regulatory &amp; Compliance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Walk through key APAC AI regulations</w:t>
      </w:r>
    </w:p>
    <w:p>
      <w:pPr>
        <w:spacing w:after="150"/>
        <w:ind w:left="360"/>
      </w:pPr>
      <w:r>
        <w:t xml:space="preserve">Singapore (MAS): FEAT Principles (2019) - fairness, ethics, accountability, transparency. AI MRM Guidelines (2025) - board oversight, inventory, lifecycle controls. Hong Kong (HKMA): BDAI Principles (2019), GenAI Circular (2024) - customer-facing disclosure, human oversight. Australia (ASIC/APRA): CPS 230 operational resilience, voluntary AI Ethics Framework. Key difference: MAS more prescriptive, HKMA principles-based.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How to respond to MAS AI examination?</w:t>
      </w:r>
    </w:p>
    <w:p>
      <w:pPr>
        <w:spacing w:after="150"/>
        <w:ind w:left="360"/>
      </w:pPr>
      <w:r>
        <w:t xml:space="preserve">Preparation: Cross-functional team, update inventory, mock exam, brief Board. Response: Governance documentation (policy, RACI, training), AI inventory with risk assessments, lifecycle controls evidence (validation, monitoring), change management records. Post-exam: Address findings with sustainable remediation, update policies. Key: Transparency, demonstrate continuous improvement, senior management engagement.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How to translate regulations to technical specs?</w:t>
      </w:r>
    </w:p>
    <w:p>
      <w:pPr>
        <w:spacing w:after="150"/>
        <w:ind w:left="360"/>
      </w:pPr>
      <w:r>
        <w:t xml:space="preserve">Example - MAS explainability requirement. Regulatory text: 'outcomes explained commensurate with risk.' Technical spec: High risk (credit/fraud) = SHAP for all decisions, explanation API, 7-year audit trail. Medium risk = SHAP summaries, quarterly reviews. Low risk = model cards. Define tools, thresholds, monitoring, testing approach.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8E44AD"/>
          <w:sz w:val="32"/>
          <w:szCs w:val="32"/>
        </w:rPr>
        <w:t xml:space="preserve">Round 5-6: Leadership &amp; Final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How do you influence senior stakeholders who push back?</w:t>
      </w:r>
    </w:p>
    <w:p>
      <w:pPr>
        <w:spacing w:after="150"/>
        <w:ind w:left="360"/>
      </w:pPr>
      <w:r>
        <w:t xml:space="preserve">Understand their perspective (objectives, constraints, concerns). Speak their language (frame compliance as enabler, quantify risk in business terms). Offer solutions not just problems (compliant path to yes). Example: GenAI chatbot with tight timeline - proposed phased launch (internal first, then pilot), expedited testing for Phase 1, enhanced monitoring. Result: 2 weeks delay, fully compliant, board support.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Describe leading major policy change across jurisdictions</w:t>
      </w:r>
    </w:p>
    <w:p>
      <w:pPr>
        <w:spacing w:after="150"/>
        <w:ind w:left="360"/>
      </w:pPr>
      <w:r>
        <w:t xml:space="preserve">STAR: Implemented AI governance framework across 8 APAC markets in 10 months. Actions: Stakeholder mapping (40+ across regions), tiered governance design, core policy with market annexes, 20+ training sessions, phased rollout. Results: 2 months ahead of schedule, AI inventory grew from 50 to 200+ models, zero regulatory findings, framework adopted globally.</w:t>
      </w:r>
    </w:p>
    <w:p>
      <w:pPr>
        <w:spacing w:before="200" w:after="80"/>
      </w:pPr>
      <w:r>
        <w:rPr>
          <w:b/>
          <w:bCs/>
          <w:color w:val="2980B9"/>
        </w:rPr>
        <w:t xml:space="preserve">Q: </w:t>
      </w:r>
      <w:r>
        <w:rPr>
          <w:b/>
          <w:bCs/>
        </w:rPr>
        <w:t xml:space="preserve">What's your vision for AI compliance at JP Morgan?</w:t>
      </w:r>
    </w:p>
    <w:p>
      <w:pPr>
        <w:spacing w:after="150"/>
        <w:ind w:left="360"/>
      </w:pPr>
      <w:r>
        <w:t xml:space="preserve">Position as trusted leader in responsible AI. Four pillars: (1) Trusted partner to business - enable innovation, shift-left compliance. (2) Regulatory excellence - proactive engagement, thought leadership. (3) Technical credibility - genuine AI/ML expertise, build tools not just policies. (4) Sustainable framework - scalable, automated. Year 1 outcomes: Complete AI inventory, zero material findings, positive regulatory feedback, business NPS &gt;70%.</w:t>
      </w:r>
    </w:p>
    <w:p>
      <w:pPr>
        <w:pStyle w:val="Heading1"/>
        <w:spacing w:before="300" w:after="150"/>
      </w:pPr>
      <w:r>
        <w:rPr>
          <w:b/>
          <w:bCs/>
          <w:color w:val="8E44AD"/>
          <w:sz w:val="32"/>
          <w:szCs w:val="32"/>
        </w:rPr>
        <w:t xml:space="preserve">APAC Regulatory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Jurisdiction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Key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Singapore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 FEAT, AI MRM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Board oversight, AI inventory, lifecycle 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Hong Kong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HKMA BDAI, GenAI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Governance, fairness, customer disclosure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Australia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CPS 230, CDR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resilience, consumer data rights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PIPL, AI Regs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localization, algorithm registration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7AE60"/>
          <w:sz w:val="28"/>
          <w:szCs w:val="28"/>
        </w:rPr>
        <w:t xml:space="preserve">Good luck shaping responsible AI at JP Morgan! </w:t>
      </w:r>
      <w:r>
        <w:rPr>
          <w:sz w:val="28"/>
          <w:szCs w:val="28"/>
        </w:rPr>
        <w:t xml:space="preserve">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2026-03-10T16:16:43.992Z</dcterms:created>
  <dcterms:modified xsi:type="dcterms:W3CDTF">2026-03-10T16:16:43.993Z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