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0" w:before="0"/>
        <w:jc w:val="center"/>
      </w:pPr>
      <w:r>
        <w:rPr>
          <w:rFonts w:ascii="Georgia" w:cs="Georgia" w:eastAsia="Georgia" w:hAnsi="Georgia"/>
          <w:b/>
          <w:bCs/>
          <w:color w:val="00A896"/>
          <w:sz w:val="120"/>
          <w:szCs w:val="120"/>
        </w:rPr>
        <w:t xml:space="preserve">RAG</w:t>
      </w:r>
    </w:p>
    <w:p>
      <w:pPr>
        <w:spacing w:after="120" w:before="120"/>
        <w:jc w:val="center"/>
      </w:pPr>
      <w:r>
        <w:rPr>
          <w:rFonts w:ascii="Georgia" w:cs="Georgia" w:eastAsia="Georgia" w:hAnsi="Georgia"/>
          <w:b/>
          <w:bCs/>
          <w:color w:val="0A3D62"/>
          <w:sz w:val="44"/>
          <w:szCs w:val="44"/>
        </w:rPr>
        <w:t xml:space="preserve">Retrieval-Augmented Generation</w:t>
      </w:r>
    </w:p>
    <w:p>
      <w:pPr>
        <w:spacing w:after="400" w:before="60"/>
        <w:jc w:val="center"/>
      </w:pPr>
      <w:r>
        <w:rPr>
          <w:rFonts w:ascii="Arial" w:cs="Arial" w:eastAsia="Arial" w:hAnsi="Arial"/>
          <w:color w:val="57606A"/>
          <w:sz w:val="24"/>
          <w:szCs w:val="24"/>
        </w:rPr>
        <w:t xml:space="preserve">Enterprise Reference Guide — Why, What, How &amp; When</w:t>
      </w:r>
    </w:p>
    <w:p>
      <w:pPr>
        <w:spacing w:after="800" w:before="0"/>
        <w:jc w:val="center"/>
      </w:pPr>
      <w:r>
        <w:rPr>
          <w:rFonts w:ascii="Arial" w:cs="Arial" w:eastAsia="Arial" w:hAnsi="Arial"/>
          <w:i/>
          <w:iCs/>
          <w:color w:val="57606A"/>
          <w:sz w:val="20"/>
          <w:szCs w:val="20"/>
        </w:rPr>
        <w:t xml:space="preserve">Head of Data &amp; AI  ·  Makro / CP Group  ·  2025</w:t>
      </w:r>
    </w:p>
    <w:p>
      <w:r>
        <w:br w:type="page"/>
      </w:r>
    </w:p>
    <w:p>
      <w:pPr>
        <w:pStyle w:val="Heading1"/>
        <w:spacing w:after="160" w:before="400"/>
      </w:pPr>
      <w:r>
        <w:rPr>
          <w:rFonts w:ascii="Arial" w:cs="Arial" w:eastAsia="Arial" w:hAnsi="Arial"/>
          <w:b/>
          <w:bCs/>
          <w:color w:val="0A3D62"/>
          <w:sz w:val="36"/>
          <w:szCs w:val="36"/>
        </w:rPr>
        <w:t xml:space="preserve">1. Motivation — Why RAG Exists</w:t>
      </w:r>
    </w:p>
    <w:p>
      <w:pPr>
        <w:spacing w:after="60" w:before="60"/>
      </w:pPr>
      <w:r>
        <w:rPr>
          <w:rFonts w:ascii="Arial" w:cs="Arial" w:eastAsia="Arial" w:hAnsi="Arial"/>
          <w:b w:val="false"/>
          <w:bCs w:val="false"/>
          <w:color w:val="0D1117"/>
          <w:sz w:val="22"/>
          <w:szCs w:val="22"/>
        </w:rPr>
        <w:t xml:space="preserve">Large language models are trained on static snapshots of data. Once training ends, the model's knowledge is frozen. This creates three critical failure modes in enterprise AI:</w:t>
      </w:r>
    </w:p>
    <w:p>
      <w:pPr>
        <w:spacing w:after="0" w:before="80"/>
      </w:pPr>
      <w:r>
        <w:t xml:space="preserve"/>
      </w:r>
    </w:p>
    <w:p>
      <w:pPr>
        <w:spacing w:after="80" w:before="200"/>
      </w:pPr>
      <w:r>
        <w:rPr>
          <w:rFonts w:ascii="Arial" w:cs="Arial" w:eastAsia="Arial" w:hAnsi="Arial"/>
          <w:b/>
          <w:bCs/>
          <w:color w:val="C0392B"/>
          <w:sz w:val="24"/>
          <w:szCs w:val="24"/>
        </w:rPr>
        <w:t xml:space="preserve">1.1 The Knowledge Cutoff Problem</w:t>
      </w:r>
    </w:p>
    <w:p>
      <w:pPr>
        <w:spacing w:after="60" w:before="60"/>
      </w:pPr>
      <w:r>
        <w:rPr>
          <w:rFonts w:ascii="Arial" w:cs="Arial" w:eastAsia="Arial" w:hAnsi="Arial"/>
          <w:b w:val="false"/>
          <w:bCs w:val="false"/>
          <w:color w:val="0D1117"/>
          <w:sz w:val="22"/>
          <w:szCs w:val="22"/>
        </w:rPr>
        <w:t xml:space="preserve">LLMs do not know what happened after their training cutoff. An LLM trained in early 2024 cannot answer questions about Q4 2024 earnings, regulatory changes, or new product releases. For businesses operating in fast-moving environments — retail, finance, healthcare — this makes a standalone LLM nearly useless for operational queries.</w:t>
      </w:r>
    </w:p>
    <w:p>
      <w:pPr>
        <w:spacing w:after="0" w:before="40"/>
      </w:pPr>
      <w:r>
        <w:t xml:space="preserve"/>
      </w:r>
    </w:p>
    <w:p>
      <w:pPr>
        <w:spacing w:after="80" w:before="200"/>
      </w:pPr>
      <w:r>
        <w:rPr>
          <w:rFonts w:ascii="Arial" w:cs="Arial" w:eastAsia="Arial" w:hAnsi="Arial"/>
          <w:b/>
          <w:bCs/>
          <w:color w:val="C0392B"/>
          <w:sz w:val="24"/>
          <w:szCs w:val="24"/>
        </w:rPr>
        <w:t xml:space="preserve">1.2 Hallucination Risk</w:t>
      </w:r>
    </w:p>
    <w:p>
      <w:pPr>
        <w:spacing w:after="60" w:before="60"/>
      </w:pPr>
      <w:r>
        <w:rPr>
          <w:rFonts w:ascii="Arial" w:cs="Arial" w:eastAsia="Arial" w:hAnsi="Arial"/>
          <w:b w:val="false"/>
          <w:bCs w:val="false"/>
          <w:color w:val="0D1117"/>
          <w:sz w:val="22"/>
          <w:szCs w:val="22"/>
        </w:rPr>
        <w:t xml:space="preserve">When an LLM lacks factual grounding, it fills the gap with plausible-sounding fabrications. At low query volumes this is manageable. At enterprise scale — millions of queries — even a 2% hallucination rate produces thousands of wrong answers per day. In regulated industries, this carries legal and reputational risk.</w:t>
      </w:r>
    </w:p>
    <w:p>
      <w:pPr>
        <w:spacing w:after="0" w:before="40"/>
      </w:pPr>
      <w:r>
        <w:t xml:space="preserve"/>
      </w:r>
    </w:p>
    <w:p>
      <w:pPr>
        <w:spacing w:after="80" w:before="200"/>
      </w:pPr>
      <w:r>
        <w:rPr>
          <w:rFonts w:ascii="Arial" w:cs="Arial" w:eastAsia="Arial" w:hAnsi="Arial"/>
          <w:b/>
          <w:bCs/>
          <w:color w:val="C0392B"/>
          <w:sz w:val="24"/>
          <w:szCs w:val="24"/>
        </w:rPr>
        <w:t xml:space="preserve">1.3 No Access to Private Knowledge</w:t>
      </w:r>
    </w:p>
    <w:p>
      <w:pPr>
        <w:spacing w:after="60" w:before="60"/>
      </w:pPr>
      <w:r>
        <w:rPr>
          <w:rFonts w:ascii="Arial" w:cs="Arial" w:eastAsia="Arial" w:hAnsi="Arial"/>
          <w:b w:val="false"/>
          <w:bCs w:val="false"/>
          <w:color w:val="0D1117"/>
          <w:sz w:val="22"/>
          <w:szCs w:val="22"/>
        </w:rPr>
        <w:t xml:space="preserve">A general-purpose LLM has never seen your internal documentation, customer data, product catalog, or operational procedures. Without access to this context, it cannot answer domain-specific questions that are core to your business.</w:t>
      </w:r>
    </w:p>
    <w:p>
      <w:pPr>
        <w:spacing w:after="0" w:before="80"/>
      </w:pPr>
      <w:r>
        <w:t xml:space="preserve"/>
      </w:r>
    </w:p>
    <w:p>
      <w:pPr>
        <w:pBdr>
          <w:left w:val="single" w:color="00A896" w:sz="16"/>
        </w:pBdr>
        <w:shd w:fill="F5F7FA" w:val="clear"/>
        <w:spacing w:after="120" w:before="120"/>
        <w:ind w:left="720"/>
      </w:pPr>
      <w:r>
        <w:rPr>
          <w:rFonts w:ascii="Arial" w:cs="Arial" w:eastAsia="Arial" w:hAnsi="Arial"/>
          <w:b/>
          <w:bCs/>
          <w:color w:val="00A896"/>
          <w:sz w:val="22"/>
          <w:szCs w:val="22"/>
        </w:rPr>
        <w:t xml:space="preserve">RAG solves all three: it retrieves the right information at query time and injects it into the prompt — giving the LLM private, current, and factual context before it generates a response.</w:t>
      </w:r>
    </w:p>
    <w:p>
      <w:pPr>
        <w:pBdr>
          <w:bottom w:val="single" w:color="D0D7DE" w:sz="4"/>
        </w:pBdr>
        <w:spacing w:after="160" w:before="160"/>
      </w:pPr>
      <w:r>
        <w:t xml:space="preserve"/>
      </w:r>
    </w:p>
    <w:p>
      <w:pPr>
        <w:pStyle w:val="Heading1"/>
        <w:spacing w:after="160" w:before="400"/>
      </w:pPr>
      <w:r>
        <w:rPr>
          <w:rFonts w:ascii="Arial" w:cs="Arial" w:eastAsia="Arial" w:hAnsi="Arial"/>
          <w:b/>
          <w:bCs/>
          <w:color w:val="0A3D62"/>
          <w:sz w:val="36"/>
          <w:szCs w:val="36"/>
        </w:rPr>
        <w:t xml:space="preserve">2. What Is RAG?</w:t>
      </w:r>
    </w:p>
    <w:p>
      <w:pPr>
        <w:spacing w:after="60" w:before="60"/>
      </w:pPr>
      <w:r>
        <w:rPr>
          <w:rFonts w:ascii="Arial" w:cs="Arial" w:eastAsia="Arial" w:hAnsi="Arial"/>
          <w:b w:val="false"/>
          <w:bCs w:val="false"/>
          <w:color w:val="0D1117"/>
          <w:sz w:val="22"/>
          <w:szCs w:val="22"/>
        </w:rPr>
        <w:t xml:space="preserve">Retrieval-Augmented Generation (RAG) is an architectural pattern that enhances LLM responses by first retrieving relevant information from an external knowledge base, then using that information to augment the model's prompt before generation.</w:t>
      </w:r>
    </w:p>
    <w:p>
      <w:pPr>
        <w:spacing w:after="0" w:before="80"/>
      </w:pPr>
      <w:r>
        <w:t xml:space="preserve"/>
      </w:r>
    </w:p>
    <w:p>
      <w:pPr>
        <w:spacing w:after="80" w:before="200"/>
      </w:pPr>
      <w:r>
        <w:rPr>
          <w:rFonts w:ascii="Arial" w:cs="Arial" w:eastAsia="Arial" w:hAnsi="Arial"/>
          <w:b/>
          <w:bCs/>
          <w:color w:val="0A3D62"/>
          <w:sz w:val="24"/>
          <w:szCs w:val="24"/>
        </w:rPr>
        <w:t xml:space="preserve">2.1 The Three Phases</w:t>
      </w:r>
    </w:p>
    <w:p>
      <w:pPr>
        <w:spacing w:after="60" w:before="60"/>
      </w:pPr>
      <w:r>
        <w:rPr>
          <w:rFonts w:ascii="Arial" w:cs="Arial" w:eastAsia="Arial" w:hAnsi="Arial"/>
          <w:b w:val="false"/>
          <w:bCs w:val="false"/>
          <w:color w:val="0D1117"/>
          <w:sz w:val="22"/>
          <w:szCs w:val="22"/>
        </w:rPr>
        <w:t xml:space="preserve">RAG operates in three distinct phases:</w:t>
      </w:r>
    </w:p>
    <w:p>
      <w:pPr>
        <w:spacing w:after="0" w:before="40"/>
      </w:pPr>
      <w:r>
        <w:t xml:space="preserve"/>
      </w:r>
    </w:p>
    <w:p>
      <w:pPr>
        <w:pStyle w:val="ListParagraph"/>
        <w:numPr>
          <w:ilvl w:val="0"/>
          <w:numId w:val="2"/>
        </w:numPr>
        <w:spacing w:after="40" w:before="40"/>
      </w:pPr>
      <w:r>
        <w:rPr>
          <w:rFonts w:ascii="Arial" w:cs="Arial" w:eastAsia="Arial" w:hAnsi="Arial"/>
          <w:color w:val="0D1117"/>
          <w:sz w:val="22"/>
          <w:szCs w:val="22"/>
        </w:rPr>
        <w:t xml:space="preserve">Retrieve: A semantic or hybrid search is run against a vector index to find the most relevant chunks of text from your corpus.</w:t>
      </w:r>
    </w:p>
    <w:p>
      <w:pPr>
        <w:pStyle w:val="ListParagraph"/>
        <w:numPr>
          <w:ilvl w:val="0"/>
          <w:numId w:val="2"/>
        </w:numPr>
        <w:spacing w:after="40" w:before="40"/>
      </w:pPr>
      <w:r>
        <w:rPr>
          <w:rFonts w:ascii="Arial" w:cs="Arial" w:eastAsia="Arial" w:hAnsi="Arial"/>
          <w:color w:val="0D1117"/>
          <w:sz w:val="22"/>
          <w:szCs w:val="22"/>
        </w:rPr>
        <w:t xml:space="preserve">Augment: The retrieved chunks are injected into the LLM prompt alongside the user's query, providing grounding context.</w:t>
      </w:r>
    </w:p>
    <w:p>
      <w:pPr>
        <w:pStyle w:val="ListParagraph"/>
        <w:numPr>
          <w:ilvl w:val="0"/>
          <w:numId w:val="2"/>
        </w:numPr>
        <w:spacing w:after="40" w:before="40"/>
      </w:pPr>
      <w:r>
        <w:rPr>
          <w:rFonts w:ascii="Arial" w:cs="Arial" w:eastAsia="Arial" w:hAnsi="Arial"/>
          <w:color w:val="0D1117"/>
          <w:sz w:val="22"/>
          <w:szCs w:val="22"/>
        </w:rPr>
        <w:t xml:space="preserve">Generate: The LLM produces a response that is anchored to the retrieved facts, dramatically reducing hallucination.</w:t>
      </w:r>
    </w:p>
    <w:p>
      <w:pPr>
        <w:spacing w:after="0" w:before="80"/>
      </w:pPr>
      <w:r>
        <w:t xml:space="preserve"/>
      </w:r>
    </w:p>
    <w:p>
      <w:pPr>
        <w:spacing w:after="80" w:before="200"/>
      </w:pPr>
      <w:r>
        <w:rPr>
          <w:rFonts w:ascii="Arial" w:cs="Arial" w:eastAsia="Arial" w:hAnsi="Arial"/>
          <w:b/>
          <w:bCs/>
          <w:color w:val="0A3D62"/>
          <w:sz w:val="24"/>
          <w:szCs w:val="24"/>
        </w:rPr>
        <w:t xml:space="preserve">2.2 The Two Pipelines</w:t>
      </w:r>
    </w:p>
    <w:p>
      <w:pPr>
        <w:spacing w:after="60" w:before="60"/>
      </w:pPr>
      <w:r>
        <w:rPr>
          <w:rFonts w:ascii="Arial" w:cs="Arial" w:eastAsia="Arial" w:hAnsi="Arial"/>
          <w:b w:val="false"/>
          <w:bCs w:val="false"/>
          <w:color w:val="0D1117"/>
          <w:sz w:val="22"/>
          <w:szCs w:val="22"/>
        </w:rPr>
        <w:t xml:space="preserve">A production RAG system consists of two distinct pipelines:</w:t>
      </w:r>
    </w:p>
    <w:p>
      <w:pPr>
        <w:spacing w:after="0" w:before="40"/>
      </w:pPr>
      <w:r>
        <w:t xml:space="preserve"/>
      </w:r>
    </w:p>
    <w:p>
      <w:pPr>
        <w:spacing w:after="80" w:before="200"/>
      </w:pPr>
      <w:r>
        <w:rPr>
          <w:rFonts w:ascii="Arial" w:cs="Arial" w:eastAsia="Arial" w:hAnsi="Arial"/>
          <w:b/>
          <w:bCs/>
          <w:color w:val="00A896"/>
          <w:sz w:val="24"/>
          <w:szCs w:val="24"/>
        </w:rPr>
        <w:t xml:space="preserve">Ingestion Pipeline (offline)</w:t>
      </w:r>
    </w:p>
    <w:p>
      <w:pPr>
        <w:pStyle w:val="ListParagraph"/>
        <w:numPr>
          <w:ilvl w:val="0"/>
          <w:numId w:val="2"/>
        </w:numPr>
        <w:spacing w:after="40" w:before="40"/>
      </w:pPr>
      <w:r>
        <w:rPr>
          <w:rFonts w:ascii="Arial" w:cs="Arial" w:eastAsia="Arial" w:hAnsi="Arial"/>
          <w:color w:val="0D1117"/>
          <w:sz w:val="22"/>
          <w:szCs w:val="22"/>
        </w:rPr>
        <w:t xml:space="preserve">Load raw data — PDFs, databases, APIs, SharePoint, Confluence, Slack, etc.</w:t>
      </w:r>
    </w:p>
    <w:p>
      <w:pPr>
        <w:pStyle w:val="ListParagraph"/>
        <w:numPr>
          <w:ilvl w:val="0"/>
          <w:numId w:val="2"/>
        </w:numPr>
        <w:spacing w:after="40" w:before="40"/>
      </w:pPr>
      <w:r>
        <w:rPr>
          <w:rFonts w:ascii="Arial" w:cs="Arial" w:eastAsia="Arial" w:hAnsi="Arial"/>
          <w:color w:val="0D1117"/>
          <w:sz w:val="22"/>
          <w:szCs w:val="22"/>
        </w:rPr>
        <w:t xml:space="preserve">Parse and clean content, removing noise and extracting structure.</w:t>
      </w:r>
    </w:p>
    <w:p>
      <w:pPr>
        <w:pStyle w:val="ListParagraph"/>
        <w:numPr>
          <w:ilvl w:val="0"/>
          <w:numId w:val="2"/>
        </w:numPr>
        <w:spacing w:after="40" w:before="40"/>
      </w:pPr>
      <w:r>
        <w:rPr>
          <w:rFonts w:ascii="Arial" w:cs="Arial" w:eastAsia="Arial" w:hAnsi="Arial"/>
          <w:color w:val="0D1117"/>
          <w:sz w:val="22"/>
          <w:szCs w:val="22"/>
        </w:rPr>
        <w:t xml:space="preserve">Chunk the text into segments (typically 256–2048 tokens with overlap).</w:t>
      </w:r>
    </w:p>
    <w:p>
      <w:pPr>
        <w:pStyle w:val="ListParagraph"/>
        <w:numPr>
          <w:ilvl w:val="0"/>
          <w:numId w:val="2"/>
        </w:numPr>
        <w:spacing w:after="40" w:before="40"/>
      </w:pPr>
      <w:r>
        <w:rPr>
          <w:rFonts w:ascii="Arial" w:cs="Arial" w:eastAsia="Arial" w:hAnsi="Arial"/>
          <w:color w:val="0D1117"/>
          <w:sz w:val="22"/>
          <w:szCs w:val="22"/>
        </w:rPr>
        <w:t xml:space="preserve">Embed each chunk using an embedding model to produce dense vectors.</w:t>
      </w:r>
    </w:p>
    <w:p>
      <w:pPr>
        <w:pStyle w:val="ListParagraph"/>
        <w:numPr>
          <w:ilvl w:val="0"/>
          <w:numId w:val="2"/>
        </w:numPr>
        <w:spacing w:after="40" w:before="40"/>
      </w:pPr>
      <w:r>
        <w:rPr>
          <w:rFonts w:ascii="Arial" w:cs="Arial" w:eastAsia="Arial" w:hAnsi="Arial"/>
          <w:color w:val="0D1117"/>
          <w:sz w:val="22"/>
          <w:szCs w:val="22"/>
        </w:rPr>
        <w:t xml:space="preserve">Index and store vectors in a vector database alongside the original text.</w:t>
      </w:r>
    </w:p>
    <w:p>
      <w:pPr>
        <w:spacing w:after="0" w:before="60"/>
      </w:pPr>
      <w:r>
        <w:t xml:space="preserve"/>
      </w:r>
    </w:p>
    <w:p>
      <w:pPr>
        <w:spacing w:after="80" w:before="200"/>
      </w:pPr>
      <w:r>
        <w:rPr>
          <w:rFonts w:ascii="Arial" w:cs="Arial" w:eastAsia="Arial" w:hAnsi="Arial"/>
          <w:b/>
          <w:bCs/>
          <w:color w:val="00A896"/>
          <w:sz w:val="24"/>
          <w:szCs w:val="24"/>
        </w:rPr>
        <w:t xml:space="preserve">Query Pipeline (real-time)</w:t>
      </w:r>
    </w:p>
    <w:p>
      <w:pPr>
        <w:pStyle w:val="ListParagraph"/>
        <w:numPr>
          <w:ilvl w:val="0"/>
          <w:numId w:val="2"/>
        </w:numPr>
        <w:spacing w:after="40" w:before="40"/>
      </w:pPr>
      <w:r>
        <w:rPr>
          <w:rFonts w:ascii="Arial" w:cs="Arial" w:eastAsia="Arial" w:hAnsi="Arial"/>
          <w:color w:val="0D1117"/>
          <w:sz w:val="22"/>
          <w:szCs w:val="22"/>
        </w:rPr>
        <w:t xml:space="preserve">Receive user query and embed it with the same embedding model.</w:t>
      </w:r>
    </w:p>
    <w:p>
      <w:pPr>
        <w:pStyle w:val="ListParagraph"/>
        <w:numPr>
          <w:ilvl w:val="0"/>
          <w:numId w:val="2"/>
        </w:numPr>
        <w:spacing w:after="40" w:before="40"/>
      </w:pPr>
      <w:r>
        <w:rPr>
          <w:rFonts w:ascii="Arial" w:cs="Arial" w:eastAsia="Arial" w:hAnsi="Arial"/>
          <w:color w:val="0D1117"/>
          <w:sz w:val="22"/>
          <w:szCs w:val="22"/>
        </w:rPr>
        <w:t xml:space="preserve">Run similarity search (dense vector + BM25 hybrid) to retrieve top-K chunks.</w:t>
      </w:r>
    </w:p>
    <w:p>
      <w:pPr>
        <w:pStyle w:val="ListParagraph"/>
        <w:numPr>
          <w:ilvl w:val="0"/>
          <w:numId w:val="2"/>
        </w:numPr>
        <w:spacing w:after="40" w:before="40"/>
      </w:pPr>
      <w:r>
        <w:rPr>
          <w:rFonts w:ascii="Arial" w:cs="Arial" w:eastAsia="Arial" w:hAnsi="Arial"/>
          <w:color w:val="0D1117"/>
          <w:sz w:val="22"/>
          <w:szCs w:val="22"/>
        </w:rPr>
        <w:t xml:space="preserve">Apply a cross-encoder reranker to re-score and filter for highest relevance.</w:t>
      </w:r>
    </w:p>
    <w:p>
      <w:pPr>
        <w:pStyle w:val="ListParagraph"/>
        <w:numPr>
          <w:ilvl w:val="0"/>
          <w:numId w:val="2"/>
        </w:numPr>
        <w:spacing w:after="40" w:before="40"/>
      </w:pPr>
      <w:r>
        <w:rPr>
          <w:rFonts w:ascii="Arial" w:cs="Arial" w:eastAsia="Arial" w:hAnsi="Arial"/>
          <w:color w:val="0D1117"/>
          <w:sz w:val="22"/>
          <w:szCs w:val="22"/>
        </w:rPr>
        <w:t xml:space="preserve">Construct a prompt: system instruction + retrieved context + user query.</w:t>
      </w:r>
    </w:p>
    <w:p>
      <w:pPr>
        <w:pStyle w:val="ListParagraph"/>
        <w:numPr>
          <w:ilvl w:val="0"/>
          <w:numId w:val="2"/>
        </w:numPr>
        <w:spacing w:after="40" w:before="40"/>
      </w:pPr>
      <w:r>
        <w:rPr>
          <w:rFonts w:ascii="Arial" w:cs="Arial" w:eastAsia="Arial" w:hAnsi="Arial"/>
          <w:color w:val="0D1117"/>
          <w:sz w:val="22"/>
          <w:szCs w:val="22"/>
        </w:rPr>
        <w:t xml:space="preserve">Call the generative LLM; receive the grounded response.</w:t>
      </w:r>
    </w:p>
    <w:p>
      <w:pPr>
        <w:pStyle w:val="ListParagraph"/>
        <w:numPr>
          <w:ilvl w:val="0"/>
          <w:numId w:val="2"/>
        </w:numPr>
        <w:spacing w:after="40" w:before="40"/>
      </w:pPr>
      <w:r>
        <w:rPr>
          <w:rFonts w:ascii="Arial" w:cs="Arial" w:eastAsia="Arial" w:hAnsi="Arial"/>
          <w:color w:val="0D1117"/>
          <w:sz w:val="22"/>
          <w:szCs w:val="22"/>
        </w:rPr>
        <w:t xml:space="preserve">Run hallucination detection; correct or flag low-confidence outputs.</w:t>
      </w:r>
    </w:p>
    <w:p>
      <w:pPr>
        <w:pBdr>
          <w:bottom w:val="single" w:color="D0D7DE" w:sz="4"/>
        </w:pBdr>
        <w:spacing w:after="160" w:before="160"/>
      </w:pPr>
      <w:r>
        <w:t xml:space="preserve"/>
      </w:r>
    </w:p>
    <w:p>
      <w:pPr>
        <w:pStyle w:val="Heading1"/>
        <w:spacing w:after="160" w:before="400"/>
      </w:pPr>
      <w:r>
        <w:rPr>
          <w:rFonts w:ascii="Arial" w:cs="Arial" w:eastAsia="Arial" w:hAnsi="Arial"/>
          <w:b/>
          <w:bCs/>
          <w:color w:val="0A3D62"/>
          <w:sz w:val="36"/>
          <w:szCs w:val="36"/>
        </w:rPr>
        <w:t xml:space="preserve">3. How It Works — Core Components</w:t>
      </w:r>
    </w:p>
    <w:p>
      <w:pPr>
        <w:spacing w:after="0" w:before="40"/>
      </w:pPr>
      <w:r>
        <w:t xml:space="preserve"/>
      </w:r>
    </w:p>
    <w:p>
      <w:pPr>
        <w:pStyle w:val="Heading2"/>
        <w:spacing w:after="120" w:before="300"/>
      </w:pPr>
      <w:r>
        <w:rPr>
          <w:rFonts w:ascii="Arial" w:cs="Arial" w:eastAsia="Arial" w:hAnsi="Arial"/>
          <w:b/>
          <w:bCs/>
          <w:color w:val="0A3D62"/>
          <w:sz w:val="28"/>
          <w:szCs w:val="28"/>
        </w:rPr>
        <w:t xml:space="preserve">3.1 Embedding Models</w:t>
      </w:r>
    </w:p>
    <w:p>
      <w:pPr>
        <w:spacing w:after="60" w:before="60"/>
      </w:pPr>
      <w:r>
        <w:rPr>
          <w:rFonts w:ascii="Arial" w:cs="Arial" w:eastAsia="Arial" w:hAnsi="Arial"/>
          <w:b w:val="false"/>
          <w:bCs w:val="false"/>
          <w:color w:val="0D1117"/>
          <w:sz w:val="22"/>
          <w:szCs w:val="22"/>
        </w:rPr>
        <w:t xml:space="preserve">Embedding models convert text into dense numerical vectors that capture semantic meaning. Similar text produces vectors that are geometrically close, enabling similarity-based retrieval.</w:t>
      </w:r>
    </w:p>
    <w:p>
      <w:pPr>
        <w:spacing w:after="0" w:before="40"/>
      </w:pPr>
      <w:r>
        <w:t xml:space="preserve"/>
      </w:r>
    </w:p>
    <w:p>
      <w:pPr>
        <w:pStyle w:val="ListParagraph"/>
        <w:numPr>
          <w:ilvl w:val="0"/>
          <w:numId w:val="2"/>
        </w:numPr>
        <w:spacing w:after="40" w:before="40"/>
      </w:pPr>
      <w:r>
        <w:rPr>
          <w:rFonts w:ascii="Arial" w:cs="Arial" w:eastAsia="Arial" w:hAnsi="Arial"/>
          <w:color w:val="0D1117"/>
          <w:sz w:val="22"/>
          <w:szCs w:val="22"/>
        </w:rPr>
        <w:t xml:space="preserve">Vector dimensions typically range from 384 to 4096. Larger dimensions can capture more nuance but increase compute and storage costs.</w:t>
      </w:r>
    </w:p>
    <w:p>
      <w:pPr>
        <w:pStyle w:val="ListParagraph"/>
        <w:numPr>
          <w:ilvl w:val="0"/>
          <w:numId w:val="2"/>
        </w:numPr>
        <w:spacing w:after="40" w:before="40"/>
      </w:pPr>
      <w:r>
        <w:rPr>
          <w:rFonts w:ascii="Arial" w:cs="Arial" w:eastAsia="Arial" w:hAnsi="Arial"/>
          <w:color w:val="0D1117"/>
          <w:sz w:val="22"/>
          <w:szCs w:val="22"/>
        </w:rPr>
        <w:t xml:space="preserve">Multilingual models are essential for organizations operating across multiple language markets.</w:t>
      </w:r>
    </w:p>
    <w:p>
      <w:pPr>
        <w:pStyle w:val="ListParagraph"/>
        <w:numPr>
          <w:ilvl w:val="0"/>
          <w:numId w:val="2"/>
        </w:numPr>
        <w:spacing w:after="40" w:before="40"/>
      </w:pPr>
      <w:r>
        <w:rPr>
          <w:rFonts w:ascii="Arial" w:cs="Arial" w:eastAsia="Arial" w:hAnsi="Arial"/>
          <w:color w:val="0D1117"/>
          <w:sz w:val="22"/>
          <w:szCs w:val="22"/>
        </w:rPr>
        <w:t xml:space="preserve">Leading models: Vectara Boomerang, Cohere Embed-3, OpenAI text-embedding-3-large, Qwen3-Embedding-0.6B.</w:t>
      </w:r>
    </w:p>
    <w:p>
      <w:pPr>
        <w:pStyle w:val="ListParagraph"/>
        <w:numPr>
          <w:ilvl w:val="0"/>
          <w:numId w:val="2"/>
        </w:numPr>
        <w:spacing w:after="40" w:before="40"/>
      </w:pPr>
      <w:r>
        <w:rPr>
          <w:rFonts w:ascii="Arial" w:cs="Arial" w:eastAsia="Arial" w:hAnsi="Arial"/>
          <w:color w:val="0D1117"/>
          <w:sz w:val="22"/>
          <w:szCs w:val="22"/>
        </w:rPr>
        <w:t xml:space="preserve">On Databricks/Azure: Azure OpenAI embeddings or DBRX-based embedding endpoints via MLflow.</w:t>
      </w:r>
    </w:p>
    <w:p>
      <w:pPr>
        <w:spacing w:after="0" w:before="80"/>
      </w:pPr>
      <w:r>
        <w:t xml:space="preserve"/>
      </w:r>
    </w:p>
    <w:p>
      <w:pPr>
        <w:pStyle w:val="Heading2"/>
        <w:spacing w:after="120" w:before="300"/>
      </w:pPr>
      <w:r>
        <w:rPr>
          <w:rFonts w:ascii="Arial" w:cs="Arial" w:eastAsia="Arial" w:hAnsi="Arial"/>
          <w:b/>
          <w:bCs/>
          <w:color w:val="0A3D62"/>
          <w:sz w:val="28"/>
          <w:szCs w:val="28"/>
        </w:rPr>
        <w:t xml:space="preserve">3.2 Vector Databases</w:t>
      </w:r>
    </w:p>
    <w:p>
      <w:pPr>
        <w:spacing w:after="60" w:before="60"/>
      </w:pPr>
      <w:r>
        <w:rPr>
          <w:rFonts w:ascii="Arial" w:cs="Arial" w:eastAsia="Arial" w:hAnsi="Arial"/>
          <w:b w:val="false"/>
          <w:bCs w:val="false"/>
          <w:color w:val="0D1117"/>
          <w:sz w:val="22"/>
          <w:szCs w:val="22"/>
        </w:rPr>
        <w:t xml:space="preserve">A vector database stores embedding vectors alongside their source text and enables fast Approximate Nearest Neighbor (ANN) search.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D0D7DE" w:sz="1"/>
              <w:left w:val="single" w:color="D0D7DE" w:sz="1"/>
              <w:bottom w:val="single" w:color="D0D7DE" w:sz="1"/>
              <w:right w:val="single" w:color="D0D7DE" w:sz="1"/>
            </w:tcBorders>
            <w:shd w:fill="0A3D62" w:val="clear"/>
            <w:tcMar>
              <w:top w:type="dxa" w:w="100"/>
              <w:left w:type="dxa" w:w="150"/>
              <w:bottom w:type="dxa" w:w="100"/>
              <w:right w:type="dxa" w:w="150"/>
            </w:tcMar>
          </w:tcPr>
          <w:p>
            <w:r>
              <w:rPr>
                <w:rFonts w:ascii="Arial" w:cs="Arial" w:eastAsia="Arial" w:hAnsi="Arial"/>
                <w:b/>
                <w:bCs/>
                <w:color w:val="FFFFFF"/>
                <w:sz w:val="20"/>
                <w:szCs w:val="20"/>
              </w:rPr>
              <w:t xml:space="preserve">Database</w:t>
            </w:r>
          </w:p>
        </w:tc>
        <w:tc>
          <w:tcPr>
            <w:tcW w:type="dxa" w:w="1560"/>
            <w:tcBorders>
              <w:top w:val="single" w:color="D0D7DE" w:sz="1"/>
              <w:left w:val="single" w:color="D0D7DE" w:sz="1"/>
              <w:bottom w:val="single" w:color="D0D7DE" w:sz="1"/>
              <w:right w:val="single" w:color="D0D7DE" w:sz="1"/>
            </w:tcBorders>
            <w:shd w:fill="0A3D62"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560"/>
            <w:tcBorders>
              <w:top w:val="single" w:color="D0D7DE" w:sz="1"/>
              <w:left w:val="single" w:color="D0D7DE" w:sz="1"/>
              <w:bottom w:val="single" w:color="D0D7DE" w:sz="1"/>
              <w:right w:val="single" w:color="D0D7DE" w:sz="1"/>
            </w:tcBorders>
            <w:shd w:fill="0A3D62" w:val="clear"/>
            <w:tcMar>
              <w:top w:type="dxa" w:w="100"/>
              <w:left w:type="dxa" w:w="150"/>
              <w:bottom w:type="dxa" w:w="100"/>
              <w:right w:type="dxa" w:w="150"/>
            </w:tcMar>
          </w:tcPr>
          <w:p>
            <w:r>
              <w:rPr>
                <w:rFonts w:ascii="Arial" w:cs="Arial" w:eastAsia="Arial" w:hAnsi="Arial"/>
                <w:b/>
                <w:bCs/>
                <w:color w:val="FFFFFF"/>
                <w:sz w:val="20"/>
                <w:szCs w:val="20"/>
              </w:rPr>
              <w:t xml:space="preserve">Strengths</w:t>
            </w:r>
          </w:p>
        </w:tc>
        <w:tc>
          <w:tcPr>
            <w:tcW w:type="dxa" w:w="1560"/>
            <w:tcBorders>
              <w:top w:val="single" w:color="D0D7DE" w:sz="1"/>
              <w:left w:val="single" w:color="D0D7DE" w:sz="1"/>
              <w:bottom w:val="single" w:color="D0D7DE" w:sz="1"/>
              <w:right w:val="single" w:color="D0D7DE" w:sz="1"/>
            </w:tcBorders>
            <w:shd w:fill="0A3D62" w:val="clear"/>
            <w:tcMar>
              <w:top w:type="dxa" w:w="100"/>
              <w:left w:type="dxa" w:w="150"/>
              <w:bottom w:type="dxa" w:w="100"/>
              <w:right w:type="dxa" w:w="150"/>
            </w:tcMar>
          </w:tcPr>
          <w:p>
            <w:r>
              <w:rPr>
                <w:rFonts w:ascii="Arial" w:cs="Arial" w:eastAsia="Arial" w:hAnsi="Arial"/>
                <w:b/>
                <w:bCs/>
                <w:color w:val="FFFFFF"/>
                <w:sz w:val="20"/>
                <w:szCs w:val="20"/>
              </w:rPr>
              <w:t xml:space="preserve">Hosted?</w:t>
            </w:r>
          </w:p>
        </w:tc>
        <w:tc>
          <w:tcPr>
            <w:tcW w:type="dxa" w:w="2340"/>
            <w:tcBorders>
              <w:top w:val="single" w:color="D0D7DE" w:sz="1"/>
              <w:left w:val="single" w:color="D0D7DE" w:sz="1"/>
              <w:bottom w:val="single" w:color="D0D7DE" w:sz="1"/>
              <w:right w:val="single" w:color="D0D7DE" w:sz="1"/>
            </w:tcBorders>
            <w:shd w:fill="0A3D62"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34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Pinecone</w:t>
            </w:r>
          </w:p>
        </w:tc>
        <w:tc>
          <w:tcPr>
            <w:tcW w:type="dxa" w:w="156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Proprietary</w:t>
            </w:r>
          </w:p>
        </w:tc>
        <w:tc>
          <w:tcPr>
            <w:tcW w:type="dxa" w:w="156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Fully managed, low ops</w:t>
            </w:r>
          </w:p>
        </w:tc>
        <w:tc>
          <w:tcPr>
            <w:tcW w:type="dxa" w:w="156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SaaS only</w:t>
            </w:r>
          </w:p>
        </w:tc>
        <w:tc>
          <w:tcPr>
            <w:tcW w:type="dxa" w:w="234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Popular for serverless RAG</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Weaviate</w:t>
            </w:r>
          </w:p>
        </w:tc>
        <w:tc>
          <w:tcPr>
            <w:tcW w:type="dxa" w:w="156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Open source</w:t>
            </w:r>
          </w:p>
        </w:tc>
        <w:tc>
          <w:tcPr>
            <w:tcW w:type="dxa" w:w="156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Hybrid search native</w:t>
            </w:r>
          </w:p>
        </w:tc>
        <w:tc>
          <w:tcPr>
            <w:tcW w:type="dxa" w:w="156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Self / Cloud</w:t>
            </w:r>
          </w:p>
        </w:tc>
        <w:tc>
          <w:tcPr>
            <w:tcW w:type="dxa" w:w="234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Strong for enterprise DIY</w:t>
            </w:r>
          </w:p>
        </w:tc>
      </w:tr>
      <w:tr>
        <w:tc>
          <w:tcPr>
            <w:tcW w:type="dxa" w:w="234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Qdrant</w:t>
            </w:r>
          </w:p>
        </w:tc>
        <w:tc>
          <w:tcPr>
            <w:tcW w:type="dxa" w:w="156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Open source</w:t>
            </w:r>
          </w:p>
        </w:tc>
        <w:tc>
          <w:tcPr>
            <w:tcW w:type="dxa" w:w="156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Fast, filtering, Rust-based</w:t>
            </w:r>
          </w:p>
        </w:tc>
        <w:tc>
          <w:tcPr>
            <w:tcW w:type="dxa" w:w="156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Self / Cloud</w:t>
            </w:r>
          </w:p>
        </w:tc>
        <w:tc>
          <w:tcPr>
            <w:tcW w:type="dxa" w:w="234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Excellent payload filtering</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Milvus / Zilliz</w:t>
            </w:r>
          </w:p>
        </w:tc>
        <w:tc>
          <w:tcPr>
            <w:tcW w:type="dxa" w:w="156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Open source / SaaS</w:t>
            </w:r>
          </w:p>
        </w:tc>
        <w:tc>
          <w:tcPr>
            <w:tcW w:type="dxa" w:w="156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Scale, GPU indexing</w:t>
            </w:r>
          </w:p>
        </w:tc>
        <w:tc>
          <w:tcPr>
            <w:tcW w:type="dxa" w:w="156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Self / Cloud</w:t>
            </w:r>
          </w:p>
        </w:tc>
        <w:tc>
          <w:tcPr>
            <w:tcW w:type="dxa" w:w="234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Strong on billion-scale</w:t>
            </w:r>
          </w:p>
        </w:tc>
      </w:tr>
      <w:tr>
        <w:tc>
          <w:tcPr>
            <w:tcW w:type="dxa" w:w="234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Databricks / Delta</w:t>
            </w:r>
          </w:p>
        </w:tc>
        <w:tc>
          <w:tcPr>
            <w:tcW w:type="dxa" w:w="156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Platform native</w:t>
            </w:r>
          </w:p>
        </w:tc>
        <w:tc>
          <w:tcPr>
            <w:tcW w:type="dxa" w:w="156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Unified lakehouse</w:t>
            </w:r>
          </w:p>
        </w:tc>
        <w:tc>
          <w:tcPr>
            <w:tcW w:type="dxa" w:w="156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Azure / AWS / GCP</w:t>
            </w:r>
          </w:p>
        </w:tc>
        <w:tc>
          <w:tcPr>
            <w:tcW w:type="dxa" w:w="234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val="false"/>
                <w:bCs w:val="false"/>
                <w:color w:val="0D1117"/>
                <w:sz w:val="20"/>
                <w:szCs w:val="20"/>
              </w:rPr>
              <w:t xml:space="preserve">VSS in Delta 3.x</w:t>
            </w:r>
          </w:p>
        </w:tc>
      </w:tr>
      <w:tr>
        <w:tc>
          <w:tcPr>
            <w:tcW w:type="dxa" w:w="234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Snowflake Cortex</w:t>
            </w:r>
          </w:p>
        </w:tc>
        <w:tc>
          <w:tcPr>
            <w:tcW w:type="dxa" w:w="156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Platform native</w:t>
            </w:r>
          </w:p>
        </w:tc>
        <w:tc>
          <w:tcPr>
            <w:tcW w:type="dxa" w:w="156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No separate index needed</w:t>
            </w:r>
          </w:p>
        </w:tc>
        <w:tc>
          <w:tcPr>
            <w:tcW w:type="dxa" w:w="156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SaaS</w:t>
            </w:r>
          </w:p>
        </w:tc>
        <w:tc>
          <w:tcPr>
            <w:tcW w:type="dxa" w:w="234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val="false"/>
                <w:bCs w:val="false"/>
                <w:color w:val="0D1117"/>
                <w:sz w:val="20"/>
                <w:szCs w:val="20"/>
              </w:rPr>
              <w:t xml:space="preserve">Tightly integrated with Snowflake</w:t>
            </w:r>
          </w:p>
        </w:tc>
      </w:tr>
    </w:tbl>
    <w:p>
      <w:pPr>
        <w:spacing w:after="0" w:before="80"/>
      </w:pPr>
      <w:r>
        <w:t xml:space="preserve"/>
      </w:r>
    </w:p>
    <w:p>
      <w:pPr>
        <w:pStyle w:val="Heading2"/>
        <w:spacing w:after="120" w:before="300"/>
      </w:pPr>
      <w:r>
        <w:rPr>
          <w:rFonts w:ascii="Arial" w:cs="Arial" w:eastAsia="Arial" w:hAnsi="Arial"/>
          <w:b/>
          <w:bCs/>
          <w:color w:val="0A3D62"/>
          <w:sz w:val="28"/>
          <w:szCs w:val="28"/>
        </w:rPr>
        <w:t xml:space="preserve">3.3 Advanced Retrieval: Hybrid Search &amp; Reranking</w:t>
      </w:r>
    </w:p>
    <w:p>
      <w:pPr>
        <w:spacing w:after="60" w:before="60"/>
      </w:pPr>
      <w:r>
        <w:rPr>
          <w:rFonts w:ascii="Arial" w:cs="Arial" w:eastAsia="Arial" w:hAnsi="Arial"/>
          <w:b w:val="false"/>
          <w:bCs w:val="false"/>
          <w:color w:val="0D1117"/>
          <w:sz w:val="22"/>
          <w:szCs w:val="22"/>
        </w:rPr>
        <w:t xml:space="preserve">Vector search alone is insufficient for production RAG. Two additional techniques are critical:</w:t>
      </w:r>
    </w:p>
    <w:p>
      <w:pPr>
        <w:spacing w:after="0" w:before="40"/>
      </w:pPr>
      <w:r>
        <w:t xml:space="preserve"/>
      </w:r>
    </w:p>
    <w:p>
      <w:pPr>
        <w:spacing w:after="80" w:before="200"/>
      </w:pPr>
      <w:r>
        <w:rPr>
          <w:rFonts w:ascii="Arial" w:cs="Arial" w:eastAsia="Arial" w:hAnsi="Arial"/>
          <w:b/>
          <w:bCs/>
          <w:color w:val="00A896"/>
          <w:sz w:val="24"/>
          <w:szCs w:val="24"/>
        </w:rPr>
        <w:t xml:space="preserve">Hybrid Search</w:t>
      </w:r>
    </w:p>
    <w:p>
      <w:pPr>
        <w:spacing w:after="60" w:before="60"/>
      </w:pPr>
      <w:r>
        <w:rPr>
          <w:rFonts w:ascii="Arial" w:cs="Arial" w:eastAsia="Arial" w:hAnsi="Arial"/>
          <w:b w:val="false"/>
          <w:bCs w:val="false"/>
          <w:color w:val="0D1117"/>
          <w:sz w:val="22"/>
          <w:szCs w:val="22"/>
        </w:rPr>
        <w:t xml:space="preserve">Hybrid search combines dense vector retrieval with sparse BM25 (keyword) retrieval. The scores are fused using Reciprocal Rank Fusion (RRF) or linear interpolation (controlled by a lexical_interpolation parameter in platforms like Vectara).</w:t>
      </w:r>
    </w:p>
    <w:p>
      <w:pPr>
        <w:pStyle w:val="ListParagraph"/>
        <w:numPr>
          <w:ilvl w:val="0"/>
          <w:numId w:val="2"/>
        </w:numPr>
        <w:spacing w:after="40" w:before="40"/>
      </w:pPr>
      <w:r>
        <w:rPr>
          <w:rFonts w:ascii="Arial" w:cs="Arial" w:eastAsia="Arial" w:hAnsi="Arial"/>
          <w:color w:val="0D1117"/>
          <w:sz w:val="22"/>
          <w:szCs w:val="22"/>
        </w:rPr>
        <w:t xml:space="preserve">Dense retrieval handles semantic similarity and paraphrase matching.</w:t>
      </w:r>
    </w:p>
    <w:p>
      <w:pPr>
        <w:pStyle w:val="ListParagraph"/>
        <w:numPr>
          <w:ilvl w:val="0"/>
          <w:numId w:val="2"/>
        </w:numPr>
        <w:spacing w:after="40" w:before="40"/>
      </w:pPr>
      <w:r>
        <w:rPr>
          <w:rFonts w:ascii="Arial" w:cs="Arial" w:eastAsia="Arial" w:hAnsi="Arial"/>
          <w:color w:val="0D1117"/>
          <w:sz w:val="22"/>
          <w:szCs w:val="22"/>
        </w:rPr>
        <w:t xml:space="preserve">Sparse (BM25) retrieval handles exact matches: product codes, names, acronyms, rare terms.</w:t>
      </w:r>
    </w:p>
    <w:p>
      <w:pPr>
        <w:pStyle w:val="ListParagraph"/>
        <w:numPr>
          <w:ilvl w:val="0"/>
          <w:numId w:val="2"/>
        </w:numPr>
        <w:spacing w:after="40" w:before="40"/>
      </w:pPr>
      <w:r>
        <w:rPr>
          <w:rFonts w:ascii="Arial" w:cs="Arial" w:eastAsia="Arial" w:hAnsi="Arial"/>
          <w:color w:val="0D1117"/>
          <w:sz w:val="22"/>
          <w:szCs w:val="22"/>
        </w:rPr>
        <w:t xml:space="preserve">Hybrid consistently outperforms either alone by 5–15% on BEIR benchmarks.</w:t>
      </w:r>
    </w:p>
    <w:p>
      <w:pPr>
        <w:spacing w:after="0" w:before="60"/>
      </w:pPr>
      <w:r>
        <w:t xml:space="preserve"/>
      </w:r>
    </w:p>
    <w:p>
      <w:pPr>
        <w:spacing w:after="80" w:before="200"/>
      </w:pPr>
      <w:r>
        <w:rPr>
          <w:rFonts w:ascii="Arial" w:cs="Arial" w:eastAsia="Arial" w:hAnsi="Arial"/>
          <w:b/>
          <w:bCs/>
          <w:color w:val="00A896"/>
          <w:sz w:val="24"/>
          <w:szCs w:val="24"/>
        </w:rPr>
        <w:t xml:space="preserve">Reranking (Cross-Encoder)</w:t>
      </w:r>
    </w:p>
    <w:p>
      <w:pPr>
        <w:spacing w:after="60" w:before="60"/>
      </w:pPr>
      <w:r>
        <w:rPr>
          <w:rFonts w:ascii="Arial" w:cs="Arial" w:eastAsia="Arial" w:hAnsi="Arial"/>
          <w:b w:val="false"/>
          <w:bCs w:val="false"/>
          <w:color w:val="0D1117"/>
          <w:sz w:val="22"/>
          <w:szCs w:val="22"/>
        </w:rPr>
        <w:t xml:space="preserve">After retrieval, a cross-encoder model jointly encodes the query and each candidate chunk to produce a more accurate relevance score. The top-K results are re-sorted and the bottom fraction discarded before generation.</w:t>
      </w:r>
    </w:p>
    <w:p>
      <w:pPr>
        <w:pBdr>
          <w:left w:val="single" w:color="00A896" w:sz="16"/>
        </w:pBdr>
        <w:shd w:fill="F5F7FA" w:val="clear"/>
        <w:spacing w:after="120" w:before="120"/>
        <w:ind w:left="720"/>
      </w:pPr>
      <w:r>
        <w:rPr>
          <w:rFonts w:ascii="Arial" w:cs="Arial" w:eastAsia="Arial" w:hAnsi="Arial"/>
          <w:b/>
          <w:bCs/>
          <w:color w:val="00A896"/>
          <w:sz w:val="22"/>
          <w:szCs w:val="22"/>
        </w:rPr>
        <w:t xml:space="preserve">Reranking is the single highest-impact optimization in most RAG pipelines. It directly improves the quality of context sent to the LLM.</w:t>
      </w:r>
    </w:p>
    <w:p>
      <w:pPr>
        <w:spacing w:after="0" w:before="80"/>
      </w:pPr>
      <w:r>
        <w:t xml:space="preserve"/>
      </w:r>
    </w:p>
    <w:p>
      <w:pPr>
        <w:pStyle w:val="Heading2"/>
        <w:spacing w:after="120" w:before="300"/>
      </w:pPr>
      <w:r>
        <w:rPr>
          <w:rFonts w:ascii="Arial" w:cs="Arial" w:eastAsia="Arial" w:hAnsi="Arial"/>
          <w:b/>
          <w:bCs/>
          <w:color w:val="0A3D62"/>
          <w:sz w:val="28"/>
          <w:szCs w:val="28"/>
        </w:rPr>
        <w:t xml:space="preserve">3.4 Prompt Engineering in RAG</w:t>
      </w:r>
    </w:p>
    <w:p>
      <w:pPr>
        <w:spacing w:after="60" w:before="60"/>
      </w:pPr>
      <w:r>
        <w:rPr>
          <w:rFonts w:ascii="Arial" w:cs="Arial" w:eastAsia="Arial" w:hAnsi="Arial"/>
          <w:b w:val="false"/>
          <w:bCs w:val="false"/>
          <w:color w:val="0D1117"/>
          <w:sz w:val="22"/>
          <w:szCs w:val="22"/>
        </w:rPr>
        <w:t xml:space="preserve">The RAG prompt serves multiple purposes simultaneously:</w:t>
      </w:r>
    </w:p>
    <w:p>
      <w:pPr>
        <w:pStyle w:val="ListParagraph"/>
        <w:numPr>
          <w:ilvl w:val="0"/>
          <w:numId w:val="2"/>
        </w:numPr>
        <w:spacing w:after="40" w:before="40"/>
      </w:pPr>
      <w:r>
        <w:rPr>
          <w:rFonts w:ascii="Arial" w:cs="Arial" w:eastAsia="Arial" w:hAnsi="Arial"/>
          <w:color w:val="0D1117"/>
          <w:sz w:val="22"/>
          <w:szCs w:val="22"/>
        </w:rPr>
        <w:t xml:space="preserve">Instruct the LLM to synthesize the retrieved chunks into a coherent answer.</w:t>
      </w:r>
    </w:p>
    <w:p>
      <w:pPr>
        <w:pStyle w:val="ListParagraph"/>
        <w:numPr>
          <w:ilvl w:val="0"/>
          <w:numId w:val="2"/>
        </w:numPr>
        <w:spacing w:after="40" w:before="40"/>
      </w:pPr>
      <w:r>
        <w:rPr>
          <w:rFonts w:ascii="Arial" w:cs="Arial" w:eastAsia="Arial" w:hAnsi="Arial"/>
          <w:color w:val="0D1117"/>
          <w:sz w:val="22"/>
          <w:szCs w:val="22"/>
        </w:rPr>
        <w:t xml:space="preserve">Set output format, tone, and length constraints.</w:t>
      </w:r>
    </w:p>
    <w:p>
      <w:pPr>
        <w:pStyle w:val="ListParagraph"/>
        <w:numPr>
          <w:ilvl w:val="0"/>
          <w:numId w:val="2"/>
        </w:numPr>
        <w:spacing w:after="40" w:before="40"/>
      </w:pPr>
      <w:r>
        <w:rPr>
          <w:rFonts w:ascii="Arial" w:cs="Arial" w:eastAsia="Arial" w:hAnsi="Arial"/>
          <w:color w:val="0D1117"/>
          <w:sz w:val="22"/>
          <w:szCs w:val="22"/>
        </w:rPr>
        <w:t xml:space="preserve">Include negative instructions to prevent hallucination (e.g., 'If the answer is not in the provided context, say so explicitly').</w:t>
      </w:r>
    </w:p>
    <w:p>
      <w:pPr>
        <w:pStyle w:val="ListParagraph"/>
        <w:numPr>
          <w:ilvl w:val="0"/>
          <w:numId w:val="2"/>
        </w:numPr>
        <w:spacing w:after="40" w:before="40"/>
      </w:pPr>
      <w:r>
        <w:rPr>
          <w:rFonts w:ascii="Arial" w:cs="Arial" w:eastAsia="Arial" w:hAnsi="Arial"/>
          <w:color w:val="0D1117"/>
          <w:sz w:val="22"/>
          <w:szCs w:val="22"/>
        </w:rPr>
        <w:t xml:space="preserve">Guard against prompt injection attacks from malicious content in retrieved documents.</w:t>
      </w:r>
    </w:p>
    <w:p>
      <w:pPr>
        <w:spacing w:after="0" w:before="40"/>
      </w:pPr>
      <w:r>
        <w:t xml:space="preserve"/>
      </w:r>
    </w:p>
    <w:p>
      <w:pPr>
        <w:spacing w:after="60" w:before="60"/>
      </w:pPr>
      <w:r>
        <w:rPr>
          <w:rFonts w:ascii="Arial" w:cs="Arial" w:eastAsia="Arial" w:hAnsi="Arial"/>
          <w:b w:val="false"/>
          <w:bCs w:val="false"/>
          <w:color w:val="0D1117"/>
          <w:sz w:val="22"/>
          <w:szCs w:val="22"/>
        </w:rPr>
        <w:t xml:space="preserve">Prompts require ongoing maintenance as LLM behavior evolves. Version-control your prompts alongside your application code.</w:t>
      </w:r>
    </w:p>
    <w:p>
      <w:pPr>
        <w:spacing w:after="0" w:before="80"/>
      </w:pPr>
      <w:r>
        <w:t xml:space="preserve"/>
      </w:r>
    </w:p>
    <w:p>
      <w:pPr>
        <w:pStyle w:val="Heading2"/>
        <w:spacing w:after="120" w:before="300"/>
      </w:pPr>
      <w:r>
        <w:rPr>
          <w:rFonts w:ascii="Arial" w:cs="Arial" w:eastAsia="Arial" w:hAnsi="Arial"/>
          <w:b/>
          <w:bCs/>
          <w:color w:val="0A3D62"/>
          <w:sz w:val="28"/>
          <w:szCs w:val="28"/>
        </w:rPr>
        <w:t xml:space="preserve">3.5 Hallucination Detection &amp; Correction</w:t>
      </w:r>
    </w:p>
    <w:p>
      <w:pPr>
        <w:spacing w:after="60" w:before="60"/>
      </w:pPr>
      <w:r>
        <w:rPr>
          <w:rFonts w:ascii="Arial" w:cs="Arial" w:eastAsia="Arial" w:hAnsi="Arial"/>
          <w:b w:val="false"/>
          <w:bCs w:val="false"/>
          <w:color w:val="0D1117"/>
          <w:sz w:val="22"/>
          <w:szCs w:val="22"/>
        </w:rPr>
        <w:t xml:space="preserve">Even with RAG, LLMs can generate statements that contradict the retrieved context. Hallucination detection runs a consistency check between the generated response and the source chunks.</w:t>
      </w:r>
    </w:p>
    <w:p>
      <w:pPr>
        <w:spacing w:after="0" w:before="40"/>
      </w:pPr>
      <w:r>
        <w:t xml:space="preserve"/>
      </w:r>
    </w:p>
    <w:p>
      <w:pPr>
        <w:pStyle w:val="ListParagraph"/>
        <w:numPr>
          <w:ilvl w:val="0"/>
          <w:numId w:val="2"/>
        </w:numPr>
        <w:spacing w:after="40" w:before="40"/>
      </w:pPr>
      <w:r>
        <w:rPr>
          <w:rFonts w:ascii="Arial" w:cs="Arial" w:eastAsia="Arial" w:hAnsi="Arial"/>
          <w:color w:val="0D1117"/>
          <w:sz w:val="22"/>
          <w:szCs w:val="22"/>
        </w:rPr>
        <w:t xml:space="preserve">Factual Consistency Score (FCS): Scores 0–1 the degree to which the response is supported by retrieved context. Vectara's enable_factual_consistency_score returns this automatically.</w:t>
      </w:r>
    </w:p>
    <w:p>
      <w:pPr>
        <w:pStyle w:val="ListParagraph"/>
        <w:numPr>
          <w:ilvl w:val="0"/>
          <w:numId w:val="2"/>
        </w:numPr>
        <w:spacing w:after="40" w:before="40"/>
      </w:pPr>
      <w:r>
        <w:rPr>
          <w:rFonts w:ascii="Arial" w:cs="Arial" w:eastAsia="Arial" w:hAnsi="Arial"/>
          <w:color w:val="0D1117"/>
          <w:sz w:val="22"/>
          <w:szCs w:val="22"/>
        </w:rPr>
        <w:t xml:space="preserve">Threshold-based gating: Responses below a confidence threshold are flagged, held for review, or automatically corrected.</w:t>
      </w:r>
    </w:p>
    <w:p>
      <w:pPr>
        <w:pStyle w:val="ListParagraph"/>
        <w:numPr>
          <w:ilvl w:val="0"/>
          <w:numId w:val="2"/>
        </w:numPr>
        <w:spacing w:after="40" w:before="40"/>
      </w:pPr>
      <w:r>
        <w:rPr>
          <w:rFonts w:ascii="Arial" w:cs="Arial" w:eastAsia="Arial" w:hAnsi="Arial"/>
          <w:color w:val="0D1117"/>
          <w:sz w:val="22"/>
          <w:szCs w:val="22"/>
        </w:rPr>
        <w:t xml:space="preserve">Hallucination correction: Some platforms (e.g., Vectara's /hallucination_correctors endpoint) can automatically rewrite flagged spans to align with source evidence.</w:t>
      </w:r>
    </w:p>
    <w:p>
      <w:pPr>
        <w:pBdr>
          <w:bottom w:val="single" w:color="D0D7DE" w:sz="4"/>
        </w:pBdr>
        <w:spacing w:after="160" w:before="160"/>
      </w:pPr>
      <w:r>
        <w:t xml:space="preserve"/>
      </w:r>
    </w:p>
    <w:p>
      <w:pPr>
        <w:pStyle w:val="Heading1"/>
        <w:spacing w:after="160" w:before="400"/>
      </w:pPr>
      <w:r>
        <w:rPr>
          <w:rFonts w:ascii="Arial" w:cs="Arial" w:eastAsia="Arial" w:hAnsi="Arial"/>
          <w:b/>
          <w:bCs/>
          <w:color w:val="0A3D62"/>
          <w:sz w:val="36"/>
          <w:szCs w:val="36"/>
        </w:rPr>
        <w:t xml:space="preserve">4. Build vs Buy — DIY Stack vs RAG Platform</w:t>
      </w:r>
    </w:p>
    <w:p>
      <w:pPr>
        <w:spacing w:after="0" w:before="40"/>
      </w:pPr>
      <w:r>
        <w:t xml:space="preserve"/>
      </w:r>
    </w:p>
    <w:p>
      <w:pPr>
        <w:pStyle w:val="Heading2"/>
        <w:spacing w:after="120" w:before="300"/>
      </w:pPr>
      <w:r>
        <w:rPr>
          <w:rFonts w:ascii="Arial" w:cs="Arial" w:eastAsia="Arial" w:hAnsi="Arial"/>
          <w:b/>
          <w:bCs/>
          <w:color w:val="0A3D62"/>
          <w:sz w:val="28"/>
          <w:szCs w:val="28"/>
        </w:rPr>
        <w:t xml:space="preserve">4.1 DIY RAG Stack</w:t>
      </w:r>
    </w:p>
    <w:p>
      <w:pPr>
        <w:spacing w:after="60" w:before="60"/>
      </w:pPr>
      <w:r>
        <w:rPr>
          <w:rFonts w:ascii="Arial" w:cs="Arial" w:eastAsia="Arial" w:hAnsi="Arial"/>
          <w:b w:val="false"/>
          <w:bCs w:val="false"/>
          <w:color w:val="0D1117"/>
          <w:sz w:val="22"/>
          <w:szCs w:val="22"/>
        </w:rPr>
        <w:t xml:space="preserve">A DIY RAG stack assembles individual open-source or commercial components: a vector database, embedding model, retrieval pipeline, LLM API, and custom orchestration (LangChain, LlamaIndex, or custom Python).</w:t>
      </w:r>
    </w:p>
    <w:p>
      <w:pPr>
        <w:spacing w:after="0" w:before="40"/>
      </w:pPr>
      <w:r>
        <w:t xml:space="preserve"/>
      </w:r>
    </w:p>
    <w:p>
      <w:pPr>
        <w:spacing w:after="80" w:before="200"/>
      </w:pPr>
      <w:r>
        <w:rPr>
          <w:rFonts w:ascii="Arial" w:cs="Arial" w:eastAsia="Arial" w:hAnsi="Arial"/>
          <w:b/>
          <w:bCs/>
          <w:color w:val="D4A000"/>
          <w:sz w:val="24"/>
          <w:szCs w:val="24"/>
        </w:rPr>
        <w:t xml:space="preserve">Advantages</w:t>
      </w:r>
    </w:p>
    <w:p>
      <w:pPr>
        <w:pStyle w:val="ListParagraph"/>
        <w:numPr>
          <w:ilvl w:val="0"/>
          <w:numId w:val="2"/>
        </w:numPr>
        <w:spacing w:after="40" w:before="40"/>
      </w:pPr>
      <w:r>
        <w:rPr>
          <w:rFonts w:ascii="Arial" w:cs="Arial" w:eastAsia="Arial" w:hAnsi="Arial"/>
          <w:color w:val="0D1117"/>
          <w:sz w:val="22"/>
          <w:szCs w:val="22"/>
        </w:rPr>
        <w:t xml:space="preserve">Maximum control over every component and configuration.</w:t>
      </w:r>
    </w:p>
    <w:p>
      <w:pPr>
        <w:pStyle w:val="ListParagraph"/>
        <w:numPr>
          <w:ilvl w:val="0"/>
          <w:numId w:val="2"/>
        </w:numPr>
        <w:spacing w:after="40" w:before="40"/>
      </w:pPr>
      <w:r>
        <w:rPr>
          <w:rFonts w:ascii="Arial" w:cs="Arial" w:eastAsia="Arial" w:hAnsi="Arial"/>
          <w:color w:val="0D1117"/>
          <w:sz w:val="22"/>
          <w:szCs w:val="22"/>
        </w:rPr>
        <w:t xml:space="preserve">Freedom to use proprietary or fine-tuned models.</w:t>
      </w:r>
    </w:p>
    <w:p>
      <w:pPr>
        <w:pStyle w:val="ListParagraph"/>
        <w:numPr>
          <w:ilvl w:val="0"/>
          <w:numId w:val="2"/>
        </w:numPr>
        <w:spacing w:after="40" w:before="40"/>
      </w:pPr>
      <w:r>
        <w:rPr>
          <w:rFonts w:ascii="Arial" w:cs="Arial" w:eastAsia="Arial" w:hAnsi="Arial"/>
          <w:color w:val="0D1117"/>
          <w:sz w:val="22"/>
          <w:szCs w:val="22"/>
        </w:rPr>
        <w:t xml:space="preserve">No vendor lock-in on any single component.</w:t>
      </w:r>
    </w:p>
    <w:p>
      <w:pPr>
        <w:pStyle w:val="ListParagraph"/>
        <w:numPr>
          <w:ilvl w:val="0"/>
          <w:numId w:val="2"/>
        </w:numPr>
        <w:spacing w:after="40" w:before="40"/>
      </w:pPr>
      <w:r>
        <w:rPr>
          <w:rFonts w:ascii="Arial" w:cs="Arial" w:eastAsia="Arial" w:hAnsi="Arial"/>
          <w:color w:val="0D1117"/>
          <w:sz w:val="22"/>
          <w:szCs w:val="22"/>
        </w:rPr>
        <w:t xml:space="preserve">Can be tailored to highly specialized domain requirements.</w:t>
      </w:r>
    </w:p>
    <w:p>
      <w:pPr>
        <w:spacing w:after="0" w:before="40"/>
      </w:pPr>
      <w:r>
        <w:t xml:space="preserve"/>
      </w:r>
    </w:p>
    <w:p>
      <w:pPr>
        <w:spacing w:after="80" w:before="200"/>
      </w:pPr>
      <w:r>
        <w:rPr>
          <w:rFonts w:ascii="Arial" w:cs="Arial" w:eastAsia="Arial" w:hAnsi="Arial"/>
          <w:b/>
          <w:bCs/>
          <w:color w:val="C0392B"/>
          <w:sz w:val="24"/>
          <w:szCs w:val="24"/>
        </w:rPr>
        <w:t xml:space="preserve">Disadvantages</w:t>
      </w:r>
    </w:p>
    <w:p>
      <w:pPr>
        <w:pStyle w:val="ListParagraph"/>
        <w:numPr>
          <w:ilvl w:val="0"/>
          <w:numId w:val="2"/>
        </w:numPr>
        <w:spacing w:after="40" w:before="40"/>
      </w:pPr>
      <w:r>
        <w:rPr>
          <w:rFonts w:ascii="Arial" w:cs="Arial" w:eastAsia="Arial" w:hAnsi="Arial"/>
          <w:color w:val="0D1117"/>
          <w:sz w:val="22"/>
          <w:szCs w:val="22"/>
        </w:rPr>
        <w:t xml:space="preserve">High operational complexity: provisioning, scaling, patching, monitoring.</w:t>
      </w:r>
    </w:p>
    <w:p>
      <w:pPr>
        <w:pStyle w:val="ListParagraph"/>
        <w:numPr>
          <w:ilvl w:val="0"/>
          <w:numId w:val="2"/>
        </w:numPr>
        <w:spacing w:after="40" w:before="40"/>
      </w:pPr>
      <w:r>
        <w:rPr>
          <w:rFonts w:ascii="Arial" w:cs="Arial" w:eastAsia="Arial" w:hAnsi="Arial"/>
          <w:color w:val="0D1117"/>
          <w:sz w:val="22"/>
          <w:szCs w:val="22"/>
        </w:rPr>
        <w:t xml:space="preserve">RAG sprawl: multiple teams build incompatible stacks, creating security and governance gaps.</w:t>
      </w:r>
    </w:p>
    <w:p>
      <w:pPr>
        <w:pStyle w:val="ListParagraph"/>
        <w:numPr>
          <w:ilvl w:val="0"/>
          <w:numId w:val="2"/>
        </w:numPr>
        <w:spacing w:after="40" w:before="40"/>
      </w:pPr>
      <w:r>
        <w:rPr>
          <w:rFonts w:ascii="Arial" w:cs="Arial" w:eastAsia="Arial" w:hAnsi="Arial"/>
          <w:color w:val="0D1117"/>
          <w:sz w:val="22"/>
          <w:szCs w:val="22"/>
        </w:rPr>
        <w:t xml:space="preserve">Ongoing engineering burden for retrieval optimization, model updates, and prompt re-engineering.</w:t>
      </w:r>
    </w:p>
    <w:p>
      <w:pPr>
        <w:pStyle w:val="ListParagraph"/>
        <w:numPr>
          <w:ilvl w:val="0"/>
          <w:numId w:val="2"/>
        </w:numPr>
        <w:spacing w:after="40" w:before="40"/>
      </w:pPr>
      <w:r>
        <w:rPr>
          <w:rFonts w:ascii="Arial" w:cs="Arial" w:eastAsia="Arial" w:hAnsi="Arial"/>
          <w:color w:val="0D1117"/>
          <w:sz w:val="22"/>
          <w:szCs w:val="22"/>
        </w:rPr>
        <w:t xml:space="preserve">True TCO (Total Cost of Ownership) is routinely underestimated.</w:t>
      </w:r>
    </w:p>
    <w:p>
      <w:pPr>
        <w:spacing w:after="0" w:before="80"/>
      </w:pPr>
      <w:r>
        <w:t xml:space="preserve"/>
      </w:r>
    </w:p>
    <w:p>
      <w:pPr>
        <w:pStyle w:val="Heading2"/>
        <w:spacing w:after="120" w:before="300"/>
      </w:pPr>
      <w:r>
        <w:rPr>
          <w:rFonts w:ascii="Arial" w:cs="Arial" w:eastAsia="Arial" w:hAnsi="Arial"/>
          <w:b/>
          <w:bCs/>
          <w:color w:val="0A3D62"/>
          <w:sz w:val="28"/>
          <w:szCs w:val="28"/>
        </w:rPr>
        <w:t xml:space="preserve">4.2 RAG Platforms (RAG-as-a-Service)</w:t>
      </w:r>
    </w:p>
    <w:p>
      <w:pPr>
        <w:spacing w:after="60" w:before="60"/>
      </w:pPr>
      <w:r>
        <w:rPr>
          <w:rFonts w:ascii="Arial" w:cs="Arial" w:eastAsia="Arial" w:hAnsi="Arial"/>
          <w:b w:val="false"/>
          <w:bCs w:val="false"/>
          <w:color w:val="0D1117"/>
          <w:sz w:val="22"/>
          <w:szCs w:val="22"/>
        </w:rPr>
        <w:t xml:space="preserve">RAG platforms implement the full pipeline behind a managed API. The developer focuses on what data to index and how to integrate responses — not on infrastructure.</w:t>
      </w:r>
    </w:p>
    <w:p>
      <w:pPr>
        <w:spacing w:after="0" w:before="40"/>
      </w:pPr>
      <w:r>
        <w:t xml:space="preserve"/>
      </w:r>
    </w:p>
    <w:p>
      <w:pPr>
        <w:spacing w:after="80" w:before="200"/>
      </w:pPr>
      <w:r>
        <w:rPr>
          <w:rFonts w:ascii="Arial" w:cs="Arial" w:eastAsia="Arial" w:hAnsi="Arial"/>
          <w:b/>
          <w:bCs/>
          <w:color w:val="00A896"/>
          <w:sz w:val="24"/>
          <w:szCs w:val="24"/>
        </w:rPr>
        <w:t xml:space="preserve">Advantages</w:t>
      </w:r>
    </w:p>
    <w:p>
      <w:pPr>
        <w:pStyle w:val="ListParagraph"/>
        <w:numPr>
          <w:ilvl w:val="0"/>
          <w:numId w:val="2"/>
        </w:numPr>
        <w:spacing w:after="40" w:before="40"/>
      </w:pPr>
      <w:r>
        <w:rPr>
          <w:rFonts w:ascii="Arial" w:cs="Arial" w:eastAsia="Arial" w:hAnsi="Arial"/>
          <w:color w:val="0D1117"/>
          <w:sz w:val="22"/>
          <w:szCs w:val="22"/>
        </w:rPr>
        <w:t xml:space="preserve">Fast time-to-value: days instead of months.</w:t>
      </w:r>
    </w:p>
    <w:p>
      <w:pPr>
        <w:pStyle w:val="ListParagraph"/>
        <w:numPr>
          <w:ilvl w:val="0"/>
          <w:numId w:val="2"/>
        </w:numPr>
        <w:spacing w:after="40" w:before="40"/>
      </w:pPr>
      <w:r>
        <w:rPr>
          <w:rFonts w:ascii="Arial" w:cs="Arial" w:eastAsia="Arial" w:hAnsi="Arial"/>
          <w:color w:val="0D1117"/>
          <w:sz w:val="22"/>
          <w:szCs w:val="22"/>
        </w:rPr>
        <w:t xml:space="preserve">Built-in hybrid search, reranking, hallucination detection, and prompt management.</w:t>
      </w:r>
    </w:p>
    <w:p>
      <w:pPr>
        <w:pStyle w:val="ListParagraph"/>
        <w:numPr>
          <w:ilvl w:val="0"/>
          <w:numId w:val="2"/>
        </w:numPr>
        <w:spacing w:after="40" w:before="40"/>
      </w:pPr>
      <w:r>
        <w:rPr>
          <w:rFonts w:ascii="Arial" w:cs="Arial" w:eastAsia="Arial" w:hAnsi="Arial"/>
          <w:color w:val="0D1117"/>
          <w:sz w:val="22"/>
          <w:szCs w:val="22"/>
        </w:rPr>
        <w:t xml:space="preserve">Centralized governance, security, and compliance (SOC-2, HIPAA, GDPR).</w:t>
      </w:r>
    </w:p>
    <w:p>
      <w:pPr>
        <w:pStyle w:val="ListParagraph"/>
        <w:numPr>
          <w:ilvl w:val="0"/>
          <w:numId w:val="2"/>
        </w:numPr>
        <w:spacing w:after="40" w:before="40"/>
      </w:pPr>
      <w:r>
        <w:rPr>
          <w:rFonts w:ascii="Arial" w:cs="Arial" w:eastAsia="Arial" w:hAnsi="Arial"/>
          <w:color w:val="0D1117"/>
          <w:sz w:val="22"/>
          <w:szCs w:val="22"/>
        </w:rPr>
        <w:t xml:space="preserve">Prevents RAG sprawl: single control plane for all RAG applications.</w:t>
      </w:r>
    </w:p>
    <w:p>
      <w:pPr>
        <w:spacing w:after="0" w:before="40"/>
      </w:pPr>
      <w:r>
        <w:t xml:space="preserve"/>
      </w:r>
    </w:p>
    <w:p>
      <w:pPr>
        <w:spacing w:after="80" w:before="200"/>
      </w:pPr>
      <w:r>
        <w:rPr>
          <w:rFonts w:ascii="Arial" w:cs="Arial" w:eastAsia="Arial" w:hAnsi="Arial"/>
          <w:b/>
          <w:bCs/>
          <w:color w:val="C0392B"/>
          <w:sz w:val="24"/>
          <w:szCs w:val="24"/>
        </w:rPr>
        <w:t xml:space="preserve">Disadvantages</w:t>
      </w:r>
    </w:p>
    <w:p>
      <w:pPr>
        <w:pStyle w:val="ListParagraph"/>
        <w:numPr>
          <w:ilvl w:val="0"/>
          <w:numId w:val="2"/>
        </w:numPr>
        <w:spacing w:after="40" w:before="40"/>
      </w:pPr>
      <w:r>
        <w:rPr>
          <w:rFonts w:ascii="Arial" w:cs="Arial" w:eastAsia="Arial" w:hAnsi="Arial"/>
          <w:color w:val="0D1117"/>
          <w:sz w:val="22"/>
          <w:szCs w:val="22"/>
        </w:rPr>
        <w:t xml:space="preserve">Less granular control over individual components.</w:t>
      </w:r>
    </w:p>
    <w:p>
      <w:pPr>
        <w:pStyle w:val="ListParagraph"/>
        <w:numPr>
          <w:ilvl w:val="0"/>
          <w:numId w:val="2"/>
        </w:numPr>
        <w:spacing w:after="40" w:before="40"/>
      </w:pPr>
      <w:r>
        <w:rPr>
          <w:rFonts w:ascii="Arial" w:cs="Arial" w:eastAsia="Arial" w:hAnsi="Arial"/>
          <w:color w:val="0D1117"/>
          <w:sz w:val="22"/>
          <w:szCs w:val="22"/>
        </w:rPr>
        <w:t xml:space="preserve">Vendor dependency and potential pricing risk at scale.</w:t>
      </w:r>
    </w:p>
    <w:p>
      <w:pPr>
        <w:pStyle w:val="ListParagraph"/>
        <w:numPr>
          <w:ilvl w:val="0"/>
          <w:numId w:val="2"/>
        </w:numPr>
        <w:spacing w:after="40" w:before="40"/>
      </w:pPr>
      <w:r>
        <w:rPr>
          <w:rFonts w:ascii="Arial" w:cs="Arial" w:eastAsia="Arial" w:hAnsi="Arial"/>
          <w:color w:val="0D1117"/>
          <w:sz w:val="22"/>
          <w:szCs w:val="22"/>
        </w:rPr>
        <w:t xml:space="preserve">SaaS-only deployment may not meet air-gap or data residency requirements.</w:t>
      </w:r>
    </w:p>
    <w:p>
      <w:pPr>
        <w:spacing w:after="0" w:before="80"/>
      </w:pPr>
      <w:r>
        <w:t xml:space="preserve"/>
      </w:r>
    </w:p>
    <w:p>
      <w:pPr>
        <w:pStyle w:val="Heading2"/>
        <w:spacing w:after="120" w:before="300"/>
      </w:pPr>
      <w:r>
        <w:rPr>
          <w:rFonts w:ascii="Arial" w:cs="Arial" w:eastAsia="Arial" w:hAnsi="Arial"/>
          <w:b/>
          <w:bCs/>
          <w:color w:val="0A3D62"/>
          <w:sz w:val="28"/>
          <w:szCs w:val="28"/>
        </w:rPr>
        <w:t xml:space="preserve">4.3 Decision Matrix</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0A3D62" w:val="clear"/>
            <w:tcMar>
              <w:top w:type="dxa" w:w="100"/>
              <w:left w:type="dxa" w:w="150"/>
              <w:bottom w:type="dxa" w:w="100"/>
              <w:right w:type="dxa" w:w="150"/>
            </w:tcMar>
          </w:tcPr>
          <w:p>
            <w:r>
              <w:rPr>
                <w:rFonts w:ascii="Arial" w:cs="Arial" w:eastAsia="Arial" w:hAnsi="Arial"/>
                <w:b/>
                <w:bCs/>
                <w:color w:val="FFFFFF"/>
                <w:sz w:val="20"/>
                <w:szCs w:val="20"/>
              </w:rPr>
              <w:t xml:space="preserve">Factor</w:t>
            </w:r>
          </w:p>
        </w:tc>
        <w:tc>
          <w:tcPr>
            <w:tcW w:type="dxa" w:w="3120"/>
            <w:tcBorders>
              <w:top w:val="single" w:color="D0D7DE" w:sz="1"/>
              <w:left w:val="single" w:color="D0D7DE" w:sz="1"/>
              <w:bottom w:val="single" w:color="D0D7DE" w:sz="1"/>
              <w:right w:val="single" w:color="D0D7DE" w:sz="1"/>
            </w:tcBorders>
            <w:shd w:fill="D4A000" w:val="clear"/>
            <w:tcMar>
              <w:top w:type="dxa" w:w="100"/>
              <w:left w:type="dxa" w:w="150"/>
              <w:bottom w:type="dxa" w:w="100"/>
              <w:right w:type="dxa" w:w="150"/>
            </w:tcMar>
          </w:tcPr>
          <w:p>
            <w:r>
              <w:rPr>
                <w:rFonts w:ascii="Arial" w:cs="Arial" w:eastAsia="Arial" w:hAnsi="Arial"/>
                <w:b/>
                <w:bCs/>
                <w:color w:val="0D1117"/>
                <w:sz w:val="20"/>
                <w:szCs w:val="20"/>
              </w:rPr>
              <w:t xml:space="preserve">Choose DIY</w:t>
            </w:r>
          </w:p>
        </w:tc>
        <w:tc>
          <w:tcPr>
            <w:tcW w:type="dxa" w:w="3120"/>
            <w:tcBorders>
              <w:top w:val="single" w:color="D0D7DE" w:sz="1"/>
              <w:left w:val="single" w:color="D0D7DE" w:sz="1"/>
              <w:bottom w:val="single" w:color="D0D7DE" w:sz="1"/>
              <w:right w:val="single" w:color="D0D7DE" w:sz="1"/>
            </w:tcBorders>
            <w:shd w:fill="00A896" w:val="clear"/>
            <w:tcMar>
              <w:top w:type="dxa" w:w="100"/>
              <w:left w:type="dxa" w:w="150"/>
              <w:bottom w:type="dxa" w:w="100"/>
              <w:right w:type="dxa" w:w="150"/>
            </w:tcMar>
          </w:tcPr>
          <w:p>
            <w:r>
              <w:rPr>
                <w:rFonts w:ascii="Arial" w:cs="Arial" w:eastAsia="Arial" w:hAnsi="Arial"/>
                <w:b/>
                <w:bCs/>
                <w:color w:val="FFFFFF"/>
                <w:sz w:val="20"/>
                <w:szCs w:val="20"/>
              </w:rPr>
              <w:t xml:space="preserve">Choose Platform</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bCs/>
                <w:color w:val="0D1117"/>
                <w:sz w:val="20"/>
                <w:szCs w:val="20"/>
              </w:rPr>
              <w:t xml:space="preserve">Team size</w:t>
            </w:r>
          </w:p>
        </w:tc>
        <w:tc>
          <w:tcPr>
            <w:tcW w:type="dxa" w:w="3120"/>
            <w:tcBorders>
              <w:top w:val="single" w:color="D0D7DE" w:sz="1"/>
              <w:left w:val="single" w:color="D0D7DE" w:sz="1"/>
              <w:bottom w:val="single" w:color="D0D7DE" w:sz="1"/>
              <w:right w:val="single" w:color="D0D7DE" w:sz="1"/>
            </w:tcBorders>
            <w:shd w:fill="FFFDE7" w:val="clear"/>
            <w:tcMar>
              <w:top w:type="dxa" w:w="80"/>
              <w:left w:type="dxa" w:w="150"/>
              <w:bottom w:type="dxa" w:w="80"/>
              <w:right w:type="dxa" w:w="150"/>
            </w:tcMar>
          </w:tcPr>
          <w:p>
            <w:r>
              <w:rPr>
                <w:rFonts w:ascii="Arial" w:cs="Arial" w:eastAsia="Arial" w:hAnsi="Arial"/>
                <w:b w:val="false"/>
                <w:bCs w:val="false"/>
                <w:color w:val="0D1117"/>
                <w:sz w:val="20"/>
                <w:szCs w:val="20"/>
              </w:rPr>
              <w:t xml:space="preserve">10+ ML/infra engineers</w:t>
            </w:r>
          </w:p>
        </w:tc>
        <w:tc>
          <w:tcPr>
            <w:tcW w:type="dxa" w:w="3120"/>
            <w:tcBorders>
              <w:top w:val="single" w:color="D0D7DE" w:sz="1"/>
              <w:left w:val="single" w:color="D0D7DE" w:sz="1"/>
              <w:bottom w:val="single" w:color="D0D7DE" w:sz="1"/>
              <w:right w:val="single" w:color="D0D7DE" w:sz="1"/>
            </w:tcBorders>
            <w:shd w:fill="E0F7F5" w:val="clear"/>
            <w:tcMar>
              <w:top w:type="dxa" w:w="80"/>
              <w:left w:type="dxa" w:w="150"/>
              <w:bottom w:type="dxa" w:w="80"/>
              <w:right w:type="dxa" w:w="150"/>
            </w:tcMar>
          </w:tcPr>
          <w:p>
            <w:r>
              <w:rPr>
                <w:rFonts w:ascii="Arial" w:cs="Arial" w:eastAsia="Arial" w:hAnsi="Arial"/>
                <w:b w:val="false"/>
                <w:bCs w:val="false"/>
                <w:color w:val="0D1117"/>
                <w:sz w:val="20"/>
                <w:szCs w:val="20"/>
              </w:rPr>
              <w:t xml:space="preserve">Small or lean team</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bCs/>
                <w:color w:val="0D1117"/>
                <w:sz w:val="20"/>
                <w:szCs w:val="20"/>
              </w:rPr>
              <w:t xml:space="preserve">Number of RAG apps</w:t>
            </w:r>
          </w:p>
        </w:tc>
        <w:tc>
          <w:tcPr>
            <w:tcW w:type="dxa" w:w="3120"/>
            <w:tcBorders>
              <w:top w:val="single" w:color="D0D7DE" w:sz="1"/>
              <w:left w:val="single" w:color="D0D7DE" w:sz="1"/>
              <w:bottom w:val="single" w:color="D0D7DE" w:sz="1"/>
              <w:right w:val="single" w:color="D0D7DE" w:sz="1"/>
            </w:tcBorders>
            <w:shd w:fill="FFFFF5" w:val="clear"/>
            <w:tcMar>
              <w:top w:type="dxa" w:w="80"/>
              <w:left w:type="dxa" w:w="150"/>
              <w:bottom w:type="dxa" w:w="80"/>
              <w:right w:type="dxa" w:w="150"/>
            </w:tcMar>
          </w:tcPr>
          <w:p>
            <w:r>
              <w:rPr>
                <w:rFonts w:ascii="Arial" w:cs="Arial" w:eastAsia="Arial" w:hAnsi="Arial"/>
                <w:b w:val="false"/>
                <w:bCs w:val="false"/>
                <w:color w:val="0D1117"/>
                <w:sz w:val="20"/>
                <w:szCs w:val="20"/>
              </w:rPr>
              <w:t xml:space="preserve">1 flagship product</w:t>
            </w:r>
          </w:p>
        </w:tc>
        <w:tc>
          <w:tcPr>
            <w:tcW w:type="dxa" w:w="3120"/>
            <w:tcBorders>
              <w:top w:val="single" w:color="D0D7DE" w:sz="1"/>
              <w:left w:val="single" w:color="D0D7DE" w:sz="1"/>
              <w:bottom w:val="single" w:color="D0D7DE" w:sz="1"/>
              <w:right w:val="single" w:color="D0D7DE" w:sz="1"/>
            </w:tcBorders>
            <w:shd w:fill="F0FDFC" w:val="clear"/>
            <w:tcMar>
              <w:top w:type="dxa" w:w="80"/>
              <w:left w:type="dxa" w:w="150"/>
              <w:bottom w:type="dxa" w:w="80"/>
              <w:right w:type="dxa" w:w="150"/>
            </w:tcMar>
          </w:tcPr>
          <w:p>
            <w:r>
              <w:rPr>
                <w:rFonts w:ascii="Arial" w:cs="Arial" w:eastAsia="Arial" w:hAnsi="Arial"/>
                <w:b w:val="false"/>
                <w:bCs w:val="false"/>
                <w:color w:val="0D1117"/>
                <w:sz w:val="20"/>
                <w:szCs w:val="20"/>
              </w:rPr>
              <w:t xml:space="preserve">Multiple apps or teams</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bCs/>
                <w:color w:val="0D1117"/>
                <w:sz w:val="20"/>
                <w:szCs w:val="20"/>
              </w:rPr>
              <w:t xml:space="preserve">Compliance</w:t>
            </w:r>
          </w:p>
        </w:tc>
        <w:tc>
          <w:tcPr>
            <w:tcW w:type="dxa" w:w="3120"/>
            <w:tcBorders>
              <w:top w:val="single" w:color="D0D7DE" w:sz="1"/>
              <w:left w:val="single" w:color="D0D7DE" w:sz="1"/>
              <w:bottom w:val="single" w:color="D0D7DE" w:sz="1"/>
              <w:right w:val="single" w:color="D0D7DE" w:sz="1"/>
            </w:tcBorders>
            <w:shd w:fill="FFFDE7" w:val="clear"/>
            <w:tcMar>
              <w:top w:type="dxa" w:w="80"/>
              <w:left w:type="dxa" w:w="150"/>
              <w:bottom w:type="dxa" w:w="80"/>
              <w:right w:type="dxa" w:w="150"/>
            </w:tcMar>
          </w:tcPr>
          <w:p>
            <w:r>
              <w:rPr>
                <w:rFonts w:ascii="Arial" w:cs="Arial" w:eastAsia="Arial" w:hAnsi="Arial"/>
                <w:b w:val="false"/>
                <w:bCs w:val="false"/>
                <w:color w:val="0D1117"/>
                <w:sz w:val="20"/>
                <w:szCs w:val="20"/>
              </w:rPr>
              <w:t xml:space="preserve">Air-gap / full isolation</w:t>
            </w:r>
          </w:p>
        </w:tc>
        <w:tc>
          <w:tcPr>
            <w:tcW w:type="dxa" w:w="3120"/>
            <w:tcBorders>
              <w:top w:val="single" w:color="D0D7DE" w:sz="1"/>
              <w:left w:val="single" w:color="D0D7DE" w:sz="1"/>
              <w:bottom w:val="single" w:color="D0D7DE" w:sz="1"/>
              <w:right w:val="single" w:color="D0D7DE" w:sz="1"/>
            </w:tcBorders>
            <w:shd w:fill="E0F7F5" w:val="clear"/>
            <w:tcMar>
              <w:top w:type="dxa" w:w="80"/>
              <w:left w:type="dxa" w:w="150"/>
              <w:bottom w:type="dxa" w:w="80"/>
              <w:right w:type="dxa" w:w="150"/>
            </w:tcMar>
          </w:tcPr>
          <w:p>
            <w:r>
              <w:rPr>
                <w:rFonts w:ascii="Arial" w:cs="Arial" w:eastAsia="Arial" w:hAnsi="Arial"/>
                <w:b w:val="false"/>
                <w:bCs w:val="false"/>
                <w:color w:val="0D1117"/>
                <w:sz w:val="20"/>
                <w:szCs w:val="20"/>
              </w:rPr>
              <w:t xml:space="preserve">SOC-2 / HIPAA SaaS OK</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bCs/>
                <w:color w:val="0D1117"/>
                <w:sz w:val="20"/>
                <w:szCs w:val="20"/>
              </w:rPr>
              <w:t xml:space="preserve">Budget model</w:t>
            </w:r>
          </w:p>
        </w:tc>
        <w:tc>
          <w:tcPr>
            <w:tcW w:type="dxa" w:w="3120"/>
            <w:tcBorders>
              <w:top w:val="single" w:color="D0D7DE" w:sz="1"/>
              <w:left w:val="single" w:color="D0D7DE" w:sz="1"/>
              <w:bottom w:val="single" w:color="D0D7DE" w:sz="1"/>
              <w:right w:val="single" w:color="D0D7DE" w:sz="1"/>
            </w:tcBorders>
            <w:shd w:fill="FFFFF5" w:val="clear"/>
            <w:tcMar>
              <w:top w:type="dxa" w:w="80"/>
              <w:left w:type="dxa" w:w="150"/>
              <w:bottom w:type="dxa" w:w="80"/>
              <w:right w:type="dxa" w:w="150"/>
            </w:tcMar>
          </w:tcPr>
          <w:p>
            <w:r>
              <w:rPr>
                <w:rFonts w:ascii="Arial" w:cs="Arial" w:eastAsia="Arial" w:hAnsi="Arial"/>
                <w:b w:val="false"/>
                <w:bCs w:val="false"/>
                <w:color w:val="0D1117"/>
                <w:sz w:val="20"/>
                <w:szCs w:val="20"/>
              </w:rPr>
              <w:t xml:space="preserve">CapEx, long-term TCO</w:t>
            </w:r>
          </w:p>
        </w:tc>
        <w:tc>
          <w:tcPr>
            <w:tcW w:type="dxa" w:w="3120"/>
            <w:tcBorders>
              <w:top w:val="single" w:color="D0D7DE" w:sz="1"/>
              <w:left w:val="single" w:color="D0D7DE" w:sz="1"/>
              <w:bottom w:val="single" w:color="D0D7DE" w:sz="1"/>
              <w:right w:val="single" w:color="D0D7DE" w:sz="1"/>
            </w:tcBorders>
            <w:shd w:fill="F0FDFC" w:val="clear"/>
            <w:tcMar>
              <w:top w:type="dxa" w:w="80"/>
              <w:left w:type="dxa" w:w="150"/>
              <w:bottom w:type="dxa" w:w="80"/>
              <w:right w:type="dxa" w:w="150"/>
            </w:tcMar>
          </w:tcPr>
          <w:p>
            <w:r>
              <w:rPr>
                <w:rFonts w:ascii="Arial" w:cs="Arial" w:eastAsia="Arial" w:hAnsi="Arial"/>
                <w:b w:val="false"/>
                <w:bCs w:val="false"/>
                <w:color w:val="0D1117"/>
                <w:sz w:val="20"/>
                <w:szCs w:val="20"/>
              </w:rPr>
              <w:t xml:space="preserve">OpEx, pay-as-you-go</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bCs/>
                <w:color w:val="0D1117"/>
                <w:sz w:val="20"/>
                <w:szCs w:val="20"/>
              </w:rPr>
              <w:t xml:space="preserve">Speed to market</w:t>
            </w:r>
          </w:p>
        </w:tc>
        <w:tc>
          <w:tcPr>
            <w:tcW w:type="dxa" w:w="3120"/>
            <w:tcBorders>
              <w:top w:val="single" w:color="D0D7DE" w:sz="1"/>
              <w:left w:val="single" w:color="D0D7DE" w:sz="1"/>
              <w:bottom w:val="single" w:color="D0D7DE" w:sz="1"/>
              <w:right w:val="single" w:color="D0D7DE" w:sz="1"/>
            </w:tcBorders>
            <w:shd w:fill="FFFDE7" w:val="clear"/>
            <w:tcMar>
              <w:top w:type="dxa" w:w="80"/>
              <w:left w:type="dxa" w:w="150"/>
              <w:bottom w:type="dxa" w:w="80"/>
              <w:right w:type="dxa" w:w="150"/>
            </w:tcMar>
          </w:tcPr>
          <w:p>
            <w:r>
              <w:rPr>
                <w:rFonts w:ascii="Arial" w:cs="Arial" w:eastAsia="Arial" w:hAnsi="Arial"/>
                <w:b w:val="false"/>
                <w:bCs w:val="false"/>
                <w:color w:val="0D1117"/>
                <w:sz w:val="20"/>
                <w:szCs w:val="20"/>
              </w:rPr>
              <w:t xml:space="preserve">6–12 months</w:t>
            </w:r>
          </w:p>
        </w:tc>
        <w:tc>
          <w:tcPr>
            <w:tcW w:type="dxa" w:w="3120"/>
            <w:tcBorders>
              <w:top w:val="single" w:color="D0D7DE" w:sz="1"/>
              <w:left w:val="single" w:color="D0D7DE" w:sz="1"/>
              <w:bottom w:val="single" w:color="D0D7DE" w:sz="1"/>
              <w:right w:val="single" w:color="D0D7DE" w:sz="1"/>
            </w:tcBorders>
            <w:shd w:fill="E0F7F5" w:val="clear"/>
            <w:tcMar>
              <w:top w:type="dxa" w:w="80"/>
              <w:left w:type="dxa" w:w="150"/>
              <w:bottom w:type="dxa" w:w="80"/>
              <w:right w:type="dxa" w:w="150"/>
            </w:tcMar>
          </w:tcPr>
          <w:p>
            <w:r>
              <w:rPr>
                <w:rFonts w:ascii="Arial" w:cs="Arial" w:eastAsia="Arial" w:hAnsi="Arial"/>
                <w:b w:val="false"/>
                <w:bCs w:val="false"/>
                <w:color w:val="0D1117"/>
                <w:sz w:val="20"/>
                <w:szCs w:val="20"/>
              </w:rPr>
              <w:t xml:space="preserve">Days to weeks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50"/>
              <w:bottom w:type="dxa" w:w="80"/>
              <w:right w:type="dxa" w:w="150"/>
            </w:tcMar>
          </w:tcPr>
          <w:p>
            <w:r>
              <w:rPr>
                <w:rFonts w:ascii="Arial" w:cs="Arial" w:eastAsia="Arial" w:hAnsi="Arial"/>
                <w:b/>
                <w:bCs/>
                <w:color w:val="0D1117"/>
                <w:sz w:val="20"/>
                <w:szCs w:val="20"/>
              </w:rPr>
              <w:t xml:space="preserve">Custom LLM/embedding</w:t>
            </w:r>
          </w:p>
        </w:tc>
        <w:tc>
          <w:tcPr>
            <w:tcW w:type="dxa" w:w="3120"/>
            <w:tcBorders>
              <w:top w:val="single" w:color="D0D7DE" w:sz="1"/>
              <w:left w:val="single" w:color="D0D7DE" w:sz="1"/>
              <w:bottom w:val="single" w:color="D0D7DE" w:sz="1"/>
              <w:right w:val="single" w:color="D0D7DE" w:sz="1"/>
            </w:tcBorders>
            <w:shd w:fill="FFFFF5" w:val="clear"/>
            <w:tcMar>
              <w:top w:type="dxa" w:w="80"/>
              <w:left w:type="dxa" w:w="150"/>
              <w:bottom w:type="dxa" w:w="80"/>
              <w:right w:type="dxa" w:w="150"/>
            </w:tcMar>
          </w:tcPr>
          <w:p>
            <w:r>
              <w:rPr>
                <w:rFonts w:ascii="Arial" w:cs="Arial" w:eastAsia="Arial" w:hAnsi="Arial"/>
                <w:b w:val="false"/>
                <w:bCs w:val="false"/>
                <w:color w:val="0D1117"/>
                <w:sz w:val="20"/>
                <w:szCs w:val="20"/>
              </w:rPr>
              <w:t xml:space="preserve">Yes, proprietary model</w:t>
            </w:r>
          </w:p>
        </w:tc>
        <w:tc>
          <w:tcPr>
            <w:tcW w:type="dxa" w:w="3120"/>
            <w:tcBorders>
              <w:top w:val="single" w:color="D0D7DE" w:sz="1"/>
              <w:left w:val="single" w:color="D0D7DE" w:sz="1"/>
              <w:bottom w:val="single" w:color="D0D7DE" w:sz="1"/>
              <w:right w:val="single" w:color="D0D7DE" w:sz="1"/>
            </w:tcBorders>
            <w:shd w:fill="F0FDFC" w:val="clear"/>
            <w:tcMar>
              <w:top w:type="dxa" w:w="80"/>
              <w:left w:type="dxa" w:w="150"/>
              <w:bottom w:type="dxa" w:w="80"/>
              <w:right w:type="dxa" w:w="150"/>
            </w:tcMar>
          </w:tcPr>
          <w:p>
            <w:r>
              <w:rPr>
                <w:rFonts w:ascii="Arial" w:cs="Arial" w:eastAsia="Arial" w:hAnsi="Arial"/>
                <w:b w:val="false"/>
                <w:bCs w:val="false"/>
                <w:color w:val="0D1117"/>
                <w:sz w:val="20"/>
                <w:szCs w:val="20"/>
              </w:rPr>
              <w:t xml:space="preserve">Standard models sufficient</w:t>
            </w:r>
          </w:p>
        </w:tc>
      </w:tr>
      <w:tr>
        <w:tc>
          <w:tcPr>
            <w:tcW w:type="dxa" w:w="3120"/>
            <w:tcBorders>
              <w:top w:val="single" w:color="D0D7DE" w:sz="1"/>
              <w:left w:val="single" w:color="D0D7DE" w:sz="1"/>
              <w:bottom w:val="single" w:color="D0D7DE" w:sz="1"/>
              <w:right w:val="single" w:color="D0D7DE" w:sz="1"/>
            </w:tcBorders>
            <w:shd w:fill="F5F7FA" w:val="clear"/>
            <w:tcMar>
              <w:top w:type="dxa" w:w="80"/>
              <w:left w:type="dxa" w:w="150"/>
              <w:bottom w:type="dxa" w:w="80"/>
              <w:right w:type="dxa" w:w="150"/>
            </w:tcMar>
          </w:tcPr>
          <w:p>
            <w:r>
              <w:rPr>
                <w:rFonts w:ascii="Arial" w:cs="Arial" w:eastAsia="Arial" w:hAnsi="Arial"/>
                <w:b/>
                <w:bCs/>
                <w:color w:val="0D1117"/>
                <w:sz w:val="20"/>
                <w:szCs w:val="20"/>
              </w:rPr>
              <w:t xml:space="preserve">Deployment</w:t>
            </w:r>
          </w:p>
        </w:tc>
        <w:tc>
          <w:tcPr>
            <w:tcW w:type="dxa" w:w="3120"/>
            <w:tcBorders>
              <w:top w:val="single" w:color="D0D7DE" w:sz="1"/>
              <w:left w:val="single" w:color="D0D7DE" w:sz="1"/>
              <w:bottom w:val="single" w:color="D0D7DE" w:sz="1"/>
              <w:right w:val="single" w:color="D0D7DE" w:sz="1"/>
            </w:tcBorders>
            <w:shd w:fill="FFFDE7" w:val="clear"/>
            <w:tcMar>
              <w:top w:type="dxa" w:w="80"/>
              <w:left w:type="dxa" w:w="150"/>
              <w:bottom w:type="dxa" w:w="80"/>
              <w:right w:type="dxa" w:w="150"/>
            </w:tcMar>
          </w:tcPr>
          <w:p>
            <w:r>
              <w:rPr>
                <w:rFonts w:ascii="Arial" w:cs="Arial" w:eastAsia="Arial" w:hAnsi="Arial"/>
                <w:b w:val="false"/>
                <w:bCs w:val="false"/>
                <w:color w:val="0D1117"/>
                <w:sz w:val="20"/>
                <w:szCs w:val="20"/>
              </w:rPr>
              <w:t xml:space="preserve">On-premise / VPC required</w:t>
            </w:r>
          </w:p>
        </w:tc>
        <w:tc>
          <w:tcPr>
            <w:tcW w:type="dxa" w:w="3120"/>
            <w:tcBorders>
              <w:top w:val="single" w:color="D0D7DE" w:sz="1"/>
              <w:left w:val="single" w:color="D0D7DE" w:sz="1"/>
              <w:bottom w:val="single" w:color="D0D7DE" w:sz="1"/>
              <w:right w:val="single" w:color="D0D7DE" w:sz="1"/>
            </w:tcBorders>
            <w:shd w:fill="E0F7F5" w:val="clear"/>
            <w:tcMar>
              <w:top w:type="dxa" w:w="80"/>
              <w:left w:type="dxa" w:w="150"/>
              <w:bottom w:type="dxa" w:w="80"/>
              <w:right w:type="dxa" w:w="150"/>
            </w:tcMar>
          </w:tcPr>
          <w:p>
            <w:r>
              <w:rPr>
                <w:rFonts w:ascii="Arial" w:cs="Arial" w:eastAsia="Arial" w:hAnsi="Arial"/>
                <w:b w:val="false"/>
                <w:bCs w:val="false"/>
                <w:color w:val="0D1117"/>
                <w:sz w:val="20"/>
                <w:szCs w:val="20"/>
              </w:rPr>
              <w:t xml:space="preserve">SaaS acceptable</w:t>
            </w:r>
          </w:p>
        </w:tc>
      </w:tr>
    </w:tbl>
    <w:p>
      <w:pPr>
        <w:pBdr>
          <w:bottom w:val="single" w:color="D0D7DE" w:sz="4"/>
        </w:pBdr>
        <w:spacing w:after="160" w:before="160"/>
      </w:pPr>
      <w:r>
        <w:t xml:space="preserve"/>
      </w:r>
    </w:p>
    <w:p>
      <w:pPr>
        <w:pStyle w:val="Heading1"/>
        <w:spacing w:after="160" w:before="400"/>
      </w:pPr>
      <w:r>
        <w:rPr>
          <w:rFonts w:ascii="Arial" w:cs="Arial" w:eastAsia="Arial" w:hAnsi="Arial"/>
          <w:b/>
          <w:bCs/>
          <w:color w:val="0A3D62"/>
          <w:sz w:val="36"/>
          <w:szCs w:val="36"/>
        </w:rPr>
        <w:t xml:space="preserve">5. Common Challenges &amp; Solutions</w:t>
      </w:r>
    </w:p>
    <w:p>
      <w:pPr>
        <w:spacing w:after="0" w:before="40"/>
      </w:pPr>
      <w:r>
        <w:t xml:space="preserve"/>
      </w:r>
    </w:p>
    <w:p>
      <w:pPr>
        <w:pStyle w:val="Heading2"/>
        <w:spacing w:after="120" w:before="300"/>
      </w:pPr>
      <w:r>
        <w:rPr>
          <w:rFonts w:ascii="Arial" w:cs="Arial" w:eastAsia="Arial" w:hAnsi="Arial"/>
          <w:b/>
          <w:bCs/>
          <w:color w:val="0A3D62"/>
          <w:sz w:val="28"/>
          <w:szCs w:val="28"/>
        </w:rPr>
        <w:t xml:space="preserve">5.1 Chunking Strategy</w:t>
      </w:r>
    </w:p>
    <w:p>
      <w:pPr>
        <w:spacing w:after="60" w:before="60"/>
      </w:pPr>
      <w:r>
        <w:rPr>
          <w:rFonts w:ascii="Arial" w:cs="Arial" w:eastAsia="Arial" w:hAnsi="Arial"/>
          <w:b w:val="false"/>
          <w:bCs w:val="false"/>
          <w:color w:val="0D1117"/>
          <w:sz w:val="22"/>
          <w:szCs w:val="22"/>
        </w:rPr>
        <w:t xml:space="preserve">Poor chunking is one of the most common root causes of low retrieval quality.</w:t>
      </w:r>
    </w:p>
    <w:p>
      <w:pPr>
        <w:pStyle w:val="ListParagraph"/>
        <w:numPr>
          <w:ilvl w:val="0"/>
          <w:numId w:val="2"/>
        </w:numPr>
        <w:spacing w:after="40" w:before="40"/>
      </w:pPr>
      <w:r>
        <w:rPr>
          <w:rFonts w:ascii="Arial" w:cs="Arial" w:eastAsia="Arial" w:hAnsi="Arial"/>
          <w:color w:val="0D1117"/>
          <w:sz w:val="22"/>
          <w:szCs w:val="22"/>
        </w:rPr>
        <w:t xml:space="preserve">Chunks too large: diluted signal; retrieved context contains irrelevant noise.</w:t>
      </w:r>
    </w:p>
    <w:p>
      <w:pPr>
        <w:pStyle w:val="ListParagraph"/>
        <w:numPr>
          <w:ilvl w:val="0"/>
          <w:numId w:val="2"/>
        </w:numPr>
        <w:spacing w:after="40" w:before="40"/>
      </w:pPr>
      <w:r>
        <w:rPr>
          <w:rFonts w:ascii="Arial" w:cs="Arial" w:eastAsia="Arial" w:hAnsi="Arial"/>
          <w:color w:val="0D1117"/>
          <w:sz w:val="22"/>
          <w:szCs w:val="22"/>
        </w:rPr>
        <w:t xml:space="preserve">Chunks too small: missing context; answers lack supporting detail.</w:t>
      </w:r>
    </w:p>
    <w:p>
      <w:pPr>
        <w:pStyle w:val="ListParagraph"/>
        <w:numPr>
          <w:ilvl w:val="0"/>
          <w:numId w:val="2"/>
        </w:numPr>
        <w:spacing w:after="40" w:before="40"/>
      </w:pPr>
      <w:r>
        <w:rPr>
          <w:rFonts w:ascii="Arial" w:cs="Arial" w:eastAsia="Arial" w:hAnsi="Arial"/>
          <w:color w:val="0D1117"/>
          <w:sz w:val="22"/>
          <w:szCs w:val="22"/>
        </w:rPr>
        <w:t xml:space="preserve">Hard splits mid-sentence: broken context windows confuse the LLM.</w:t>
      </w:r>
    </w:p>
    <w:p>
      <w:pPr>
        <w:spacing w:after="0" w:before="40"/>
      </w:pPr>
      <w:r>
        <w:t xml:space="preserve"/>
      </w:r>
    </w:p>
    <w:p>
      <w:pPr>
        <w:pBdr>
          <w:left w:val="single" w:color="00A896" w:sz="16"/>
        </w:pBdr>
        <w:shd w:fill="F5F7FA" w:val="clear"/>
        <w:spacing w:after="120" w:before="120"/>
        <w:ind w:left="720"/>
      </w:pPr>
      <w:r>
        <w:rPr>
          <w:rFonts w:ascii="Arial" w:cs="Arial" w:eastAsia="Arial" w:hAnsi="Arial"/>
          <w:b/>
          <w:bCs/>
          <w:color w:val="00A896"/>
          <w:sz w:val="22"/>
          <w:szCs w:val="22"/>
        </w:rPr>
        <w:t xml:space="preserve">Solution: Use sentence-aware chunking with overlap (10–20%). Tune chunk size per document type. Tables and code blocks require special handling.</w:t>
      </w:r>
    </w:p>
    <w:p>
      <w:pPr>
        <w:spacing w:after="0" w:before="80"/>
      </w:pPr>
      <w:r>
        <w:t xml:space="preserve"/>
      </w:r>
    </w:p>
    <w:p>
      <w:pPr>
        <w:pStyle w:val="Heading2"/>
        <w:spacing w:after="120" w:before="300"/>
      </w:pPr>
      <w:r>
        <w:rPr>
          <w:rFonts w:ascii="Arial" w:cs="Arial" w:eastAsia="Arial" w:hAnsi="Arial"/>
          <w:b/>
          <w:bCs/>
          <w:color w:val="0A3D62"/>
          <w:sz w:val="28"/>
          <w:szCs w:val="28"/>
        </w:rPr>
        <w:t xml:space="preserve">5.2 Retrieval Quality</w:t>
      </w:r>
    </w:p>
    <w:p>
      <w:pPr>
        <w:spacing w:after="60" w:before="60"/>
      </w:pPr>
      <w:r>
        <w:rPr>
          <w:rFonts w:ascii="Arial" w:cs="Arial" w:eastAsia="Arial" w:hAnsi="Arial"/>
          <w:b w:val="false"/>
          <w:bCs w:val="false"/>
          <w:color w:val="0D1117"/>
          <w:sz w:val="22"/>
          <w:szCs w:val="22"/>
        </w:rPr>
        <w:t xml:space="preserve">Vector search alone fails on exact-match queries (product codes, named entities, rare terms). Retrieval quality degrades with out-of-domain or highly technical corpora.</w:t>
      </w:r>
    </w:p>
    <w:p>
      <w:pPr>
        <w:pBdr>
          <w:left w:val="single" w:color="00A896" w:sz="16"/>
        </w:pBdr>
        <w:shd w:fill="F5F7FA" w:val="clear"/>
        <w:spacing w:after="120" w:before="120"/>
        <w:ind w:left="720"/>
      </w:pPr>
      <w:r>
        <w:rPr>
          <w:rFonts w:ascii="Arial" w:cs="Arial" w:eastAsia="Arial" w:hAnsi="Arial"/>
          <w:b/>
          <w:bCs/>
          <w:color w:val="00A896"/>
          <w:sz w:val="22"/>
          <w:szCs w:val="22"/>
        </w:rPr>
        <w:t xml:space="preserve">Solution: Enable hybrid search. Add a reranker. Evaluate retrieval quality separately from generation quality using recall@K and NDCG metrics.</w:t>
      </w:r>
    </w:p>
    <w:p>
      <w:pPr>
        <w:spacing w:after="0" w:before="80"/>
      </w:pPr>
      <w:r>
        <w:t xml:space="preserve"/>
      </w:r>
    </w:p>
    <w:p>
      <w:pPr>
        <w:pStyle w:val="Heading2"/>
        <w:spacing w:after="120" w:before="300"/>
      </w:pPr>
      <w:r>
        <w:rPr>
          <w:rFonts w:ascii="Arial" w:cs="Arial" w:eastAsia="Arial" w:hAnsi="Arial"/>
          <w:b/>
          <w:bCs/>
          <w:color w:val="0A3D62"/>
          <w:sz w:val="28"/>
          <w:szCs w:val="28"/>
        </w:rPr>
        <w:t xml:space="preserve">5.3 Hallucination at Scale</w:t>
      </w:r>
    </w:p>
    <w:p>
      <w:pPr>
        <w:spacing w:after="60" w:before="60"/>
      </w:pPr>
      <w:r>
        <w:rPr>
          <w:rFonts w:ascii="Arial" w:cs="Arial" w:eastAsia="Arial" w:hAnsi="Arial"/>
          <w:b w:val="false"/>
          <w:bCs w:val="false"/>
          <w:color w:val="0D1117"/>
          <w:sz w:val="22"/>
          <w:szCs w:val="22"/>
        </w:rPr>
        <w:t xml:space="preserve">A 2% hallucination rate sounds low. At 10,000 queries/day, that is 200 incorrect responses. In regulated domains, each one is a risk event.</w:t>
      </w:r>
    </w:p>
    <w:p>
      <w:pPr>
        <w:pBdr>
          <w:left w:val="single" w:color="00A896" w:sz="16"/>
        </w:pBdr>
        <w:shd w:fill="F5F7FA" w:val="clear"/>
        <w:spacing w:after="120" w:before="120"/>
        <w:ind w:left="720"/>
      </w:pPr>
      <w:r>
        <w:rPr>
          <w:rFonts w:ascii="Arial" w:cs="Arial" w:eastAsia="Arial" w:hAnsi="Arial"/>
          <w:b/>
          <w:bCs/>
          <w:color w:val="00A896"/>
          <w:sz w:val="22"/>
          <w:szCs w:val="22"/>
        </w:rPr>
        <w:t xml:space="preserve">Solution: Implement factual consistency scoring on every response. Route low-confidence responses to human review or correction. Never trust RAG output without a scoring layer in production.</w:t>
      </w:r>
    </w:p>
    <w:p>
      <w:pPr>
        <w:spacing w:after="0" w:before="80"/>
      </w:pPr>
      <w:r>
        <w:t xml:space="preserve"/>
      </w:r>
    </w:p>
    <w:p>
      <w:pPr>
        <w:pStyle w:val="Heading2"/>
        <w:spacing w:after="120" w:before="300"/>
      </w:pPr>
      <w:r>
        <w:rPr>
          <w:rFonts w:ascii="Arial" w:cs="Arial" w:eastAsia="Arial" w:hAnsi="Arial"/>
          <w:b/>
          <w:bCs/>
          <w:color w:val="0A3D62"/>
          <w:sz w:val="28"/>
          <w:szCs w:val="28"/>
        </w:rPr>
        <w:t xml:space="preserve">5.4 RAG Sprawl &amp; Shadow AI</w:t>
      </w:r>
    </w:p>
    <w:p>
      <w:pPr>
        <w:spacing w:after="60" w:before="60"/>
      </w:pPr>
      <w:r>
        <w:rPr>
          <w:rFonts w:ascii="Arial" w:cs="Arial" w:eastAsia="Arial" w:hAnsi="Arial"/>
          <w:b w:val="false"/>
          <w:bCs w:val="false"/>
          <w:color w:val="0D1117"/>
          <w:sz w:val="22"/>
          <w:szCs w:val="22"/>
        </w:rPr>
        <w:t xml:space="preserve">As teams independently build RAG applications, the organization accumulates incompatible stacks with inconsistent security postures. This mirrors the 'Shadow IT' problem of the 2010s.</w:t>
      </w:r>
    </w:p>
    <w:p>
      <w:pPr>
        <w:pBdr>
          <w:left w:val="single" w:color="00A896" w:sz="16"/>
        </w:pBdr>
        <w:shd w:fill="F5F7FA" w:val="clear"/>
        <w:spacing w:after="120" w:before="120"/>
        <w:ind w:left="720"/>
      </w:pPr>
      <w:r>
        <w:rPr>
          <w:rFonts w:ascii="Arial" w:cs="Arial" w:eastAsia="Arial" w:hAnsi="Arial"/>
          <w:b/>
          <w:bCs/>
          <w:color w:val="00A896"/>
          <w:sz w:val="22"/>
          <w:szCs w:val="22"/>
        </w:rPr>
        <w:t xml:space="preserve">Solution: Establish a centralized RAG platform or internal service layer. Enforce common embedding models, LLM choices, and prompt standards. Track all RAG applications in a central registry.</w:t>
      </w:r>
    </w:p>
    <w:p>
      <w:pPr>
        <w:spacing w:after="0" w:before="80"/>
      </w:pPr>
      <w:r>
        <w:t xml:space="preserve"/>
      </w:r>
    </w:p>
    <w:p>
      <w:pPr>
        <w:pStyle w:val="Heading2"/>
        <w:spacing w:after="120" w:before="300"/>
      </w:pPr>
      <w:r>
        <w:rPr>
          <w:rFonts w:ascii="Arial" w:cs="Arial" w:eastAsia="Arial" w:hAnsi="Arial"/>
          <w:b/>
          <w:bCs/>
          <w:color w:val="0A3D62"/>
          <w:sz w:val="28"/>
          <w:szCs w:val="28"/>
        </w:rPr>
        <w:t xml:space="preserve">5.5 Data Connector Complexity</w:t>
      </w:r>
    </w:p>
    <w:p>
      <w:pPr>
        <w:spacing w:after="60" w:before="60"/>
      </w:pPr>
      <w:r>
        <w:rPr>
          <w:rFonts w:ascii="Arial" w:cs="Arial" w:eastAsia="Arial" w:hAnsi="Arial"/>
          <w:b w:val="false"/>
          <w:bCs w:val="false"/>
          <w:color w:val="0D1117"/>
          <w:sz w:val="22"/>
          <w:szCs w:val="22"/>
        </w:rPr>
        <w:t xml:space="preserve">RAG is only as good as the data it retrieves from. Connecting to production data sources — SharePoint, Confluence, Jira, Salesforce, databases — requires robust, maintainable connectors that handle:</w:t>
      </w:r>
    </w:p>
    <w:p>
      <w:pPr>
        <w:pStyle w:val="ListParagraph"/>
        <w:numPr>
          <w:ilvl w:val="0"/>
          <w:numId w:val="2"/>
        </w:numPr>
        <w:spacing w:after="40" w:before="40"/>
      </w:pPr>
      <w:r>
        <w:rPr>
          <w:rFonts w:ascii="Arial" w:cs="Arial" w:eastAsia="Arial" w:hAnsi="Arial"/>
          <w:color w:val="0D1117"/>
          <w:sz w:val="22"/>
          <w:szCs w:val="22"/>
        </w:rPr>
        <w:t xml:space="preserve">Authentication and authorization (OAuth, service accounts, managed identity).</w:t>
      </w:r>
    </w:p>
    <w:p>
      <w:pPr>
        <w:pStyle w:val="ListParagraph"/>
        <w:numPr>
          <w:ilvl w:val="0"/>
          <w:numId w:val="2"/>
        </w:numPr>
        <w:spacing w:after="40" w:before="40"/>
      </w:pPr>
      <w:r>
        <w:rPr>
          <w:rFonts w:ascii="Arial" w:cs="Arial" w:eastAsia="Arial" w:hAnsi="Arial"/>
          <w:color w:val="0D1117"/>
          <w:sz w:val="22"/>
          <w:szCs w:val="22"/>
        </w:rPr>
        <w:t xml:space="preserve">Incremental refresh (only re-index changed documents).</w:t>
      </w:r>
    </w:p>
    <w:p>
      <w:pPr>
        <w:pStyle w:val="ListParagraph"/>
        <w:numPr>
          <w:ilvl w:val="0"/>
          <w:numId w:val="2"/>
        </w:numPr>
        <w:spacing w:after="40" w:before="40"/>
      </w:pPr>
      <w:r>
        <w:rPr>
          <w:rFonts w:ascii="Arial" w:cs="Arial" w:eastAsia="Arial" w:hAnsi="Arial"/>
          <w:color w:val="0D1117"/>
          <w:sz w:val="22"/>
          <w:szCs w:val="22"/>
        </w:rPr>
        <w:t xml:space="preserve">Document format parsing (PDF, DOCX, PPTX, HTML, structured tables).</w:t>
      </w:r>
    </w:p>
    <w:p>
      <w:pPr>
        <w:pStyle w:val="ListParagraph"/>
        <w:numPr>
          <w:ilvl w:val="0"/>
          <w:numId w:val="2"/>
        </w:numPr>
        <w:spacing w:after="40" w:before="40"/>
      </w:pPr>
      <w:r>
        <w:rPr>
          <w:rFonts w:ascii="Arial" w:cs="Arial" w:eastAsia="Arial" w:hAnsi="Arial"/>
          <w:color w:val="0D1117"/>
          <w:sz w:val="22"/>
          <w:szCs w:val="22"/>
        </w:rPr>
        <w:t xml:space="preserve">Metadata extraction for filtering (author, date, document type, department).</w:t>
      </w:r>
    </w:p>
    <w:p>
      <w:pPr>
        <w:spacing w:after="0" w:before="40"/>
      </w:pPr>
      <w:r>
        <w:t xml:space="preserve"/>
      </w:r>
    </w:p>
    <w:p>
      <w:pPr>
        <w:spacing w:after="60" w:before="60"/>
      </w:pPr>
      <w:r>
        <w:rPr>
          <w:rFonts w:ascii="Arial" w:cs="Arial" w:eastAsia="Arial" w:hAnsi="Arial"/>
          <w:b w:val="false"/>
          <w:bCs w:val="false"/>
          <w:color w:val="0D1117"/>
          <w:sz w:val="22"/>
          <w:szCs w:val="22"/>
        </w:rPr>
        <w:t xml:space="preserve">Open source options: LlamaIndex (160+ connectors), Airbyte (600+ with CDC), LangChain (130+). For production, prefer solutions with built-in incremental sync.</w:t>
      </w:r>
    </w:p>
    <w:p>
      <w:pPr>
        <w:pBdr>
          <w:bottom w:val="single" w:color="D0D7DE" w:sz="4"/>
        </w:pBdr>
        <w:spacing w:after="160" w:before="160"/>
      </w:pPr>
      <w:r>
        <w:t xml:space="preserve"/>
      </w:r>
    </w:p>
    <w:p>
      <w:pPr>
        <w:pStyle w:val="Heading1"/>
        <w:spacing w:after="160" w:before="400"/>
      </w:pPr>
      <w:r>
        <w:rPr>
          <w:rFonts w:ascii="Arial" w:cs="Arial" w:eastAsia="Arial" w:hAnsi="Arial"/>
          <w:b/>
          <w:bCs/>
          <w:color w:val="0A3D62"/>
          <w:sz w:val="36"/>
          <w:szCs w:val="36"/>
        </w:rPr>
        <w:t xml:space="preserve">6. Prototype Code Examples</w:t>
      </w:r>
    </w:p>
    <w:p>
      <w:pPr>
        <w:spacing w:after="0" w:before="40"/>
      </w:pPr>
      <w:r>
        <w:t xml:space="preserve"/>
      </w:r>
    </w:p>
    <w:p>
      <w:pPr>
        <w:pStyle w:val="Heading2"/>
        <w:spacing w:after="120" w:before="300"/>
      </w:pPr>
      <w:r>
        <w:rPr>
          <w:rFonts w:ascii="Arial" w:cs="Arial" w:eastAsia="Arial" w:hAnsi="Arial"/>
          <w:b/>
          <w:bCs/>
          <w:color w:val="0A3D62"/>
          <w:sz w:val="28"/>
          <w:szCs w:val="28"/>
        </w:rPr>
        <w:t xml:space="preserve">6.1 Minimal DIY RAG (Python)</w:t>
      </w:r>
    </w:p>
    <w:p>
      <w:pPr>
        <w:shd w:fill="F6F8FA" w:val="clear"/>
        <w:spacing w:after="80" w:before="80"/>
        <w:ind w:left="360"/>
      </w:pPr>
      <w:r>
        <w:rPr>
          <w:rFonts w:ascii="Courier New" w:cs="Courier New" w:eastAsia="Courier New" w:hAnsi="Courier New"/>
          <w:color w:val="2E4057"/>
          <w:sz w:val="18"/>
          <w:szCs w:val="18"/>
        </w:rPr>
        <w:t xml:space="preserve"># pip install openai qdrant-client sentence-transformers
from sentence_transformers import SentenceTransformer
from qdrant_client import QdrantClient
from qdrant_client.models import Distance, VectorParams, PointStruct
import openai, uuid
# 1. Embed &amp; index documents
model = SentenceTransformer("all-MiniLM-L6-v2")
client = QdrantClient(":memory:")
client.create_collection("docs",
    vectors_config=VectorParams(size=384, distance=Distance.COSINE))
docs = ["RAG retrieves context before generation.",
        "Hybrid search combines dense and sparse retrieval.",
        "Rerankers improve precision of retrieved chunks."]
vectors = model.encode(docs).tolist()
client.upsert("docs",
    [PointStruct(id=str(uuid.uuid4()), vector=v, payload={"text": t})
     for v, t in zip(vectors, docs)])
# 2. Query pipeline
def rag_query(question: str) -&gt; str:
    q_vec = model.encode(question).tolist()
    hits = client.search("docs", q_vec, limit=3)
    context = "\n".join(h.payload["text"] for h in hits)
    prompt = f"""Answer using only the context below.
Context:
{context}
Question: {question}"""
    resp = openai.chat.completions.create(
        model="gpt-4o-mini",
        messages=[{"role": "user", "content": prompt}]
    )
    return resp.choices[0].message.content
print(rag_query("What is a reranker?"))</w:t>
      </w:r>
    </w:p>
    <w:p>
      <w:pPr>
        <w:spacing w:after="0" w:before="80"/>
      </w:pPr>
      <w:r>
        <w:t xml:space="preserve"/>
      </w:r>
    </w:p>
    <w:p>
      <w:pPr>
        <w:pStyle w:val="Heading2"/>
        <w:spacing w:after="120" w:before="300"/>
      </w:pPr>
      <w:r>
        <w:rPr>
          <w:rFonts w:ascii="Arial" w:cs="Arial" w:eastAsia="Arial" w:hAnsi="Arial"/>
          <w:b/>
          <w:bCs/>
          <w:color w:val="0A3D62"/>
          <w:sz w:val="28"/>
          <w:szCs w:val="28"/>
        </w:rPr>
        <w:t xml:space="preserve">6.2 Hybrid Search with Qdrant</w:t>
      </w:r>
    </w:p>
    <w:p>
      <w:pPr>
        <w:shd w:fill="F6F8FA" w:val="clear"/>
        <w:spacing w:after="80" w:before="80"/>
        <w:ind w:left="360"/>
      </w:pPr>
      <w:r>
        <w:rPr>
          <w:rFonts w:ascii="Courier New" w:cs="Courier New" w:eastAsia="Courier New" w:hAnsi="Courier New"/>
          <w:color w:val="2E4057"/>
          <w:sz w:val="18"/>
          <w:szCs w:val="18"/>
        </w:rPr>
        <w:t xml:space="preserve"># Hybrid search: dense + sparse (BM25) with Qdrant
from qdrant_client.models import SparseVector, SparseVectorParams, NamedSparseVector
# Enable sparse vectors on collection
client.create_collection("hybrid_docs",
    vectors_config={"dense": VectorParams(size=384, distance=Distance.COSINE)},
    sparse_vectors_config={"sparse": SparseVectorParams()})
# Query: combine semantic + keyword scores
results = client.query_points("hybrid_docs",
    prefetch=[
        {"query": dense_vector, "using": "dense", "limit": 20},
        {"query": SparseVector(indices=bm25_indices, values=bm25_values),
         "using": "sparse", "limit": 20},
    ],
    query=fusion_query,  # RRF fusion
    limit=5
)</w:t>
      </w:r>
    </w:p>
    <w:p>
      <w:pPr>
        <w:spacing w:after="0" w:before="80"/>
      </w:pPr>
      <w:r>
        <w:t xml:space="preserve"/>
      </w:r>
    </w:p>
    <w:p>
      <w:pPr>
        <w:pStyle w:val="Heading2"/>
        <w:spacing w:after="120" w:before="300"/>
      </w:pPr>
      <w:r>
        <w:rPr>
          <w:rFonts w:ascii="Arial" w:cs="Arial" w:eastAsia="Arial" w:hAnsi="Arial"/>
          <w:b/>
          <w:bCs/>
          <w:color w:val="0A3D62"/>
          <w:sz w:val="28"/>
          <w:szCs w:val="28"/>
        </w:rPr>
        <w:t xml:space="preserve">6.3 RAG Platform API (Vectara)</w:t>
      </w:r>
    </w:p>
    <w:p>
      <w:pPr>
        <w:shd w:fill="F6F8FA" w:val="clear"/>
        <w:spacing w:after="80" w:before="80"/>
        <w:ind w:left="360"/>
      </w:pPr>
      <w:r>
        <w:rPr>
          <w:rFonts w:ascii="Courier New" w:cs="Courier New" w:eastAsia="Courier New" w:hAnsi="Courier New"/>
          <w:color w:val="2E4057"/>
          <w:sz w:val="18"/>
          <w:szCs w:val="18"/>
        </w:rPr>
        <w:t xml:space="preserve">import requests, json
api_key = "YOUR_API_KEY"
corpus_key = "my-corpus"
# Ingest a file
with open("policy.pdf", "rb") as f:
    requests.post(
        f"https://api.vectara.io/v2/corpora/{corpus_key}/upload_file",
        headers={"x-api-key": api_key},
        files=[("file", ("policy.pdf", f, "application/octet-stream"))]
    )
# Query with hybrid search + reranking + hallucination score
resp = requests.post(
    f"https://api.vectara.io/v2/corpora/{corpus_key}/query",
    headers={"Content-Type": "application/json", "x-api-key": api_key},
    data=json.dumps({
        "query": "What is the expense reimbursement policy?",
        "search": {
            "lexical_interpolation": 0.025,   # Hybrid: 97.5% dense, 2.5% BM25
            "limit": 50,
            "reranker": {"type": "customer_reranker",
                         "reranker_name": "Rerank_Multilingual_v1"}
        },
        "generation": {
            "max_used_search_results": 7,
            "prompt_name": "vectara-summary-ext-24-05-med-omni",
            "enable_factual_consistency_score": True
        }
    })
)
data = resp.json()
print(data["summary"])
print(f"Hallucination score: {data['factual_consistency_score']:.3f}")</w:t>
      </w:r>
    </w:p>
    <w:p>
      <w:pPr>
        <w:pBdr>
          <w:bottom w:val="single" w:color="D0D7DE" w:sz="4"/>
        </w:pBdr>
        <w:spacing w:after="160" w:before="160"/>
      </w:pPr>
      <w:r>
        <w:t xml:space="preserve"/>
      </w:r>
    </w:p>
    <w:p>
      <w:pPr>
        <w:pStyle w:val="Heading1"/>
        <w:spacing w:after="160" w:before="400"/>
      </w:pPr>
      <w:r>
        <w:rPr>
          <w:rFonts w:ascii="Arial" w:cs="Arial" w:eastAsia="Arial" w:hAnsi="Arial"/>
          <w:b/>
          <w:bCs/>
          <w:color w:val="0A3D62"/>
          <w:sz w:val="36"/>
          <w:szCs w:val="36"/>
        </w:rPr>
        <w:t xml:space="preserve">7. When to Use RAG</w:t>
      </w:r>
    </w:p>
    <w:p>
      <w:pPr>
        <w:spacing w:after="0" w:before="40"/>
      </w:pPr>
      <w:r>
        <w:t xml:space="preserve"/>
      </w:r>
    </w:p>
    <w:p>
      <w:pPr>
        <w:spacing w:after="80" w:before="200"/>
      </w:pPr>
      <w:r>
        <w:rPr>
          <w:rFonts w:ascii="Arial" w:cs="Arial" w:eastAsia="Arial" w:hAnsi="Arial"/>
          <w:b/>
          <w:bCs/>
          <w:color w:val="00A896"/>
          <w:sz w:val="24"/>
          <w:szCs w:val="24"/>
        </w:rPr>
        <w:t xml:space="preserve">Use RAG when:</w:t>
      </w:r>
    </w:p>
    <w:p>
      <w:pPr>
        <w:pStyle w:val="ListParagraph"/>
        <w:numPr>
          <w:ilvl w:val="0"/>
          <w:numId w:val="2"/>
        </w:numPr>
        <w:spacing w:after="40" w:before="40"/>
      </w:pPr>
      <w:r>
        <w:rPr>
          <w:rFonts w:ascii="Arial" w:cs="Arial" w:eastAsia="Arial" w:hAnsi="Arial"/>
          <w:color w:val="0D1117"/>
          <w:sz w:val="22"/>
          <w:szCs w:val="22"/>
        </w:rPr>
        <w:t xml:space="preserve">Your data changes frequently and the LLM cannot be retrained on each update.</w:t>
      </w:r>
    </w:p>
    <w:p>
      <w:pPr>
        <w:pStyle w:val="ListParagraph"/>
        <w:numPr>
          <w:ilvl w:val="0"/>
          <w:numId w:val="2"/>
        </w:numPr>
        <w:spacing w:after="40" w:before="40"/>
      </w:pPr>
      <w:r>
        <w:rPr>
          <w:rFonts w:ascii="Arial" w:cs="Arial" w:eastAsia="Arial" w:hAnsi="Arial"/>
          <w:color w:val="0D1117"/>
          <w:sz w:val="22"/>
          <w:szCs w:val="22"/>
        </w:rPr>
        <w:t xml:space="preserve">Your use case requires private, proprietary, or restricted information.</w:t>
      </w:r>
    </w:p>
    <w:p>
      <w:pPr>
        <w:pStyle w:val="ListParagraph"/>
        <w:numPr>
          <w:ilvl w:val="0"/>
          <w:numId w:val="2"/>
        </w:numPr>
        <w:spacing w:after="40" w:before="40"/>
      </w:pPr>
      <w:r>
        <w:rPr>
          <w:rFonts w:ascii="Arial" w:cs="Arial" w:eastAsia="Arial" w:hAnsi="Arial"/>
          <w:color w:val="0D1117"/>
          <w:sz w:val="22"/>
          <w:szCs w:val="22"/>
        </w:rPr>
        <w:t xml:space="preserve">You need citation-backed, verifiable responses (audit trails matter).</w:t>
      </w:r>
    </w:p>
    <w:p>
      <w:pPr>
        <w:pStyle w:val="ListParagraph"/>
        <w:numPr>
          <w:ilvl w:val="0"/>
          <w:numId w:val="2"/>
        </w:numPr>
        <w:spacing w:after="40" w:before="40"/>
      </w:pPr>
      <w:r>
        <w:rPr>
          <w:rFonts w:ascii="Arial" w:cs="Arial" w:eastAsia="Arial" w:hAnsi="Arial"/>
          <w:color w:val="0D1117"/>
          <w:sz w:val="22"/>
          <w:szCs w:val="22"/>
        </w:rPr>
        <w:t xml:space="preserve">Hallucinations carry business risk — customer-facing, legal, medical, financial.</w:t>
      </w:r>
    </w:p>
    <w:p>
      <w:pPr>
        <w:pStyle w:val="ListParagraph"/>
        <w:numPr>
          <w:ilvl w:val="0"/>
          <w:numId w:val="2"/>
        </w:numPr>
        <w:spacing w:after="40" w:before="40"/>
      </w:pPr>
      <w:r>
        <w:rPr>
          <w:rFonts w:ascii="Arial" w:cs="Arial" w:eastAsia="Arial" w:hAnsi="Arial"/>
          <w:color w:val="0D1117"/>
          <w:sz w:val="22"/>
          <w:szCs w:val="22"/>
        </w:rPr>
        <w:t xml:space="preserve">You need to query across multiple distinct knowledge bases (multi-corpus).</w:t>
      </w:r>
    </w:p>
    <w:p>
      <w:pPr>
        <w:spacing w:after="0" w:before="80"/>
      </w:pPr>
      <w:r>
        <w:t xml:space="preserve"/>
      </w:r>
    </w:p>
    <w:p>
      <w:pPr>
        <w:spacing w:after="80" w:before="200"/>
      </w:pPr>
      <w:r>
        <w:rPr>
          <w:rFonts w:ascii="Arial" w:cs="Arial" w:eastAsia="Arial" w:hAnsi="Arial"/>
          <w:b/>
          <w:bCs/>
          <w:color w:val="C0392B"/>
          <w:sz w:val="24"/>
          <w:szCs w:val="24"/>
        </w:rPr>
        <w:t xml:space="preserve">RAG may not be the right fit when:</w:t>
      </w:r>
    </w:p>
    <w:p>
      <w:pPr>
        <w:pStyle w:val="ListParagraph"/>
        <w:numPr>
          <w:ilvl w:val="0"/>
          <w:numId w:val="2"/>
        </w:numPr>
        <w:spacing w:after="40" w:before="40"/>
      </w:pPr>
      <w:r>
        <w:rPr>
          <w:rFonts w:ascii="Arial" w:cs="Arial" w:eastAsia="Arial" w:hAnsi="Arial"/>
          <w:color w:val="0D1117"/>
          <w:sz w:val="22"/>
          <w:szCs w:val="22"/>
        </w:rPr>
        <w:t xml:space="preserve">The required knowledge is entirely within the LLM's training data and does not change.</w:t>
      </w:r>
    </w:p>
    <w:p>
      <w:pPr>
        <w:pStyle w:val="ListParagraph"/>
        <w:numPr>
          <w:ilvl w:val="0"/>
          <w:numId w:val="2"/>
        </w:numPr>
        <w:spacing w:after="40" w:before="40"/>
      </w:pPr>
      <w:r>
        <w:rPr>
          <w:rFonts w:ascii="Arial" w:cs="Arial" w:eastAsia="Arial" w:hAnsi="Arial"/>
          <w:color w:val="0D1117"/>
          <w:sz w:val="22"/>
          <w:szCs w:val="22"/>
        </w:rPr>
        <w:t xml:space="preserve">Latency constraints are sub-100ms and retrieval adds unacceptable overhead.</w:t>
      </w:r>
    </w:p>
    <w:p>
      <w:pPr>
        <w:pStyle w:val="ListParagraph"/>
        <w:numPr>
          <w:ilvl w:val="0"/>
          <w:numId w:val="2"/>
        </w:numPr>
        <w:spacing w:after="40" w:before="40"/>
      </w:pPr>
      <w:r>
        <w:rPr>
          <w:rFonts w:ascii="Arial" w:cs="Arial" w:eastAsia="Arial" w:hAnsi="Arial"/>
          <w:color w:val="0D1117"/>
          <w:sz w:val="22"/>
          <w:szCs w:val="22"/>
        </w:rPr>
        <w:t xml:space="preserve">Data is unstructured noise with no coherent retrieval signal (RAG retrieves garbage-in).</w:t>
      </w:r>
    </w:p>
    <w:p>
      <w:pPr>
        <w:pStyle w:val="ListParagraph"/>
        <w:numPr>
          <w:ilvl w:val="0"/>
          <w:numId w:val="2"/>
        </w:numPr>
        <w:spacing w:after="40" w:before="40"/>
      </w:pPr>
      <w:r>
        <w:rPr>
          <w:rFonts w:ascii="Arial" w:cs="Arial" w:eastAsia="Arial" w:hAnsi="Arial"/>
          <w:color w:val="0D1117"/>
          <w:sz w:val="22"/>
          <w:szCs w:val="22"/>
        </w:rPr>
        <w:t xml:space="preserve">A fine-tuned model would better encode domain knowledge for classification or extraction tasks.</w:t>
      </w:r>
    </w:p>
    <w:p>
      <w:pPr>
        <w:pBdr>
          <w:bottom w:val="single" w:color="D0D7DE" w:sz="4"/>
        </w:pBdr>
        <w:spacing w:after="160" w:before="160"/>
      </w:pPr>
      <w:r>
        <w:t xml:space="preserve"/>
      </w:r>
    </w:p>
    <w:p>
      <w:pPr>
        <w:pStyle w:val="Heading1"/>
        <w:spacing w:after="160" w:before="400"/>
      </w:pPr>
      <w:r>
        <w:rPr>
          <w:rFonts w:ascii="Arial" w:cs="Arial" w:eastAsia="Arial" w:hAnsi="Arial"/>
          <w:b/>
          <w:bCs/>
          <w:color w:val="0A3D62"/>
          <w:sz w:val="36"/>
          <w:szCs w:val="36"/>
        </w:rPr>
        <w:t xml:space="preserve">8. Key Takeaways</w:t>
      </w:r>
    </w:p>
    <w:p>
      <w:pPr>
        <w:spacing w:after="0" w:before="40"/>
      </w:pPr>
      <w:r>
        <w:t xml:space="preserve"/>
      </w:r>
    </w:p>
    <w:p>
      <w:pPr>
        <w:pStyle w:val="ListParagraph"/>
        <w:numPr>
          <w:ilvl w:val="0"/>
          <w:numId w:val="3"/>
        </w:numPr>
        <w:spacing w:after="60" w:before="60"/>
      </w:pPr>
      <w:r>
        <w:rPr>
          <w:rFonts w:ascii="Arial" w:cs="Arial" w:eastAsia="Arial" w:hAnsi="Arial"/>
          <w:b/>
          <w:bCs/>
          <w:color w:val="00A896"/>
          <w:sz w:val="22"/>
          <w:szCs w:val="22"/>
        </w:rPr>
        <w:t xml:space="preserve">RAG is infrastructure, not a trick. </w:t>
      </w:r>
      <w:r>
        <w:rPr>
          <w:rFonts w:ascii="Arial" w:cs="Arial" w:eastAsia="Arial" w:hAnsi="Arial"/>
          <w:color w:val="0D1117"/>
          <w:sz w:val="22"/>
          <w:szCs w:val="22"/>
        </w:rPr>
        <w:t xml:space="preserve">It requires the same engineering discipline as any production data pipeline.</w:t>
      </w:r>
    </w:p>
    <w:p>
      <w:pPr>
        <w:pStyle w:val="ListParagraph"/>
        <w:numPr>
          <w:ilvl w:val="0"/>
          <w:numId w:val="3"/>
        </w:numPr>
        <w:spacing w:after="60" w:before="60"/>
      </w:pPr>
      <w:r>
        <w:rPr>
          <w:rFonts w:ascii="Arial" w:cs="Arial" w:eastAsia="Arial" w:hAnsi="Arial"/>
          <w:b/>
          <w:bCs/>
          <w:color w:val="00A896"/>
          <w:sz w:val="22"/>
          <w:szCs w:val="22"/>
        </w:rPr>
        <w:t xml:space="preserve">Retrieval quality is the highest-leverage investment. </w:t>
      </w:r>
      <w:r>
        <w:rPr>
          <w:rFonts w:ascii="Arial" w:cs="Arial" w:eastAsia="Arial" w:hAnsi="Arial"/>
          <w:color w:val="0D1117"/>
          <w:sz w:val="22"/>
          <w:szCs w:val="22"/>
        </w:rPr>
        <w:t xml:space="preserve">Hybrid search + reranker is the minimum viable retrieval pipeline.</w:t>
      </w:r>
    </w:p>
    <w:p>
      <w:pPr>
        <w:pStyle w:val="ListParagraph"/>
        <w:numPr>
          <w:ilvl w:val="0"/>
          <w:numId w:val="3"/>
        </w:numPr>
        <w:spacing w:after="60" w:before="60"/>
      </w:pPr>
      <w:r>
        <w:rPr>
          <w:rFonts w:ascii="Arial" w:cs="Arial" w:eastAsia="Arial" w:hAnsi="Arial"/>
          <w:b/>
          <w:bCs/>
          <w:color w:val="00A896"/>
          <w:sz w:val="22"/>
          <w:szCs w:val="22"/>
        </w:rPr>
        <w:t xml:space="preserve">Measure hallucinations on every response. </w:t>
      </w:r>
      <w:r>
        <w:rPr>
          <w:rFonts w:ascii="Arial" w:cs="Arial" w:eastAsia="Arial" w:hAnsi="Arial"/>
          <w:color w:val="0D1117"/>
          <w:sz w:val="22"/>
          <w:szCs w:val="22"/>
        </w:rPr>
        <w:t xml:space="preserve">A RAG pipeline without factual consistency scoring is not production-ready.</w:t>
      </w:r>
    </w:p>
    <w:p>
      <w:pPr>
        <w:pStyle w:val="ListParagraph"/>
        <w:numPr>
          <w:ilvl w:val="0"/>
          <w:numId w:val="3"/>
        </w:numPr>
        <w:spacing w:after="60" w:before="60"/>
      </w:pPr>
      <w:r>
        <w:rPr>
          <w:rFonts w:ascii="Arial" w:cs="Arial" w:eastAsia="Arial" w:hAnsi="Arial"/>
          <w:b/>
          <w:bCs/>
          <w:color w:val="00A896"/>
          <w:sz w:val="22"/>
          <w:szCs w:val="22"/>
        </w:rPr>
        <w:t xml:space="preserve">Consider TCO honestly. </w:t>
      </w:r>
      <w:r>
        <w:rPr>
          <w:rFonts w:ascii="Arial" w:cs="Arial" w:eastAsia="Arial" w:hAnsi="Arial"/>
          <w:color w:val="0D1117"/>
          <w:sz w:val="22"/>
          <w:szCs w:val="22"/>
        </w:rPr>
        <w:t xml:space="preserve">DIY costs are dominated by engineering time, not API fees.</w:t>
      </w:r>
    </w:p>
    <w:p>
      <w:pPr>
        <w:pStyle w:val="ListParagraph"/>
        <w:numPr>
          <w:ilvl w:val="0"/>
          <w:numId w:val="3"/>
        </w:numPr>
        <w:spacing w:after="60" w:before="60"/>
      </w:pPr>
      <w:r>
        <w:rPr>
          <w:rFonts w:ascii="Arial" w:cs="Arial" w:eastAsia="Arial" w:hAnsi="Arial"/>
          <w:b/>
          <w:bCs/>
          <w:color w:val="00A896"/>
          <w:sz w:val="22"/>
          <w:szCs w:val="22"/>
        </w:rPr>
        <w:t xml:space="preserve">Centralize before you scale. </w:t>
      </w:r>
      <w:r>
        <w:rPr>
          <w:rFonts w:ascii="Arial" w:cs="Arial" w:eastAsia="Arial" w:hAnsi="Arial"/>
          <w:color w:val="0D1117"/>
          <w:sz w:val="22"/>
          <w:szCs w:val="22"/>
        </w:rPr>
        <w:t xml:space="preserve">RAG sprawl is the enterprise AI version of Shadow IT. Govern early.</w:t>
      </w:r>
    </w:p>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pBdr>
      <w:spacing w:before="80"/>
      <w:jc w:val="right"/>
    </w:pPr>
    <w:r>
      <w:rPr>
        <w:rFonts w:ascii="Arial" w:cs="Arial" w:eastAsia="Arial" w:hAnsi="Arial"/>
        <w:color w:val="57606A"/>
        <w:sz w:val="18"/>
        <w:szCs w:val="18"/>
      </w:rPr>
      <w:t xml:space="preserve">RAG Reference  •  </w:t>
    </w:r>
    <w:r>
      <w:rPr>
        <w:rFonts w:ascii="Arial" w:cs="Arial" w:eastAsia="Arial" w:hAnsi="Arial"/>
        <w:color w:val="5760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spacing w:after="80"/>
    </w:pPr>
    <w:r>
      <w:rPr>
        <w:rFonts w:ascii="Arial" w:cs="Arial" w:eastAsia="Arial" w:hAnsi="Arial"/>
        <w:color w:val="57606A"/>
        <w:sz w:val="18"/>
        <w:szCs w:val="18"/>
      </w:rPr>
      <w:t xml:space="preserve">RAG: Retrieval-Augmented Generation — Enterprise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3D6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A3D6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2026-04-06T06:53:07.088Z</dcterms:created>
  <dcterms:modified xsi:type="dcterms:W3CDTF">2026-04-06T06:53:07.088Z</dcterms:modified>
</cp:coreProperties>
</file>

<file path=docProps/custom.xml><?xml version="1.0" encoding="utf-8"?>
<Properties xmlns="http://schemas.openxmlformats.org/officeDocument/2006/custom-properties" xmlns:vt="http://schemas.openxmlformats.org/officeDocument/2006/docPropsVTypes"/>
</file>