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718096"/>
          <w:spacing w:val="300"/>
          <w:sz w:val="24"/>
          <w:szCs w:val="24"/>
        </w:rPr>
        <w:t xml:space="preserve">INTERVIEW PREP GUIDE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A365D"/>
          <w:sz w:val="52"/>
          <w:szCs w:val="52"/>
        </w:rPr>
        <w:t xml:space="preserve">APAC Senior Solution Architect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2B6CB0"/>
          <w:sz w:val="36"/>
          <w:szCs w:val="36"/>
        </w:rPr>
        <w:t xml:space="preserve">AI Infrastructure &amp; Strategy</w:t>
      </w:r>
    </w:p>
    <w:p>
      <w:pPr>
        <w:pBdr>
          <w:bottom w:val="single" w:color="2B6CB0" w:sz="2" w:space="12"/>
        </w:pBdr>
        <w:spacing w:after="400"/>
        <w:jc w:val="center"/>
      </w:pPr>
      <w:r>
        <w:rPr>
          <w:rFonts w:ascii="Georgia" w:cs="Georgia" w:eastAsia="Georgia" w:hAnsi="Georgia"/>
          <w:color w:val="718096"/>
          <w:sz w:val="22"/>
          <w:szCs w:val="22"/>
        </w:rPr>
        <w:t xml:space="preserve">Global Tech | 5–8m Bonus | Permanent</w:t>
      </w:r>
    </w:p>
    <w:p>
      <w:pPr>
        <w:spacing w:after="400"/>
      </w:pPr>
    </w:p>
    <w:p>
      <w:pPr>
        <w:spacing w:after="100"/>
        <w:jc w:val="center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12 Real Interview Questions with Detailed Answers,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Flow Diagrams, Code Prototypes &amp; Strategy Frameworks</w:t>
      </w:r>
    </w:p>
    <w:p>
      <w:pPr>
        <w:spacing w:after="8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2B6CB0"/>
          <w:sz w:val="24"/>
          <w:szCs w:val="24"/>
        </w:rPr>
        <w:t xml:space="preserve">Read this cover to cover and you’ll walk in ready.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Interview Structure</w:t>
      </w:r>
    </w:p>
    <w:p>
      <w:pPr>
        <w:spacing w:after="160" w:line="32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This guide covers 12 questions across four interview rounds, designed to mirror the real evaluation process for this role.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5160"/>
      </w:tblGrid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Round 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Technical Deep Dive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Q1 – Q4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GPU clusters, training vs inference, latency debugging, compliance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Round 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Solution Design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Q5 – Q8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Pre-sales process, dual-workload architecture, cloud vs on-prem, bottleneck stories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Round 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Strategy &amp; GTM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Q9 – Q10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Go-to-market playbook, competitive positioning</w:t>
            </w:r>
          </w:p>
        </w:tc>
      </w:tr>
      <w:tr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Round 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Leadership &amp; Vision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Q11 – Q12</w:t>
            </w:r>
          </w:p>
        </w:tc>
        <w:tc>
          <w:tcPr>
            <w:tcW w:type="dxa" w:w="5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Team enablement, 3-year market outlook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Round 1: Technical Deep Dive</w:t>
      </w:r>
    </w:p>
    <w:p>
      <w:pPr>
        <w:pBdr>
          <w:bottom w:val="single" w:color="2B6CB0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Q1: Design AI Training Infrastructure for 50TB/day Video Processing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They want to see if you can translate a vague business requirement into a concrete, scalable architecture.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Before I sketch anything, I’d ask three questions: What’s the training objective? What’s the latency tolerance for pipeline ingestion? And what’s the compliance posture — is data staying in-region?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Architecture Flow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DATA INGESTION LAYER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Video Sources (50TB/day) → Kafka/Pulsar → Spark Streaming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STORAGE LAYER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Raw: Object Storage (S3/OBS) → Processed: Parallel FS (Lustre/GPFS)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COMPUTE LAYER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GPU Cluster: 8x nodes, each 8x A100/H100 (80GB)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Interconnect: NVLink intra-node, RoCE v2 inter-node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Framework: PyTorch DDP / DeepSpeed ZeRO Stage 3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ORCHESTRATION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Kubernetes + Volcano scheduler (gang scheduling)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MLflow (experiment tracking) + Airflow (pipeline DAGs)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SERVING / OUTPUT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Model Registry → Triton Inference Server → CDN Edge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Code Prototype — GPU Health Check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subprocess, json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datetime import datetime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gpu_cluster_health_check(nodes: list[str]) -&gt; dict: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report = {"timestamp": datetime.utcnow().isoformat(), "nodes": []}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for node in nodes: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node_status = {"hostname": node, "gpus": [], "healthy": True}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cmd = f"ssh {node} nvidia-smi --query-gpu=index,name,temperature.gpu,"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f"memory.used,memory.total,utilization.gpu --format=csv,noheader,nounits"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result = subprocess.run(cmd.split(), capture_output=True, text=True)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for line in result.stdout.strip().split("\n"):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idx, name, temp, mem_used, mem_total, util = line.split(", ")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gpu = {"index": int(idx), "temp_c": int(temp),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"memory_used_mb": int(mem_used), "utilization_pct": int(util)}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if gpu["temp_c"] &gt; 85: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gpu["warning"] = "THERMAL_THROTTLE_RISK"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node_status["healthy"] = False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node_status["gpus"].append(gpu)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report["nodes"].append(node_status)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report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Key Talking Points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Parallel filesystem over NFS for throughput. RoCE v2 for cost-sensitive clients. Gang scheduling prevents resource deadlock. Always mention regional compliance: PDPA, APPI, DPDP.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Q2: Training vs Inference Infrastructure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This is a filter question. If you can’t articulate this cleanly, the interview is over.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Training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Inference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GPU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H100/A100 80GB (max FLOPS)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L4/T4 (cost per query)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Latency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Hours to weeks (batch)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Milliseconds (real-time)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Network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400Gbps+ (all-reduce)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10–25Gbps (load balancing)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Storage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High IOPS parallel FS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Model cache, fast SSD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Scale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Fewer, bigger clusters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Many, smaller nodes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GPU hours (CapEx heavy)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Queries (OpEx heavy)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Checkpoint &amp; resume</w:t>
            </w:r>
          </w:p>
        </w:tc>
        <w:tc>
          <w:tcPr>
            <w:tcW w:type="dxa" w:w="3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Failover &amp; replicate</w:t>
            </w:r>
          </w:p>
        </w:tc>
      </w:tr>
    </w:tbl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This distinction fundamentally shapes my recommendations. For a client building an AIGC product, I’d propose a shared data lake feeding both pipelines, but with separate compute pools. Different failure domains, different SLAs.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Code Prototype — Cost Estimator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def estimate_infra_cost(mode, gpu_type, gpu_count, hours_per_day, days):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GPU_RATES = {"H100": 3.50, "A100": 2.20, "L4": 0.70, "T4": 0.40}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rate = GPU_RATES.get(gpu_type, 2.00)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compute_cost = gpu_count * hours_per_day * days * rate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network = 0.15 if mode == "training" else 0.05  # % of compute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storage = 0.10 if mode == "training" else 0.03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total = compute_cost * (1 + network + storage)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return {"mode": mode, "gpu": f"{gpu_count}x {gpu_type}",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"compute": f"$\{compute_cost:,.0f}", "total": f"$\{total:,.0f}"}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Q3: Diagnosing 200ms P99 Latency in a Recommendation Engine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Performance debugging is daily reality. They want your diagnostic methodology, not just “add more GPUs.”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Latency Diagnosis Flow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Client reports: p99 = 200ms (target: &lt;50ms)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1. WHERE is the latency? (Instrument with OpenTelemetry)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+----+----+----+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|         |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         v  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Network   Model     Data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Transit   Compute   Fetch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~20ms     ~100ms    ~80ms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|         |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v         v  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Edge      Quantize  Feature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deploy,   INT8,     store +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keep-     distill,  cache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alive     batch     hot items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2. VALIDATE: A/B test with canary deployment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My first move is always distributed tracing. Most APAC recommendation latency issues come from feature store lookups hitting a database in a different availability zone, or cold model loading after scale-up events.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Code Prototype — Pipeline Latency Profiler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import time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contextlib import contextmanager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from dataclasses import dataclass, field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@dataclass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LatencyProfile: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stages: dict = field(default_factory=dict)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@contextmanager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measure(self, stage_name: str):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start = time.perf_counter_ns()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yield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self.stages[stage_name] = (time.perf_counter_ns() - start) / 1_000_000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report(self) -&gt; str: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total = sum(self.stages.values())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return "\n".join(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f"{s:&lt;25} {ms:&gt;8.1f}ms  ({ms/total*100:&gt;4.1f}%)"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for s, ms in sorted(self.stages.items(), key=lambda x: -x[1])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The Fix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Quantize model to INT8 (cuts inference ~40%), move feature store to co-located Redis cluster, pre-compute top-1000 items per user segment. Target: &lt;50ms p99.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Q4: Data Sovereignty &amp; Compliance Across APAC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APAC is a compliance minefield. This separates architects who’ve deployed in-region from those who just draw boxes.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700"/>
        <w:gridCol w:w="3060"/>
      </w:tblGrid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Key Constraint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Architecture Impact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Singapore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PDPA 2012 + Amendments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Cross-border OK with safeguards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Regional hub for training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Japan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APPI 2003 + 2022 Rev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Adequacy country whitelist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Can share pool with SG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India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DPDP 2023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Data localization for critical personal data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Sovereign zone required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Australia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Privacy Act 1988 + APPs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Reasonable steps for overseas disclosure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Flexible, hub-eligible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South Korea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PIPA 2011 + 2023 Amend</w:t>
            </w:r>
          </w:p>
        </w:tc>
        <w:tc>
          <w:tcPr>
            <w:tcW w:type="dxa" w:w="2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Strict consent, transfer rules relaxing</w:t>
            </w:r>
          </w:p>
        </w:tc>
        <w:tc>
          <w:tcPr>
            <w:tcW w:type="dxa" w:w="3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Monitor regulatory changes</w:t>
            </w:r>
          </w:p>
        </w:tc>
      </w:tr>
    </w:tbl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My approach is ‘Compliance by Architecture.’ Instead of bolting compliance on after the design, I build the infrastructure topology around the regulatory map. Singapore as the hub for training, with sovereign inference zones in India and other countries requiring data localization.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Round 2: Solution Design &amp; Architecture</w:t>
      </w:r>
    </w:p>
    <w:p>
      <w:pPr>
        <w:pBdr>
          <w:bottom w:val="single" w:color="2B6CB0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Q5: Pre-Sales Engagement with a Major OTT Platform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Pre-sales is where deals are won or lost. They want to see your process.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Engagement Flow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WEEK 1-2: DISCOVERY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Stakeholder Mapping: CTO / VP Eng / CFO / Legal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Needs Assessment: Infra audit, AI maturity score, use case prioritization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WEEK 3-4: SOLUTION DESIGN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Reference Architecture (tailored to their stack)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3 options: Good / Better / Best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TCO comparison vs. cloud-only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WEEK 5-6: VALIDATION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POC / Benchmark: Run their actual workload on proposed infra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Measure: throughput, cost, time-to-train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v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PROPOSAL &amp; CLOSE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POC results as evidence, phased deployment plan, SLA framework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I always start with stakeholder mapping. The CTO cares about capabilities, the VP of Engineering about integration, and the CFO about payback period. I tailor different narratives for each.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Q6: Dual-Workload Architecture — Recommendation + AIGC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Dual-workload architecture is the real world. They want to see if you can optimize shared resources without creating conflicts.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Architecture Diagram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SHARED DATA LAKE (Object Storage)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+------------+------------+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|                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RECOMMENDATION (Real-time)    AIGC (Batch/Stream)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Feature Store (Redis)         Prompt Queue (Kafka)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|                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Ranking Model (INT8)          Diffusion/LLM (FP16)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Serving: Triton               Output: Asset Store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SLA: &lt;50ms p99                SLA: &lt;30min/asset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GPU: L4 fleet (auto-scale)   GPU: H100 (scheduled)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|                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+------------+------------+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 |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SHARED SERVICES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Kubernetes | Monitoring | Model Registry | CI/CD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Share the platform, separate the compute. Both workloads on the same Kubernetes cluster, but in different node pools with different GPU types. The GPU time-sharing policy routes 100% to recommendation during peak hours and allows AIGC to burst during off-peak.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Code Prototype — Resource Scheduler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@dataclass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class WorkloadPolicy: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APAC_PEAK_HOURS = range(18, 24)  # 6 PM to midnight local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def get_allocation(self, local_hour: int) -&gt; dict: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is_peak = local_hour in self.APAC_PEAK_HOURS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if is_peak: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return {"recommendation": {"priority": "CRITICAL", "can_preempt": True},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"aigc": {"priority": "BEST_EFFORT", "can_burst": False}}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else: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return {"recommendation": {"priority": "HIGH", "gpus": "50%"},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"aigc": {"priority": "HIGH", "can_burst": True, "gpus": "150%"}}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Q7: On-Prem vs Cloud — Making the Case to a Skeptical CTO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Sales conversation disguised as a technical question. Balance technical truth with business persuasion.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I never argue against cloud. Instead, I reframe the conversation around total cost of ownership and control.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200"/>
        <w:gridCol w:w="1200"/>
        <w:gridCol w:w="1600"/>
        <w:gridCol w:w="2460"/>
      </w:tblGrid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Year 1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Year 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Year 3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3-Year Total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Key Advantage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Cloud-Only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$1.2M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$1.6M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$2.1M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$4.9M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Fast start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Hybrid (Proposed)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$1.8M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$0.9M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$0.6M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$3.3M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Best balance</w:t>
            </w:r>
          </w:p>
        </w:tc>
      </w:tr>
      <w:tr>
        <w:tc>
          <w:tcPr>
            <w:tcW w:type="dxa" w:w="1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18"/>
                <w:szCs w:val="18"/>
              </w:rPr>
              <w:t xml:space="preserve">Full On-Prem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$3.0M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$0.4M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$0.4M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$3.8M</w:t>
            </w:r>
          </w:p>
        </w:tc>
        <w:tc>
          <w:tcPr>
            <w:tcW w:type="dxa" w:w="24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18"/>
                <w:szCs w:val="18"/>
              </w:rPr>
              <w:t xml:space="preserve">Max control</w:t>
            </w:r>
          </w:p>
        </w:tc>
      </w:tr>
    </w:tbl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A point that resonates strongly with APAC CTOs: data gravity. Once 50TB of training data lives in a cloud provider, you’re paying to move it forever.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Q8: Identifying a Hidden Infrastructure Bottleneck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Behavioral question testing real-world experience. Use STAR format but keep it technical.</w:t>
      </w:r>
    </w:p>
    <w:p>
      <w:pPr>
        <w:spacing w:after="100"/>
      </w:pPr>
    </w:p>
    <w:p>
      <w:pPr>
        <w:spacing w:after="160" w:line="320"/>
      </w:pPr>
      <w:r>
        <w:rPr>
          <w:rFonts w:ascii="Georgia" w:cs="Georgia" w:eastAsia="Georgia" w:hAnsi="Georgia"/>
          <w:color w:val="1A202C"/>
          <w:sz w:val="22"/>
          <w:szCs w:val="22"/>
        </w:rPr>
        <w:t xml:space="preserve">Template answer using STAR format:</w:t>
      </w:r>
    </w:p>
    <w:p>
      <w:pPr>
        <w:spacing w:after="5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The Bottleneck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BEFORE (Client's assumption: "We need more GPUs")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Data (NFS) --[2 GB/s]--&gt; CPU --&gt; GPU (40% utilization)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                          ^ Bottleneck was HERE (data I/O)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AFTER (Our fix)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Data (Lustre) --[15 GB/s]--&gt; CPU --&gt; GPU (92% utilization)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+ prefetch                   + DALI pipeline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+ local NVMe cache           (GPU-accelerated preprocessing)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We replaced NFS with Lustre, added NVIDIA DALI for GPU-accelerated data preprocessing, and implemented a prefetch buffer on local NVMe. GPU utilization went from 40% to 92%. Training time dropped by 60% — without adding a single GPU.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Impact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Client saved $400K in hardware they were about to order. Always profile before purchasing.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Round 3: Strategy &amp; Go-to-Market</w:t>
      </w:r>
    </w:p>
    <w:p>
      <w:pPr>
        <w:pBdr>
          <w:bottom w:val="single" w:color="2B6CB0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Q9: Go-to-Market Strategy for APAC AI Infrastructure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You’re not just a technician. This role requires strategic thinking about markets, segments, and competitive positioning.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GTM Framework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SEGMENT: Tier 1 Hyperscale OTT (3-5, deep engagement)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Tier 2 Regional Tech (10-15, solution selling)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Tier 3 AI-Native Startups (50+, product-led)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POSITION: "Not selling hardware. Selling time-to-production."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CHANNEL:  Direct (Tier 1) + SI Partners (Tier 2) + Marketplace (Tier 3)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PROVE:    Reference architectures per vertical: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Media: AIGC + Recommendation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Gaming: Real-time inference at edge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E-commerce: Search + Personalization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      FinTech: Fraud detection + Risk scoring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TIMELINE: Q1 Lighthouse wins | Q2 Case studies | Q3 Partner scale | Q4 Refresh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Win the lighthouse, publish the playbook, enable the channel. Identify 2–3 marquee accounts per market, win them with white-glove architecture, then package those wins into reusable playbooks for partner SIs.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Q10: Competitive Landscape &amp; Positioning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Market awareness. You need to know the landscape cold.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Our Advantage Against Them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NVIDIA DGX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Premium full-stack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Better price, stronger local presence in APAC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AWS / Azure / GCP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Cloud GPU instances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Better TCO at scale, full data sovereignty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CoreWeave / Lambda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GPU cloud specialists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Enterprise support, compliance-aware design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02C"/>
                <w:sz w:val="20"/>
                <w:szCs w:val="20"/>
              </w:rPr>
              <w:t xml:space="preserve">ODM / White-box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Cheap hardware</w:t>
            </w:r>
          </w:p>
        </w:tc>
        <w:tc>
          <w:tcPr>
            <w:tcW w:type="dxa" w:w="4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A202C"/>
                <w:sz w:val="20"/>
                <w:szCs w:val="20"/>
              </w:rPr>
              <w:t xml:space="preserve">Full solution capability, not just components</w:t>
            </w:r>
          </w:p>
        </w:tc>
      </w:tr>
    </w:tbl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Our position is the integrated sweet spot: competitive hardware with full solution architecture, local support, and compliance-aware design.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Round 4: Leadership &amp; Ecosystem</w:t>
      </w:r>
    </w:p>
    <w:p>
      <w:pPr>
        <w:pBdr>
          <w:bottom w:val="single" w:color="2B6CB0" w:sz="4" w:space="8"/>
        </w:pBdr>
        <w:spacing w:after="3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Q11: Enabling a Team of 20 SAs with Limited AI Experience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Knowledge transfer and team building. This role is a force multiplier.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Enablement Program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MONTH 1: FOUNDATIONS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Week 1-2: "AI Infra 101" bootcamp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GPU architecture, training vs inference, hands-on Triton deploy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Week 3-4: "The Conversation"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  CTO talk tracks, discovery frameworks, objection handling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MONTH 2-3: SPECIALIZATION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Track A: Training Architecture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Track B: Inference &amp; Edge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Track C: Data Platform &amp; Compliance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Each SA picks primary + secondary. Certification exam at end.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ONGOING: COMMUNITY OF PRACTICE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Weekly "Win/Loss Review" calls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Monthly "Architecture Clinic"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Shared playbook repository (living docs)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 Buddy system: pair new SA with experienced SA for first 3 deals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The biggest mistake is dumping a 200-slide AI training on network engineers. My approach: learn by doing. In week one, every SA deploys a real model on a real GPU server.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2B6CB0"/>
          <w:sz w:val="28"/>
          <w:szCs w:val="28"/>
        </w:rPr>
        <w:t xml:space="preserve">Q12: AI Infrastructure Evolution in APAC — Next 3 Years</w:t>
      </w:r>
    </w:p>
    <w:p>
      <w:pPr>
        <w:spacing w:after="160" w:line="320"/>
      </w:pPr>
      <w:r>
        <w:rPr>
          <w:rFonts w:ascii="Georgia" w:cs="Georgia" w:eastAsia="Georgia" w:hAnsi="Georgia"/>
          <w:i/>
          <w:iCs/>
          <w:color w:val="718096"/>
          <w:sz w:val="22"/>
          <w:szCs w:val="22"/>
        </w:rPr>
        <w:t xml:space="preserve">Why they ask this: Vision and strategic thinking. Are you a forward-looking leader or just a reactive architect?</w:t>
      </w:r>
    </w:p>
    <w:p>
      <w:pPr>
        <w:spacing w:after="10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1A365D"/>
          <w:sz w:val="24"/>
          <w:szCs w:val="24"/>
        </w:rPr>
        <w:t xml:space="preserve">Market Evolution Timeline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2025 (NOW)           2026                 2027-2028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Centralized          Distributed          Sovereign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GPU clusters         AI Factories         AI Mesh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Market: $15B --&gt; $28B --&gt; $45B+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 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KEY SHIFTS: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1. GPU scarcity --&gt; GPU commoditization (custom silicon enters)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2. Training-centric --&gt; Inference-centric (80% of spend by 2027)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3. English-first AI --&gt; Multilingual-native (JP, KR, TH, ID)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4. Cloud-default --&gt; Hybrid-default (sovereignty drives this)</w:t>
      </w:r>
    </w:p>
    <w:p>
      <w:pPr>
        <w:shd w:fill="F7FAFC" w:val="clear"/>
        <w:spacing w:after="40"/>
      </w:pPr>
      <w:r>
        <w:rPr>
          <w:rFonts w:ascii="Courier New" w:cs="Courier New" w:eastAsia="Courier New" w:hAnsi="Courier New"/>
          <w:color w:val="2D3748"/>
          <w:sz w:val="18"/>
          <w:szCs w:val="18"/>
        </w:rPr>
        <w:t xml:space="preserve">5. Single-model --&gt; Compound AI systems (RAG, agents, pipelines)</w:t>
      </w:r>
    </w:p>
    <w:p>
      <w:pPr>
        <w:spacing w:after="100"/>
      </w:pPr>
    </w:p>
    <w:p>
      <w:pPr>
        <w:pBdr>
          <w:left w:val="single" w:color="2B6CB0" w:sz="6" w:space="8"/>
        </w:pBdr>
        <w:spacing w:after="160" w:line="320"/>
        <w:ind w:left="480"/>
      </w:pPr>
      <w:r>
        <w:rPr>
          <w:rFonts w:ascii="Georgia" w:cs="Georgia" w:eastAsia="Georgia" w:hAnsi="Georgia"/>
          <w:i/>
          <w:iCs/>
          <w:color w:val="1A365D"/>
          <w:sz w:val="22"/>
          <w:szCs w:val="22"/>
        </w:rPr>
        <w:t xml:space="preserve">Three big shifts: inference will dominate spend, sovereign AI is coming as every APAC country implements data localization, and compound AI systems will replace single-model architectures.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A365D"/>
          <w:sz w:val="36"/>
          <w:szCs w:val="36"/>
        </w:rPr>
        <w:t xml:space="preserve">Final Tips for Interview Day</w:t>
      </w:r>
    </w:p>
    <w:p>
      <w:pPr>
        <w:pBdr>
          <w:bottom w:val="single" w:color="2B6CB0" w:sz="4" w:space="8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Before the Interview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Know the company’s recent AI product launches. Have 3 customer stories ready: one success, one failure you recovered from, one where you walked away. Prepare a 1-page 90-day plan.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During the Interview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Draw. Always draw. Ask for a whiteboard or share your screen. Name specific technologies (“Triton Inference Server” not “a serving platform”). When you don’t know, say “I’d research that, but my instinct is…”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6749" w:sz="1"/>
              <w:left w:val="single" w:color="276749" w:sz="6"/>
              <w:bottom w:val="single" w:color="276749" w:sz="1"/>
              <w:right w:val="single" w:color="276749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276749"/>
                <w:sz w:val="22"/>
                <w:szCs w:val="22"/>
              </w:rPr>
              <w:t xml:space="preserve">APAC-Specific Signals</w:t>
            </w:r>
          </w:p>
          <w:p>
            <w:pPr>
              <w:spacing w:after="0"/>
            </w:pPr>
            <w:r>
              <w:rPr>
                <w:rFonts w:ascii="Georgia" w:cs="Georgia" w:eastAsia="Georgia" w:hAnsi="Georgia"/>
                <w:color w:val="276749"/>
                <w:sz w:val="20"/>
                <w:szCs w:val="20"/>
              </w:rPr>
              <w:t xml:space="preserve">Mention 2+ regulations by name (PDPA, APPI, DPDP). Reference timezone-aware operations (UTC+5 to UTC+12). Show awareness of language diversity in AI models. Acknowledge the SI/partner ecosystem.</w:t>
            </w:r>
          </w:p>
        </w:tc>
      </w:tr>
    </w:tbl>
    <w:p>
      <w:pPr>
        <w:spacing w:after="100"/>
      </w:pPr>
    </w:p>
    <w:p>
      <w:pPr>
        <w:spacing w:after="3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2B6CB0"/>
          <w:sz w:val="28"/>
          <w:szCs w:val="28"/>
        </w:rPr>
        <w:t xml:space="preserve">Good luck. You’ve got this.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6"/>
        <w:szCs w:val="16"/>
      </w:rPr>
      <w:t xml:space="preserve">Page </w:t>
    </w:r>
    <w:r>
      <w:rPr>
        <w:rFonts w:ascii="Georgia" w:cs="Georgia" w:eastAsia="Georgia" w:hAnsi="Georgia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718096"/>
        <w:sz w:val="16"/>
        <w:szCs w:val="16"/>
      </w:rPr>
      <w:t xml:space="preserve">APAC Senior Solution Architect — Interview Prep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2B6C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2026-03-19T13:48:39.229Z</dcterms:created>
  <dcterms:modified xsi:type="dcterms:W3CDTF">2026-03-19T13:48:39.230Z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