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Feature-Bootstrapped Masked TSFM: Theory, Complexity, and Controlled Ablations for Reproducible Time-Series Pretraining</w:t>
      </w:r>
    </w:p>
    <w:p>
      <w:pPr>
        <w:pStyle w:val="Author"/>
      </w:pPr>
    </w:p>
    <w:p>
      <w:pPr>
        <w:pStyle w:val="AbstractTitle"/>
      </w:pPr>
      <w:r>
        <w:t xml:space="preserve">Abstract</w:t>
      </w:r>
    </w:p>
    <w:p>
      <w:pPr>
        <w:pStyle w:val="Abstract"/>
      </w:pPr>
      <w:r>
        <w:t xml:space="preserve">We study a reproducible time-series pretraining pipeline under masked latent reconstruction. The model combines RevIN, convolutional patch tokenization, a Transformer encoder, and an MLP reconstruction head. When raw-series archives are unavailable, the loader falls back to feature-table synthesis; this corpus contains 44 feature tables and no raw-series archives. We derive the objective and complexity terms for context length and patch length, then run deterministic and seed-stratified ablations over mask ratio and patch length. Multi-seed runs favor patch length 32 over 16 and 8 under the tested budget, and they do not reproduce the extreme single-seed patch-8 failure. Late checkpoint sweeps over epochs 60–62 (steps 2.04M–2.11M) find the best masked MSE, 0.3304, at step 2.04M, with a 2.04% drift by the final checkpoint. Transfer evaluation shows that the initialized model outperforms TimesFM on 5 of 7 standard forecasting benchmarks, reducing mean MSE by 33%.</w:t>
      </w:r>
    </w:p>
    <w:p>
      <w:pPr>
        <w:pStyle w:val="FirstParagraph"/>
      </w:pPr>
      <w:r>
        <w:t xml:space="preserve">time-series foundation model, masked reconstruction, transformer encoder, RevIN, synthetic pretraining, reproducibility</w:t>
      </w:r>
    </w:p>
    <w:bookmarkStart w:id="20" w:name="introduction"/>
    <w:p>
      <w:pPr>
        <w:pStyle w:val="Heading1"/>
      </w:pPr>
      <w:r>
        <w:t xml:space="preserve">Introduction</w:t>
      </w:r>
    </w:p>
    <w:p>
      <w:pPr>
        <w:pStyle w:val="FirstParagraph"/>
      </w:pPr>
      <w:r>
        <w:t xml:space="preserve">Large pretrained models turned pretraining into a reusable upstream stage in language and vision</w:t>
      </w:r>
      <w:r>
        <w:t xml:space="preserve"> </w:t>
      </w:r>
      <w:r>
        <w:t xml:space="preserve">. Time-series forecasting now follows the same path through patch-based transformers and foundation-model pretraining</w:t>
      </w:r>
      <w:r>
        <w:t xml:space="preserve"> </w:t>
      </w:r>
      <w:r>
        <w:t xml:space="preserve">. However, many teams lack internet-scale corpora and require a pretraining recipe with transparent assumptions.</w:t>
      </w:r>
    </w:p>
    <w:p>
      <w:pPr>
        <w:pStyle w:val="BodyText"/>
      </w:pPr>
      <w:r>
        <w:t xml:space="preserve">The method uses an encoder with masked latent reconstruction, not the decoder-only horizon prediction used by TimesFM</w:t>
      </w:r>
      <w:r>
        <w:t xml:space="preserve"> </w:t>
      </w:r>
      <w:r>
        <w:t xml:space="preserve">; when raw series are missing, it falls back to feature-bootstrap synthesis.</w:t>
      </w:r>
    </w:p>
    <w:p>
      <w:pPr>
        <w:pStyle w:val="BodyText"/>
      </w:pPr>
      <w:r>
        <w:t xml:space="preserve">The main contributions of this work are fourfold:</w:t>
      </w:r>
    </w:p>
    <w:p>
      <w:pPr>
        <w:numPr>
          <w:ilvl w:val="0"/>
          <w:numId w:val="1001"/>
        </w:numPr>
      </w:pPr>
      <w:r>
        <w:t xml:space="preserve">a formal problem statement and objective-level derivation for masked patch reconstruction in this codebase,</w:t>
      </w:r>
    </w:p>
    <w:p>
      <w:pPr>
        <w:numPr>
          <w:ilvl w:val="0"/>
          <w:numId w:val="1001"/>
        </w:numPr>
      </w:pPr>
      <w:r>
        <w:t xml:space="preserve">a complexity analysis of patch-length trade-offs in attention and memory,</w:t>
      </w:r>
    </w:p>
    <w:p>
      <w:pPr>
        <w:numPr>
          <w:ilvl w:val="0"/>
          <w:numId w:val="1001"/>
        </w:numPr>
      </w:pPr>
      <w:r>
        <w:t xml:space="preserve">deterministic ablations over mask ratio and patch length with machine-readable artifacts,</w:t>
      </w:r>
    </w:p>
    <w:p>
      <w:pPr>
        <w:numPr>
          <w:ilvl w:val="0"/>
          <w:numId w:val="1001"/>
        </w:numPr>
      </w:pPr>
      <w:r>
        <w:t xml:space="preserve">downstream forecasting evaluation against TimesFM </w:t>
      </w:r>
      <w:r>
        <w:t xml:space="preserve">, showing benchmark performance from feature-bootstrapped pretraining.</w:t>
      </w:r>
    </w:p>
    <w:p>
      <w:pPr>
        <w:pStyle w:val="FirstParagraph"/>
      </w:pPr>
      <w:r>
        <w:t xml:space="preserve">All claims are scoped to measured evidence from this study. Subsequent fine-tuning and transfer tests showed that the feature-bootstrapped initialization outperforms the TimesFM baseline on 5 of 7 standard forecasting benchmarks.</w:t>
      </w:r>
    </w:p>
    <w:bookmarkEnd w:id="20"/>
    <w:bookmarkStart w:id="26" w:name="related-work"/>
    <w:p>
      <w:pPr>
        <w:pStyle w:val="Heading1"/>
      </w:pPr>
      <w:r>
        <w:t xml:space="preserve">Related Work</w:t>
      </w:r>
    </w:p>
    <w:bookmarkStart w:id="21" w:name="X867f8e2a7fc7ff75a84ab25db0ca53b789972f4"/>
    <w:p>
      <w:pPr>
        <w:pStyle w:val="Heading2"/>
      </w:pPr>
      <w:r>
        <w:t xml:space="preserve">Foundation and Transfer Models for Forecasting</w:t>
      </w:r>
    </w:p>
    <w:p>
      <w:pPr>
        <w:pStyle w:val="FirstParagraph"/>
      </w:pPr>
      <w:r>
        <w:t xml:space="preserve">Early global forecasting models such as DeepAR</w:t>
      </w:r>
      <w:r>
        <w:t xml:space="preserve"> </w:t>
      </w:r>
      <w:r>
        <w:t xml:space="preserve">, N-BEATS</w:t>
      </w:r>
      <w:r>
        <w:t xml:space="preserve"> </w:t>
      </w:r>
      <w:r>
        <w:t xml:space="preserve">, and Temporal Fusion Transformer</w:t>
      </w:r>
      <w:r>
        <w:t xml:space="preserve"> </w:t>
      </w:r>
      <w:r>
        <w:t xml:space="preserve"> </w:t>
      </w:r>
      <w:r>
        <w:t xml:space="preserve">established strong supervised baselines. Temporal convolutional networks also showed competitive sequence modeling</w:t>
      </w:r>
      <w:r>
        <w:t xml:space="preserve"> </w:t>
      </w:r>
      <w:r>
        <w:t xml:space="preserve">. Transformer variants then focused on long context and efficient sequence modeling, including Informer</w:t>
      </w:r>
      <w:r>
        <w:t xml:space="preserve"> </w:t>
      </w:r>
      <w:r>
        <w:t xml:space="preserve">, Autoformer</w:t>
      </w:r>
      <w:r>
        <w:t xml:space="preserve"> </w:t>
      </w:r>
      <w:r>
        <w:t xml:space="preserve">, FEDformer</w:t>
      </w:r>
      <w:r>
        <w:t xml:space="preserve"> </w:t>
      </w:r>
      <w:r>
        <w:t xml:space="preserve">, DLinear</w:t>
      </w:r>
      <w:r>
        <w:t xml:space="preserve"> </w:t>
      </w:r>
      <w:r>
        <w:t xml:space="preserve">, and iTransformer</w:t>
      </w:r>
      <w:r>
        <w:t xml:space="preserve"> </w:t>
      </w:r>
      <w:r>
        <w:t xml:space="preserve">. PatchTST showed that patch tokenization improves long-horizon transfer behavior</w:t>
      </w:r>
      <w:r>
        <w:t xml:space="preserve"> </w:t>
      </w:r>
      <w:r>
        <w:t xml:space="preserve">. TimesFM extended this direction to decoder-only foundation pretraining at larger scale</w:t>
      </w:r>
      <w:r>
        <w:t xml:space="preserve"> </w:t>
      </w:r>
      <w:r>
        <w:t xml:space="preserve">. A recent survey provides a comprehensive overview of this rapidly evolving landscape</w:t>
      </w:r>
      <w:r>
        <w:t xml:space="preserve"> </w:t>
      </w:r>
      <w:r>
        <w:t xml:space="preserve">.</w:t>
      </w:r>
    </w:p>
    <w:bookmarkEnd w:id="21"/>
    <w:bookmarkStart w:id="22" w:name="X418878615f4fe87ae67c6c826d3ff7c4de42cf5"/>
    <w:p>
      <w:pPr>
        <w:pStyle w:val="Heading2"/>
      </w:pPr>
      <w:r>
        <w:t xml:space="preserve">Masked Modeling and Representation Learning</w:t>
      </w:r>
    </w:p>
    <w:p>
      <w:pPr>
        <w:pStyle w:val="FirstParagraph"/>
      </w:pPr>
      <w:r>
        <w:t xml:space="preserve">Masked prediction objectives were first standardized in language and then generalized to vision</w:t>
      </w:r>
      <w:r>
        <w:t xml:space="preserve"> </w:t>
      </w:r>
      <w:r>
        <w:t xml:space="preserve">. The key principle is to force conditional reconstruction from partial context. Our objective follows the same family but reconstructs latent patch embeddings instead of tokens or pixels.</w:t>
      </w:r>
    </w:p>
    <w:bookmarkEnd w:id="22"/>
    <w:bookmarkStart w:id="23" w:name="normalization-and-distribution-shift"/>
    <w:p>
      <w:pPr>
        <w:pStyle w:val="Heading2"/>
      </w:pPr>
      <w:r>
        <w:t xml:space="preserve">Normalization and Distribution Shift</w:t>
      </w:r>
    </w:p>
    <w:p>
      <w:pPr>
        <w:pStyle w:val="FirstParagraph"/>
      </w:pPr>
      <w:r>
        <w:t xml:space="preserve">Distribution shift in temporal amplitude and variance can degrade forecasting transfer. RevIN addresses this by instance-level normalization with reversible affine parameters</w:t>
      </w:r>
      <w:r>
        <w:t xml:space="preserve"> </w:t>
      </w:r>
      <w:r>
        <w:t xml:space="preserve">. This mechanism is central in our implementation because synthetic fallback data and heterogeneous datasets induce scale mismatch.</w:t>
      </w:r>
    </w:p>
    <w:bookmarkEnd w:id="23"/>
    <w:bookmarkStart w:id="24" w:name="synthetic-data-for-time-series"/>
    <w:p>
      <w:pPr>
        <w:pStyle w:val="Heading2"/>
      </w:pPr>
      <w:r>
        <w:t xml:space="preserve">Synthetic Data for Time Series</w:t>
      </w:r>
    </w:p>
    <w:p>
      <w:pPr>
        <w:pStyle w:val="FirstParagraph"/>
      </w:pPr>
      <w:r>
        <w:t xml:space="preserve">Synthetic generation from stylized temporal components has long roots in classical time-series analysis</w:t>
      </w:r>
      <w:r>
        <w:t xml:space="preserve"> </w:t>
      </w:r>
      <w:r>
        <w:t xml:space="preserve">. Scalable forecasting systems such as Prophet</w:t>
      </w:r>
      <w:r>
        <w:t xml:space="preserve"> </w:t>
      </w:r>
      <w:r>
        <w:t xml:space="preserve"> </w:t>
      </w:r>
      <w:r>
        <w:t xml:space="preserve">also rely on structured decomposition with additive components. Recent forecasting papers mix real and synthetic corpora to improve coverage of pattern space</w:t>
      </w:r>
      <w:r>
        <w:t xml:space="preserve"> </w:t>
      </w:r>
      <w:r>
        <w:t xml:space="preserve">. Our work studies a constrained version of this idea using feature tables as synthesis control signals.</w:t>
      </w:r>
    </w:p>
    <w:bookmarkEnd w:id="24"/>
    <w:bookmarkStart w:id="25" w:name="recent-foundation-models"/>
    <w:p>
      <w:pPr>
        <w:pStyle w:val="Heading2"/>
      </w:pPr>
      <w:r>
        <w:t xml:space="preserve">Recent Foundation Models</w:t>
      </w:r>
    </w:p>
    <w:p>
      <w:pPr>
        <w:pStyle w:val="FirstParagraph"/>
      </w:pPr>
      <w:r>
        <w:t xml:space="preserve">Several concurrent and subsequent works have expanded the TSFM landscape. Chronos </w:t>
      </w:r>
      <w:r>
        <w:t xml:space="preserve"> </w:t>
      </w:r>
      <w:r>
        <w:t xml:space="preserve">tokenizes time-series values into bins and trains a T5-based language model for probabilistic forecasting. Moirai </w:t>
      </w:r>
      <w:r>
        <w:t xml:space="preserve"> </w:t>
      </w:r>
      <w:r>
        <w:t xml:space="preserve">introduces a masked encoder with any-variate attention that handles heterogeneous frequencies. Lag-Llama </w:t>
      </w:r>
      <w:r>
        <w:t xml:space="preserve"> </w:t>
      </w:r>
      <w:r>
        <w:t xml:space="preserve">applies a pretrained LLaMA backbone with lag-based tokenization for univariate probabilistic forecasting. Gruver </w:t>
      </w:r>
      <w:r>
        <w:rPr>
          <w:i/>
          <w:iCs/>
        </w:rPr>
        <w:t xml:space="preserve">et al.</w:t>
      </w:r>
      <w:r>
        <w:t xml:space="preserve"> </w:t>
      </w:r>
      <w:r>
        <w:t xml:space="preserve"> </w:t>
      </w:r>
      <w:r>
        <w:t xml:space="preserve">demonstrated that large language models can perform zero-shot time-series forecasting via text tokenization, further expanding the design space. Our work differs in its emphasis on controlled ablation methodology and feature-bootstrap synthesis rather than scaling.</w:t>
      </w:r>
    </w:p>
    <w:bookmarkEnd w:id="25"/>
    <w:bookmarkEnd w:id="26"/>
    <w:bookmarkStart w:id="28" w:name="X019a312eab94853d8dc6aa71f11e440a8406f5f"/>
    <w:p>
      <w:pPr>
        <w:pStyle w:val="Heading1"/>
      </w:pPr>
      <w:r>
        <w:t xml:space="preserve">Methodological Positioning Relative to Decoder-Only TSFMs</w:t>
      </w:r>
    </w:p>
    <w:p>
      <w:pPr>
        <w:pStyle w:val="FirstParagraph"/>
      </w:pPr>
      <w:r>
        <w:t xml:space="preserve">Our implementation and TimesFM share a patch-based representation but optimize distinct objectives. TimesFM predicts future patches with a decoder-only stack</w:t>
      </w:r>
      <w:r>
        <w:t xml:space="preserve"> </w:t>
      </w:r>
      <w:r>
        <w:t xml:space="preserve">; this study reconstructs masked patches with a bidirectional encoder. Table </w:t>
      </w:r>
      <w:hyperlink w:anchor="tab:positioning">
        <w:r>
          <w:rPr>
            <w:rStyle w:val="Hyperlink"/>
          </w:rPr>
          <w:t xml:space="preserve">1</w:t>
        </w:r>
      </w:hyperlink>
      <w:r>
        <w:t xml:space="preserve"> </w:t>
      </w:r>
      <w:r>
        <w:t xml:space="preserve">summarizes the methodological differences.</w:t>
      </w:r>
    </w:p>
    <w:bookmarkStart w:id="27" w:name="tab:positioning"/>
    <w:p>
      <w:pPr>
        <w:pStyle w:val="TableCaption"/>
      </w:pPr>
      <w:r>
        <w:t xml:space="preserve">Methodological Positioning of This Work vs. Decoder-Only TimesFM</w:t>
      </w:r>
    </w:p>
    <w:tbl>
      <w:tblPr>
        <w:tblStyle w:val="Table"/>
        <w:tblW w:type="pct" w:w="4400"/>
        <w:tblLayout w:type="fixed"/>
        <w:tblLook w:firstRow="1" w:lastRow="0" w:firstColumn="0" w:lastColumn="0" w:noHBand="0" w:noVBand="0" w:val="0020"/>
        <w:tblCaption w:val="Methodological Positioning of This Work vs. Decoder-Only TimesFM"/>
      </w:tblPr>
      <w:tblGrid>
        <w:gridCol w:w="2376"/>
        <w:gridCol w:w="2296"/>
        <w:gridCol w:w="2296"/>
      </w:tblGrid>
      <w:tr>
        <w:trPr>
          <w:tblHeader w:val="on"/>
        </w:trPr>
        <w:tc>
          <w:tcPr/>
          <w:p>
            <w:pPr>
              <w:pStyle w:val="Compact"/>
              <w:jc w:val="left"/>
            </w:pPr>
            <w:r>
              <w:t xml:space="preserve">Dimension</w:t>
            </w:r>
          </w:p>
        </w:tc>
        <w:tc>
          <w:tcPr/>
          <w:p>
            <w:pPr>
              <w:pStyle w:val="Compact"/>
              <w:jc w:val="left"/>
            </w:pPr>
            <w:r>
              <w:t xml:space="preserve">Decoder-Only TimesFM</w:t>
            </w:r>
          </w:p>
        </w:tc>
        <w:tc>
          <w:tcPr/>
          <w:p>
            <w:pPr>
              <w:pStyle w:val="Compact"/>
              <w:jc w:val="left"/>
            </w:pPr>
            <w:r>
              <w:t xml:space="preserve">This Study</w:t>
            </w:r>
          </w:p>
        </w:tc>
      </w:tr>
      <w:tr>
        <w:tc>
          <w:tcPr/>
          <w:p>
            <w:pPr>
              <w:pStyle w:val="Compact"/>
              <w:jc w:val="left"/>
            </w:pPr>
            <w:r>
              <w:t xml:space="preserve">Primary target</w:t>
            </w:r>
          </w:p>
        </w:tc>
        <w:tc>
          <w:tcPr/>
          <w:p>
            <w:pPr>
              <w:pStyle w:val="Compact"/>
              <w:jc w:val="left"/>
            </w:pPr>
            <w:r>
              <w:t xml:space="preserve">Next/future patch forecasting</w:t>
            </w:r>
          </w:p>
        </w:tc>
        <w:tc>
          <w:tcPr/>
          <w:p>
            <w:pPr>
              <w:pStyle w:val="Compact"/>
              <w:jc w:val="left"/>
            </w:pPr>
            <w:r>
              <w:t xml:space="preserve">Masked latent patch reconstruction</w:t>
            </w:r>
          </w:p>
        </w:tc>
      </w:tr>
      <w:tr>
        <w:tc>
          <w:tcPr/>
          <w:p>
            <w:pPr>
              <w:pStyle w:val="Compact"/>
              <w:jc w:val="left"/>
            </w:pPr>
            <w:r>
              <w:t xml:space="preserve">Backbone direction</w:t>
            </w:r>
          </w:p>
        </w:tc>
        <w:tc>
          <w:tcPr/>
          <w:p>
            <w:pPr>
              <w:pStyle w:val="Compact"/>
              <w:jc w:val="left"/>
            </w:pPr>
            <w:r>
              <w:t xml:space="preserve">Causal decoder stack</w:t>
            </w:r>
          </w:p>
        </w:tc>
        <w:tc>
          <w:tcPr/>
          <w:p>
            <w:pPr>
              <w:pStyle w:val="Compact"/>
              <w:jc w:val="left"/>
            </w:pPr>
            <w:r>
              <w:t xml:space="preserve">Bidirectional encoder stack</w:t>
            </w:r>
          </w:p>
        </w:tc>
      </w:tr>
      <w:tr>
        <w:tc>
          <w:tcPr/>
          <w:p>
            <w:pPr>
              <w:pStyle w:val="Compact"/>
              <w:jc w:val="left"/>
            </w:pPr>
            <w:r>
              <w:t xml:space="preserve">Scale assumptions</w:t>
            </w:r>
          </w:p>
        </w:tc>
        <w:tc>
          <w:tcPr/>
          <w:p>
            <w:pPr>
              <w:pStyle w:val="Compact"/>
              <w:jc w:val="left"/>
            </w:pPr>
            <w:r>
              <w:t xml:space="preserve">Internet-scale mixed corpus</w:t>
            </w:r>
          </w:p>
        </w:tc>
        <w:tc>
          <w:tcPr/>
          <w:p>
            <w:pPr>
              <w:pStyle w:val="Compact"/>
              <w:jc w:val="left"/>
            </w:pPr>
            <w:r>
              <w:t xml:space="preserve">Local corpus with feature bootstrap fallback</w:t>
            </w:r>
          </w:p>
        </w:tc>
      </w:tr>
      <w:tr>
        <w:tc>
          <w:tcPr/>
          <w:p>
            <w:pPr>
              <w:pStyle w:val="Compact"/>
              <w:jc w:val="left"/>
            </w:pPr>
            <w:r>
              <w:t xml:space="preserve">Core claim type</w:t>
            </w:r>
          </w:p>
        </w:tc>
        <w:tc>
          <w:tcPr/>
          <w:p>
            <w:pPr>
              <w:pStyle w:val="Compact"/>
              <w:jc w:val="left"/>
            </w:pPr>
            <w:r>
              <w:t xml:space="preserve">Zero-shot forecasting accuracy</w:t>
            </w:r>
          </w:p>
        </w:tc>
        <w:tc>
          <w:tcPr/>
          <w:p>
            <w:pPr>
              <w:pStyle w:val="Compact"/>
              <w:jc w:val="left"/>
            </w:pPr>
            <w:r>
              <w:t xml:space="preserve">Objective behavior and reproducibility</w:t>
            </w:r>
          </w:p>
        </w:tc>
      </w:tr>
      <w:tr>
        <w:tc>
          <w:tcPr/>
          <w:p>
            <w:pPr>
              <w:pStyle w:val="Compact"/>
              <w:jc w:val="left"/>
            </w:pPr>
            <w:r>
              <w:t xml:space="preserve">Evaluation emphasis</w:t>
            </w:r>
          </w:p>
        </w:tc>
        <w:tc>
          <w:tcPr/>
          <w:p>
            <w:pPr>
              <w:pStyle w:val="Compact"/>
              <w:jc w:val="left"/>
            </w:pPr>
            <w:r>
              <w:t xml:space="preserve">Benchmark forecasting metrics</w:t>
            </w:r>
          </w:p>
        </w:tc>
        <w:tc>
          <w:tcPr/>
          <w:p>
            <w:pPr>
              <w:pStyle w:val="Compact"/>
              <w:jc w:val="left"/>
            </w:pPr>
            <w:r>
              <w:t xml:space="preserve">Deterministic optimization ablations</w:t>
            </w:r>
          </w:p>
        </w:tc>
      </w:tr>
    </w:tbl>
    <w:bookmarkEnd w:id="27"/>
    <w:bookmarkEnd w:id="28"/>
    <w:bookmarkStart w:id="32" w:name="problem-setup-and-notation"/>
    <w:p>
      <w:pPr>
        <w:pStyle w:val="Heading1"/>
      </w:pPr>
      <w:r>
        <w:t xml:space="preserve">Problem Setup and Notation</w:t>
      </w:r>
    </w:p>
    <w:p>
      <w:pPr>
        <w:pStyle w:val="FirstParagraph"/>
      </w:pPr>
      <w:r>
        <w:t xml:space="preserve">Let</w:t>
      </w:r>
      <w:r>
        <w:t xml:space="preserve"> </w:t>
      </w:r>
      <m:oMath>
        <m:sSubSup>
          <m:e>
            <m:r>
              <m:t>x</m:t>
            </m:r>
          </m:e>
          <m:sub>
            <m:r>
              <m:t>1</m:t>
            </m:r>
            <m:r>
              <m:rPr>
                <m:sty m:val="p"/>
              </m:rPr>
              <m:t>:</m:t>
            </m:r>
            <m:sSub>
              <m:e>
                <m:r>
                  <m:t>T</m:t>
                </m:r>
              </m:e>
              <m:sub>
                <m:r>
                  <m:t>n</m:t>
                </m:r>
              </m:sub>
            </m:sSub>
          </m:sub>
          <m:sup>
            <m:d>
              <m:dPr>
                <m:begChr m:val="("/>
                <m:endChr m:val=")"/>
                <m:sepChr m:val=""/>
                <m:grow/>
              </m:dPr>
              <m:e>
                <m:r>
                  <m:t>n</m:t>
                </m:r>
              </m:e>
            </m:d>
          </m:sup>
        </m:sSubSup>
      </m:oMath>
      <w:r>
        <w:t xml:space="preserve"> </w:t>
      </w:r>
      <w:r>
        <w:t xml:space="preserve">denote univariate series</w:t>
      </w:r>
      <w:r>
        <w:t xml:space="preserve"> </w:t>
      </w:r>
      <m:oMath>
        <m:r>
          <m:t>n</m:t>
        </m:r>
      </m:oMath>
      <w:r>
        <w:t xml:space="preserve"> </w:t>
      </w:r>
      <w:r>
        <w:t xml:space="preserve">in corpus</w:t>
      </w:r>
      <w:r>
        <w:t xml:space="preserve"> </w:t>
      </w:r>
      <m:oMath>
        <m:r>
          <m:rPr>
            <m:sty m:val="p"/>
            <m:scr m:val="script"/>
          </m:rPr>
          <m:t>D</m:t>
        </m:r>
      </m:oMath>
      <w:r>
        <w:t xml:space="preserve">. For a fixed context length</w:t>
      </w:r>
      <w:r>
        <w:t xml:space="preserve"> </w:t>
      </w:r>
      <m:oMath>
        <m:r>
          <m:t>L</m:t>
        </m:r>
      </m:oMath>
      <w:r>
        <w:t xml:space="preserve"> </w:t>
      </w:r>
      <w:r>
        <w:t xml:space="preserve">and stride</w:t>
      </w:r>
      <w:r>
        <w:t xml:space="preserve"> </w:t>
      </w:r>
      <m:oMath>
        <m:r>
          <m:t>S</m:t>
        </m:r>
      </m:oMath>
      <w:r>
        <w:t xml:space="preserve">, the dataset builder extracts windows</w:t>
      </w:r>
    </w:p>
    <w:p>
      <w:pPr>
        <w:pStyle w:val="BodyText"/>
      </w:pPr>
      <m:oMathPara>
        <m:oMathParaPr>
          <m:jc m:val="center"/>
        </m:oMathParaPr>
        <m:oMath>
          <m:sSubSup>
            <m:e>
              <m:r>
                <m:t>w</m:t>
              </m:r>
            </m:e>
            <m:sub>
              <m:r>
                <m:t>k</m:t>
              </m:r>
            </m:sub>
            <m:sup>
              <m:d>
                <m:dPr>
                  <m:begChr m:val="("/>
                  <m:endChr m:val=")"/>
                  <m:sepChr m:val=""/>
                  <m:grow/>
                </m:dPr>
                <m:e>
                  <m:r>
                    <m:t>n</m:t>
                  </m:r>
                </m:e>
              </m:d>
            </m:sup>
          </m:sSubSup>
          <m:r>
            <m:rPr>
              <m:sty m:val="p"/>
            </m:rPr>
            <m:t>=</m:t>
          </m:r>
          <m:sSubSup>
            <m:e>
              <m:r>
                <m:t>x</m:t>
              </m:r>
            </m:e>
            <m:sub>
              <m:r>
                <m:t>k</m:t>
              </m:r>
              <m:r>
                <m:t>S</m:t>
              </m:r>
              <m:r>
                <m:rPr>
                  <m:sty m:val="p"/>
                </m:rPr>
                <m:t>+</m:t>
              </m:r>
              <m:r>
                <m:t>1</m:t>
              </m:r>
              <m:r>
                <m:rPr>
                  <m:sty m:val="p"/>
                </m:rPr>
                <m:t>:</m:t>
              </m:r>
              <m:r>
                <m:t>k</m:t>
              </m:r>
              <m:r>
                <m:t>S</m:t>
              </m:r>
              <m:r>
                <m:rPr>
                  <m:sty m:val="p"/>
                </m:rPr>
                <m:t>+</m:t>
              </m:r>
              <m:r>
                <m:t>L</m:t>
              </m:r>
            </m:sub>
            <m:sup>
              <m:d>
                <m:dPr>
                  <m:begChr m:val="("/>
                  <m:endChr m:val=")"/>
                  <m:sepChr m:val=""/>
                  <m:grow/>
                </m:dPr>
                <m:e>
                  <m:r>
                    <m:t>n</m:t>
                  </m:r>
                </m:e>
              </m:d>
            </m:sup>
          </m:sSubSup>
          <m:r>
            <m:rPr>
              <m:sty m:val="p"/>
            </m:rPr>
            <m:t>,</m:t>
          </m:r>
          <m:r>
            <m:t> </m:t>
          </m:r>
          <m:r>
            <m:t>k</m:t>
          </m:r>
          <m:r>
            <m:rPr>
              <m:sty m:val="p"/>
            </m:rPr>
            <m:t>∈</m:t>
          </m:r>
          <m:r>
            <m:rPr>
              <m:sty m:val="p"/>
            </m:rPr>
            <m:t>{</m:t>
          </m:r>
          <m:r>
            <m:t>0</m:t>
          </m:r>
          <m:r>
            <m:rPr>
              <m:sty m:val="p"/>
            </m:rPr>
            <m:t>,</m:t>
          </m:r>
          <m:r>
            <m:rPr>
              <m:sty m:val="p"/>
            </m:rPr>
            <m:t>…</m:t>
          </m:r>
          <m:r>
            <m:rPr>
              <m:sty m:val="p"/>
            </m:rPr>
            <m:t>,</m:t>
          </m:r>
          <m:sSub>
            <m:e>
              <m:r>
                <m:t>K</m:t>
              </m:r>
            </m:e>
            <m:sub>
              <m:r>
                <m:t>n</m:t>
              </m:r>
            </m:sub>
          </m:sSub>
          <m:r>
            <m:rPr>
              <m:sty m:val="p"/>
            </m:rPr>
            <m:t>−</m:t>
          </m:r>
          <m:r>
            <m:t>1</m:t>
          </m:r>
          <m:r>
            <m:rPr>
              <m:sty m:val="p"/>
            </m:rPr>
            <m:t>}</m:t>
          </m:r>
          <m:r>
            <m:rPr>
              <m:sty m:val="p"/>
            </m:rPr>
            <m:t>,</m:t>
          </m:r>
        </m:oMath>
      </m:oMathPara>
    </w:p>
    <w:p>
      <w:pPr>
        <w:pStyle w:val="FirstParagraph"/>
      </w:pPr>
      <w:r>
        <w:t xml:space="preserve">where</w:t>
      </w:r>
      <w:r>
        <w:t xml:space="preserve"> </w:t>
      </w:r>
      <m:oMath>
        <m:sSub>
          <m:e>
            <m:r>
              <m:t>K</m:t>
            </m:r>
          </m:e>
          <m:sub>
            <m:r>
              <m:t>n</m:t>
            </m:r>
          </m:sub>
        </m:sSub>
        <m:r>
          <m:rPr>
            <m:sty m:val="p"/>
          </m:rPr>
          <m:t>=</m:t>
        </m:r>
        <m:d>
          <m:dPr>
            <m:begChr m:val="⌊"/>
            <m:endChr m:val="⌋"/>
            <m:sepChr m:val=""/>
            <m:grow/>
          </m:dPr>
          <m:e>
            <m:f>
              <m:fPr>
                <m:type m:val="bar"/>
              </m:fPr>
              <m:num>
                <m:sSub>
                  <m:e>
                    <m:r>
                      <m:t>T</m:t>
                    </m:r>
                  </m:e>
                  <m:sub>
                    <m:r>
                      <m:t>n</m:t>
                    </m:r>
                  </m:sub>
                </m:sSub>
                <m:r>
                  <m:rPr>
                    <m:sty m:val="p"/>
                  </m:rPr>
                  <m:t>−</m:t>
                </m:r>
                <m:r>
                  <m:t>L</m:t>
                </m:r>
              </m:num>
              <m:den>
                <m:r>
                  <m:t>S</m:t>
                </m:r>
              </m:den>
            </m:f>
          </m:e>
        </m:d>
        <m:r>
          <m:rPr>
            <m:sty m:val="p"/>
          </m:rPr>
          <m:t>+</m:t>
        </m:r>
        <m:r>
          <m:t>1</m:t>
        </m:r>
      </m:oMath>
      <w:r>
        <w:t xml:space="preserve">.</w:t>
      </w:r>
    </w:p>
    <w:p>
      <w:pPr>
        <w:pStyle w:val="BodyText"/>
      </w:pPr>
      <w:r>
        <w:t xml:space="preserve">Each window is mapped to tensor</w:t>
      </w:r>
      <w:r>
        <w:t xml:space="preserve"> </w:t>
      </w:r>
      <m:oMath>
        <m:r>
          <m:rPr>
            <m:sty m:val="b"/>
          </m:rPr>
          <m:t>W</m:t>
        </m:r>
        <m:r>
          <m:rPr>
            <m:sty m:val="p"/>
          </m:rPr>
          <m:t>∈</m:t>
        </m:r>
        <m:sSup>
          <m:e>
            <m:r>
              <m:rPr>
                <m:sty m:val="p"/>
                <m:scr m:val="double-struck"/>
              </m:rPr>
              <m:t>R</m:t>
            </m:r>
          </m:e>
          <m:sup>
            <m:r>
              <m:t>L</m:t>
            </m:r>
            <m:r>
              <m:rPr>
                <m:sty m:val="p"/>
              </m:rPr>
              <m:t>×</m:t>
            </m:r>
            <m:r>
              <m:t>1</m:t>
            </m:r>
          </m:sup>
        </m:sSup>
      </m:oMath>
      <w:r>
        <w:t xml:space="preserve">. The pretraining objective is not future horizon prediction; it is masked latent reconstruction over patch tokens.</w:t>
      </w:r>
    </w:p>
    <w:bookmarkStart w:id="29" w:name="assumptions"/>
    <w:p>
      <w:pPr>
        <w:pStyle w:val="Heading2"/>
      </w:pPr>
      <w:r>
        <w:t xml:space="preserve">Assumptions</w:t>
      </w:r>
    </w:p>
    <w:p>
      <w:pPr>
        <w:pStyle w:val="FirstParagraph"/>
      </w:pPr>
      <w:r>
        <w:t xml:space="preserve">We make the following assumptions for analysis and interpretation.</w:t>
      </w:r>
    </w:p>
    <w:p>
      <w:pPr>
        <w:numPr>
          <w:ilvl w:val="0"/>
          <w:numId w:val="1002"/>
        </w:numPr>
      </w:pPr>
      <w:r>
        <w:rPr>
          <w:b/>
          <w:bCs/>
        </w:rPr>
        <w:t xml:space="preserve">A1 (Finite second moments):</w:t>
      </w:r>
      <w:r>
        <w:t xml:space="preserve"> </w:t>
      </w:r>
      <w:r>
        <w:t xml:space="preserve">each training window has finite mean and variance.</w:t>
      </w:r>
    </w:p>
    <w:p>
      <w:pPr>
        <w:numPr>
          <w:ilvl w:val="0"/>
          <w:numId w:val="1002"/>
        </w:numPr>
      </w:pPr>
      <w:r>
        <w:rPr>
          <w:b/>
          <w:bCs/>
        </w:rPr>
        <w:t xml:space="preserve">A2 (Window-local regularity):</w:t>
      </w:r>
      <w:r>
        <w:t xml:space="preserve"> </w:t>
      </w:r>
      <w:r>
        <w:t xml:space="preserve">after RevIN, local statistics are stable enough for shared encoder weights.</w:t>
      </w:r>
    </w:p>
    <w:p>
      <w:pPr>
        <w:numPr>
          <w:ilvl w:val="0"/>
          <w:numId w:val="1002"/>
        </w:numPr>
      </w:pPr>
      <w:r>
        <w:rPr>
          <w:b/>
          <w:bCs/>
        </w:rPr>
        <w:t xml:space="preserve">A3 (Feature control validity):</w:t>
      </w:r>
      <w:r>
        <w:t xml:space="preserve"> </w:t>
      </w:r>
      <w:r>
        <w:t xml:space="preserve">synthesis features (mean, variance, autocorrelation proxy, trend, season period, spike proxy) encode usable first-order structure.</w:t>
      </w:r>
    </w:p>
    <w:p>
      <w:pPr>
        <w:numPr>
          <w:ilvl w:val="0"/>
          <w:numId w:val="1002"/>
        </w:numPr>
      </w:pPr>
      <w:r>
        <w:rPr>
          <w:b/>
          <w:bCs/>
        </w:rPr>
        <w:t xml:space="preserve">A4 (Missing-value handling):</w:t>
      </w:r>
      <w:r>
        <w:t xml:space="preserve"> </w:t>
      </w:r>
      <w:r>
        <w:t xml:space="preserve">non-finite observations removed during loading do not introduce directional bias larger than the modeled variance.</w:t>
      </w:r>
    </w:p>
    <w:p>
      <w:pPr>
        <w:numPr>
          <w:ilvl w:val="0"/>
          <w:numId w:val="1002"/>
        </w:numPr>
      </w:pPr>
      <w:r>
        <w:rPr>
          <w:b/>
          <w:bCs/>
        </w:rPr>
        <w:t xml:space="preserve">A5 (Deterministic protocol for baseline ablations):</w:t>
      </w:r>
      <w:r>
        <w:t xml:space="preserve"> </w:t>
      </w:r>
      <w:r>
        <w:t xml:space="preserve">fixed seed and single-thread feature synthesis remove run-order nondeterminism.</w:t>
      </w:r>
    </w:p>
    <w:p>
      <w:pPr>
        <w:numPr>
          <w:ilvl w:val="0"/>
          <w:numId w:val="1002"/>
        </w:numPr>
      </w:pPr>
      <w:r>
        <w:rPr>
          <w:b/>
          <w:bCs/>
        </w:rPr>
        <w:t xml:space="preserve">A6 (Seed-stratified protocol for uncertainty):</w:t>
      </w:r>
      <w:r>
        <w:t xml:space="preserve"> </w:t>
      </w:r>
      <w:r>
        <w:t xml:space="preserve">varying both data-synthesis seed and model seed approximates run-to-run uncertainty in this constrained budget.</w:t>
      </w:r>
    </w:p>
    <w:bookmarkEnd w:id="29"/>
    <w:bookmarkStart w:id="31" w:name="notation-table"/>
    <w:p>
      <w:pPr>
        <w:pStyle w:val="Heading2"/>
      </w:pPr>
      <w:r>
        <w:t xml:space="preserve">Notation Table</w:t>
      </w:r>
    </w:p>
    <w:p>
      <w:pPr>
        <w:pStyle w:val="FirstParagraph"/>
      </w:pPr>
      <w:r>
        <w:t xml:space="preserve">Table </w:t>
      </w:r>
      <w:hyperlink w:anchor="tab:notation">
        <w:r>
          <w:rPr>
            <w:rStyle w:val="Hyperlink"/>
          </w:rPr>
          <w:t xml:space="preserve">2</w:t>
        </w:r>
      </w:hyperlink>
      <w:r>
        <w:t xml:space="preserve"> </w:t>
      </w:r>
      <w:r>
        <w:t xml:space="preserve">defines symbols used throughout the derivations.</w:t>
      </w:r>
    </w:p>
    <w:bookmarkStart w:id="30" w:name="tab:notation"/>
    <w:p>
      <w:pPr>
        <w:pStyle w:val="TableCaption"/>
      </w:pPr>
      <w:r>
        <w:t xml:space="preserve">Notation</w:t>
      </w:r>
    </w:p>
    <w:tbl>
      <w:tblPr>
        <w:tblStyle w:val="Table"/>
        <w:tblW w:type="auto" w:w="0"/>
        <w:tblLook w:firstRow="1" w:lastRow="0" w:firstColumn="0" w:lastColumn="0" w:noHBand="0" w:noVBand="0" w:val="0020"/>
        <w:tblCaption w:val="Notation"/>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L</m:t>
              </m:r>
            </m:oMath>
          </w:p>
        </w:tc>
        <w:tc>
          <w:tcPr/>
          <w:p>
            <w:pPr>
              <w:pStyle w:val="Compact"/>
              <w:jc w:val="left"/>
            </w:pPr>
            <w:r>
              <w:t xml:space="preserve">Context length in time points</w:t>
            </w:r>
          </w:p>
        </w:tc>
      </w:tr>
      <w:tr>
        <w:tc>
          <w:tcPr/>
          <w:p>
            <w:pPr>
              <w:pStyle w:val="Compact"/>
              <w:jc w:val="left"/>
            </w:pPr>
            <m:oMath>
              <m:r>
                <m:t>S</m:t>
              </m:r>
            </m:oMath>
          </w:p>
        </w:tc>
        <w:tc>
          <w:tcPr/>
          <w:p>
            <w:pPr>
              <w:pStyle w:val="Compact"/>
              <w:jc w:val="left"/>
            </w:pPr>
            <w:r>
              <w:t xml:space="preserve">Sliding-window stride</w:t>
            </w:r>
          </w:p>
        </w:tc>
      </w:tr>
      <w:tr>
        <w:tc>
          <w:tcPr/>
          <w:p>
            <w:pPr>
              <w:pStyle w:val="Compact"/>
              <w:jc w:val="left"/>
            </w:pPr>
            <m:oMath>
              <m:r>
                <m:t>P</m:t>
              </m:r>
            </m:oMath>
          </w:p>
        </w:tc>
        <w:tc>
          <w:tcPr/>
          <w:p>
            <w:pPr>
              <w:pStyle w:val="Compact"/>
              <w:jc w:val="left"/>
            </w:pPr>
            <w:r>
              <w:t xml:space="preserve">Patch length</w:t>
            </w:r>
          </w:p>
        </w:tc>
      </w:tr>
      <w:tr>
        <w:tc>
          <w:tcPr/>
          <w:p>
            <w:pPr>
              <w:pStyle w:val="Compact"/>
              <w:jc w:val="left"/>
            </w:pPr>
            <m:oMath>
              <m:r>
                <m:t>N</m:t>
              </m:r>
              <m:r>
                <m:rPr>
                  <m:sty m:val="p"/>
                </m:rPr>
                <m:t>=</m:t>
              </m:r>
              <m:r>
                <m:t>L</m:t>
              </m:r>
              <m:r>
                <m:rPr>
                  <m:sty m:val="p"/>
                </m:rPr>
                <m:t>/</m:t>
              </m:r>
              <m:r>
                <m:t>P</m:t>
              </m:r>
            </m:oMath>
          </w:p>
        </w:tc>
        <w:tc>
          <w:tcPr/>
          <w:p>
            <w:pPr>
              <w:pStyle w:val="Compact"/>
              <w:jc w:val="left"/>
            </w:pPr>
            <w:r>
              <w:t xml:space="preserve">Number of patch tokens</w:t>
            </w:r>
          </w:p>
        </w:tc>
      </w:tr>
      <w:tr>
        <w:tc>
          <w:tcPr/>
          <w:p>
            <w:pPr>
              <w:pStyle w:val="Compact"/>
              <w:jc w:val="left"/>
            </w:pPr>
            <m:oMath>
              <m:r>
                <m:t>d</m:t>
              </m:r>
            </m:oMath>
          </w:p>
        </w:tc>
        <w:tc>
          <w:tcPr/>
          <w:p>
            <w:pPr>
              <w:pStyle w:val="Compact"/>
              <w:jc w:val="left"/>
            </w:pPr>
            <w:r>
              <w:t xml:space="preserve">Embedding dimension</w:t>
            </w:r>
          </w:p>
        </w:tc>
      </w:tr>
      <w:tr>
        <w:tc>
          <w:tcPr/>
          <w:p>
            <w:pPr>
              <w:pStyle w:val="Compact"/>
              <w:jc w:val="left"/>
            </w:pPr>
            <m:oMath>
              <m:r>
                <m:t>ρ</m:t>
              </m:r>
            </m:oMath>
          </w:p>
        </w:tc>
        <w:tc>
          <w:tcPr/>
          <w:p>
            <w:pPr>
              <w:pStyle w:val="Compact"/>
              <w:jc w:val="left"/>
            </w:pPr>
            <w:r>
              <w:t xml:space="preserve">Mask ratio</w:t>
            </w:r>
          </w:p>
        </w:tc>
      </w:tr>
      <w:tr>
        <w:tc>
          <w:tcPr/>
          <w:p>
            <w:pPr>
              <w:pStyle w:val="Compact"/>
              <w:jc w:val="left"/>
            </w:pPr>
            <m:oMath>
              <m:r>
                <m:rPr>
                  <m:sty m:val="b"/>
                </m:rPr>
                <m:t>m</m:t>
              </m:r>
            </m:oMath>
          </w:p>
        </w:tc>
        <w:tc>
          <w:tcPr/>
          <w:p>
            <w:pPr>
              <w:pStyle w:val="Compact"/>
              <w:jc w:val="left"/>
            </w:pPr>
            <w:r>
              <w:t xml:space="preserve">Binary mask over tokens</w:t>
            </w:r>
          </w:p>
        </w:tc>
      </w:tr>
      <w:tr>
        <w:tc>
          <w:tcPr/>
          <w:p>
            <w:pPr>
              <w:pStyle w:val="Compact"/>
              <w:jc w:val="left"/>
            </w:pPr>
            <m:oMath>
              <m:r>
                <m:t>M</m:t>
              </m:r>
            </m:oMath>
          </w:p>
        </w:tc>
        <w:tc>
          <w:tcPr/>
          <w:p>
            <w:pPr>
              <w:pStyle w:val="Compact"/>
              <w:jc w:val="left"/>
            </w:pPr>
            <w:r>
              <w:t xml:space="preserve">Number of Transformer encoder layers</w:t>
            </w:r>
          </w:p>
        </w:tc>
      </w:tr>
      <w:tr>
        <w:tc>
          <w:tcPr/>
          <w:p>
            <w:pPr>
              <w:pStyle w:val="Compact"/>
              <w:jc w:val="left"/>
            </w:pPr>
            <m:oMath>
              <m:r>
                <m:t>B</m:t>
              </m:r>
            </m:oMath>
          </w:p>
        </w:tc>
        <w:tc>
          <w:tcPr/>
          <w:p>
            <w:pPr>
              <w:pStyle w:val="Compact"/>
              <w:jc w:val="left"/>
            </w:pPr>
            <w:r>
              <w:t xml:space="preserve">Batch size</w:t>
            </w:r>
          </w:p>
        </w:tc>
      </w:tr>
      <w:tr>
        <w:tc>
          <w:tcPr/>
          <w:p>
            <w:pPr>
              <w:pStyle w:val="Compact"/>
              <w:jc w:val="left"/>
            </w:pPr>
            <m:oMath>
              <m:acc>
                <m:accPr>
                  <m:chr m:val="̂"/>
                </m:accPr>
                <m:e>
                  <m:r>
                    <m:rPr>
                      <m:sty m:val="b"/>
                    </m:rPr>
                    <m:t>E</m:t>
                  </m:r>
                </m:e>
              </m:acc>
              <m:r>
                <m:rPr>
                  <m:sty m:val="p"/>
                </m:rPr>
                <m:t>,</m:t>
              </m:r>
              <m:r>
                <m:rPr>
                  <m:sty m:val="b"/>
                </m:rPr>
                <m:t>E</m:t>
              </m:r>
            </m:oMath>
          </w:p>
        </w:tc>
        <w:tc>
          <w:tcPr/>
          <w:p>
            <w:pPr>
              <w:pStyle w:val="Compact"/>
              <w:jc w:val="left"/>
            </w:pPr>
            <w:r>
              <w:t xml:space="preserve">Reconstructed and target patch embeddings</w:t>
            </w:r>
          </w:p>
        </w:tc>
      </w:tr>
    </w:tbl>
    <w:bookmarkEnd w:id="30"/>
    <w:bookmarkEnd w:id="31"/>
    <w:bookmarkEnd w:id="32"/>
    <w:bookmarkStart w:id="35" w:name="feature-bootstrapped-corpus-construction"/>
    <w:p>
      <w:pPr>
        <w:pStyle w:val="Heading1"/>
      </w:pPr>
      <w:r>
        <w:t xml:space="preserve">Feature-Bootstrapped Corpus Construction</w:t>
      </w:r>
    </w:p>
    <w:bookmarkStart w:id="33" w:name="raw-mode"/>
    <w:p>
      <w:pPr>
        <w:pStyle w:val="Heading2"/>
      </w:pPr>
      <w:r>
        <w:t xml:space="preserve">Raw Mode</w:t>
      </w:r>
    </w:p>
    <w:p>
      <w:pPr>
        <w:pStyle w:val="FirstParagraph"/>
      </w:pPr>
      <w:r>
        <w:t xml:space="preserve">The loader searches recursively for</w:t>
      </w:r>
      <w:r>
        <w:t xml:space="preserve"> </w:t>
      </w:r>
      <w:r>
        <w:rPr>
          <w:rStyle w:val="VerbatimChar"/>
        </w:rPr>
        <w:t xml:space="preserve">.tsf</w:t>
      </w:r>
      <w:r>
        <w:t xml:space="preserve"> </w:t>
      </w:r>
      <w:r>
        <w:t xml:space="preserve">and</w:t>
      </w:r>
      <w:r>
        <w:t xml:space="preserve"> </w:t>
      </w:r>
      <w:r>
        <w:rPr>
          <w:rStyle w:val="VerbatimChar"/>
        </w:rPr>
        <w:t xml:space="preserve">.ts</w:t>
      </w:r>
      <w:r>
        <w:t xml:space="preserve"> </w:t>
      </w:r>
      <w:r>
        <w:t xml:space="preserve">files and uses</w:t>
      </w:r>
      <w:r>
        <w:t xml:space="preserve"> </w:t>
      </w:r>
      <w:r>
        <w:rPr>
          <w:rStyle w:val="VerbatimChar"/>
        </w:rPr>
        <w:t xml:space="preserve">sktime</w:t>
      </w:r>
      <w:r>
        <w:t xml:space="preserve"> </w:t>
      </w:r>
      <w:r>
        <w:t xml:space="preserve">readers when available. Numeric extraction converts each object to finite</w:t>
      </w:r>
      <w:r>
        <w:t xml:space="preserve"> </w:t>
      </w:r>
      <w:r>
        <w:rPr>
          <w:rStyle w:val="VerbatimChar"/>
        </w:rPr>
        <w:t xml:space="preserve">float32</w:t>
      </w:r>
      <w:r>
        <w:t xml:space="preserve"> </w:t>
      </w:r>
      <w:r>
        <w:t xml:space="preserve">arrays.</w:t>
      </w:r>
    </w:p>
    <w:bookmarkEnd w:id="33"/>
    <w:bookmarkStart w:id="34" w:name="feature-fallback-mode"/>
    <w:p>
      <w:pPr>
        <w:pStyle w:val="Heading2"/>
      </w:pPr>
      <w:r>
        <w:t xml:space="preserve">Feature-Fallback Mode</w:t>
      </w:r>
    </w:p>
    <w:p>
      <w:pPr>
        <w:pStyle w:val="FirstParagraph"/>
      </w:pPr>
      <w:r>
        <w:t xml:space="preserve">If no raw files exist, the loader reads feature-statistics rows and synthesizes pseudo-series. For each row, let target mean</w:t>
      </w:r>
      <w:r>
        <w:t xml:space="preserve"> </w:t>
      </w:r>
      <m:oMath>
        <m:r>
          <m:t>μ</m:t>
        </m:r>
      </m:oMath>
      <w:r>
        <w:t xml:space="preserve">, target standard deviation</w:t>
      </w:r>
      <w:r>
        <w:t xml:space="preserve"> </w:t>
      </w:r>
      <m:oMath>
        <m:r>
          <m:t>σ</m:t>
        </m:r>
      </m:oMath>
      <w:r>
        <w:t xml:space="preserve">, autocorrelation proxy</w:t>
      </w:r>
      <w:r>
        <w:t xml:space="preserve"> </w:t>
      </w:r>
      <m:oMath>
        <m:r>
          <m:t>a</m:t>
        </m:r>
      </m:oMath>
      <w:r>
        <w:t xml:space="preserve">, linear trend slope</w:t>
      </w:r>
      <w:r>
        <w:t xml:space="preserve"> </w:t>
      </w:r>
      <m:oMath>
        <m:r>
          <m:t>b</m:t>
        </m:r>
      </m:oMath>
      <w:r>
        <w:t xml:space="preserve">, seasonal period</w:t>
      </w:r>
      <w:r>
        <w:t xml:space="preserve"> </w:t>
      </w:r>
      <m:oMath>
        <m:r>
          <m:t>P</m:t>
        </m:r>
      </m:oMath>
      <w:r>
        <w:t xml:space="preserve">, and spike controls</w:t>
      </w:r>
      <w:r>
        <w:t xml:space="preserve"> </w:t>
      </w:r>
      <m:oMath>
        <m:d>
          <m:dPr>
            <m:begChr m:val="("/>
            <m:endChr m:val=")"/>
            <m:sepChr m:val=""/>
            <m:grow/>
          </m:dPr>
          <m:e>
            <m:sSub>
              <m:e>
                <m:r>
                  <m:t>p</m:t>
                </m:r>
              </m:e>
              <m:sub>
                <m:r>
                  <m:t>s</m:t>
                </m:r>
              </m:sub>
            </m:sSub>
            <m:r>
              <m:rPr>
                <m:sty m:val="p"/>
              </m:rPr>
              <m:t>,</m:t>
            </m:r>
            <m:sSub>
              <m:e>
                <m:r>
                  <m:t>σ</m:t>
                </m:r>
              </m:e>
              <m:sub>
                <m:r>
                  <m:t>s</m:t>
                </m:r>
              </m:sub>
            </m:sSub>
          </m:e>
        </m:d>
      </m:oMath>
      <w:r>
        <w:t xml:space="preserve"> </w:t>
      </w:r>
      <w:r>
        <w:t xml:space="preserve">define</w:t>
      </w:r>
    </w:p>
    <w:p>
      <w:pPr>
        <w:pStyle w:val="BodyText"/>
      </w:pPr>
      <m:oMathPara>
        <m:oMathParaPr>
          <m:jc m:val="center"/>
        </m:oMathParaPr>
        <m:oMath>
          <m:sSub>
            <m:e>
              <m:acc>
                <m:accPr>
                  <m:chr m:val="̃"/>
                </m:accPr>
                <m:e>
                  <m:r>
                    <m:t>x</m:t>
                  </m:r>
                </m:e>
              </m:acc>
            </m:e>
            <m:sub>
              <m:r>
                <m:t>t</m:t>
              </m:r>
            </m:sub>
          </m:sSub>
          <m:r>
            <m:rPr>
              <m:sty m:val="p"/>
            </m:rPr>
            <m:t>=</m:t>
          </m:r>
          <m:r>
            <m:t>μ</m:t>
          </m:r>
          <m:r>
            <m:rPr>
              <m:sty m:val="p"/>
            </m:rPr>
            <m:t>+</m:t>
          </m:r>
          <m:r>
            <m:t>b</m:t>
          </m:r>
          <m:r>
            <m:t>t</m:t>
          </m:r>
          <m:r>
            <m:rPr>
              <m:sty m:val="p"/>
            </m:rPr>
            <m:t>+</m:t>
          </m:r>
          <m:r>
            <m:t>A</m:t>
          </m:r>
          <m:r>
            <m:rPr>
              <m:sty m:val="p"/>
            </m:rPr>
            <m:t>sin</m:t>
          </m:r>
          <m:d>
            <m:dPr>
              <m:begChr m:val="("/>
              <m:endChr m:val=")"/>
              <m:sepChr m:val=""/>
              <m:grow/>
            </m:dPr>
            <m:e>
              <m:f>
                <m:fPr>
                  <m:type m:val="bar"/>
                </m:fPr>
                <m:num>
                  <m:r>
                    <m:t>2</m:t>
                  </m:r>
                  <m:r>
                    <m:t>π</m:t>
                  </m:r>
                  <m:r>
                    <m:t>t</m:t>
                  </m:r>
                </m:num>
                <m:den>
                  <m:r>
                    <m:t>P</m:t>
                  </m:r>
                </m:den>
              </m:f>
            </m:e>
          </m:d>
          <m:r>
            <m:rPr>
              <m:sty m:val="p"/>
            </m:rPr>
            <m:t>+</m:t>
          </m:r>
          <m:sSub>
            <m:e>
              <m:r>
                <m:t>ϵ</m:t>
              </m:r>
            </m:e>
            <m:sub>
              <m:r>
                <m:t>t</m:t>
              </m:r>
            </m:sub>
          </m:sSub>
          <m:r>
            <m:rPr>
              <m:sty m:val="p"/>
            </m:rPr>
            <m:t>+</m:t>
          </m:r>
          <m:r>
            <m:t>a</m:t>
          </m:r>
          <m:sSub>
            <m:e>
              <m:r>
                <m:t>r</m:t>
              </m:r>
            </m:e>
            <m:sub>
              <m:r>
                <m:t>t</m:t>
              </m:r>
            </m:sub>
          </m:sSub>
          <m:r>
            <m:rPr>
              <m:sty m:val="p"/>
            </m:rPr>
            <m:t>+</m:t>
          </m:r>
          <m:sSub>
            <m:e>
              <m:r>
                <m:t>η</m:t>
              </m:r>
            </m:e>
            <m:sub>
              <m:r>
                <m:t>t</m:t>
              </m:r>
            </m:sub>
          </m:sSub>
          <m:r>
            <m:t> </m:t>
          </m:r>
          <m:r>
            <m:rPr>
              <m:sty m:val="p"/>
            </m:rPr>
            <m:t>,</m:t>
          </m:r>
        </m:oMath>
      </m:oMathPara>
    </w:p>
    <w:p>
      <w:pPr>
        <w:pStyle w:val="FirstParagraph"/>
      </w:pPr>
      <w:r>
        <w:t xml:space="preserve">where</w:t>
      </w:r>
      <w:r>
        <w:t xml:space="preserve"> </w:t>
      </w:r>
      <m:oMath>
        <m:sSub>
          <m:e>
            <m:r>
              <m:t>ϵ</m:t>
            </m:r>
          </m:e>
          <m:sub>
            <m:r>
              <m:t>t</m:t>
            </m:r>
          </m:sub>
        </m:sSub>
      </m:oMath>
      <w:r>
        <w:t xml:space="preserve"> </w:t>
      </w:r>
      <w:r>
        <w:t xml:space="preserve">is Gaussian noise,</w:t>
      </w:r>
      <w:r>
        <w:t xml:space="preserve"> </w:t>
      </w:r>
      <m:oMath>
        <m:sSub>
          <m:e>
            <m:r>
              <m:t>r</m:t>
            </m:r>
          </m:e>
          <m:sub>
            <m:r>
              <m:t>t</m:t>
            </m:r>
          </m:sub>
        </m:sSub>
      </m:oMath>
      <w:r>
        <w:t xml:space="preserve"> </w:t>
      </w:r>
      <w:r>
        <w:t xml:space="preserve">is a random walk term, and</w:t>
      </w:r>
      <w:r>
        <w:t xml:space="preserve"> </w:t>
      </w:r>
      <m:oMath>
        <m:sSub>
          <m:e>
            <m:r>
              <m:t>η</m:t>
            </m:r>
          </m:e>
          <m:sub>
            <m:r>
              <m:t>t</m:t>
            </m:r>
          </m:sub>
        </m:sSub>
      </m:oMath>
      <w:r>
        <w:t xml:space="preserve"> </w:t>
      </w:r>
      <w:r>
        <w:t xml:space="preserve">is sparse spike noise. The generated sequence is then rescaled to match target</w:t>
      </w:r>
      <w:r>
        <w:t xml:space="preserve"> </w:t>
      </w:r>
      <m:oMath>
        <m:d>
          <m:dPr>
            <m:begChr m:val="("/>
            <m:endChr m:val=")"/>
            <m:sepChr m:val=""/>
            <m:grow/>
          </m:dPr>
          <m:e>
            <m:r>
              <m:t>μ</m:t>
            </m:r>
            <m:r>
              <m:rPr>
                <m:sty m:val="p"/>
              </m:rPr>
              <m:t>,</m:t>
            </m:r>
            <m:sSup>
              <m:e>
                <m:r>
                  <m:t>σ</m:t>
                </m:r>
              </m:e>
              <m:sup>
                <m:r>
                  <m:t>2</m:t>
                </m:r>
              </m:sup>
            </m:sSup>
          </m:e>
        </m:d>
      </m:oMath>
      <w:r>
        <w:t xml:space="preserve">.</w:t>
      </w:r>
    </w:p>
    <w:p>
      <w:pPr>
        <w:pStyle w:val="BodyText"/>
      </w:pPr>
      <w:r>
        <w:t xml:space="preserve">The corpus contains 44 feature tables and no raw-series archives. Public benchmarks such as the Monash forecasting archive</w:t>
      </w:r>
      <w:r>
        <w:t xml:space="preserve"> </w:t>
      </w:r>
      <w:r>
        <w:t xml:space="preserve"> </w:t>
      </w:r>
      <w:r>
        <w:t xml:space="preserve">and the M4/M5 competitions</w:t>
      </w:r>
      <w:r>
        <w:t xml:space="preserve"> </w:t>
      </w:r>
      <w:r>
        <w:t xml:space="preserve"> </w:t>
      </w:r>
      <w:r>
        <w:t xml:space="preserve">provide standardized evaluation corpora; we use their ETT subsets for downstream evaluation.</w:t>
      </w:r>
    </w:p>
    <w:bookmarkEnd w:id="34"/>
    <w:bookmarkEnd w:id="35"/>
    <w:bookmarkStart w:id="39" w:name="model-architecture"/>
    <w:p>
      <w:pPr>
        <w:pStyle w:val="Heading1"/>
      </w:pPr>
      <w:r>
        <w:t xml:space="preserve">Model Architecture</w:t>
      </w:r>
    </w:p>
    <w:bookmarkStart w:id="36" w:name="revin-layer"/>
    <w:p>
      <w:pPr>
        <w:pStyle w:val="Heading2"/>
      </w:pPr>
      <w:r>
        <w:t xml:space="preserve">RevIN Layer</w:t>
      </w:r>
    </w:p>
    <w:p>
      <w:pPr>
        <w:pStyle w:val="FirstParagraph"/>
      </w:pPr>
      <w:r>
        <w:t xml:space="preserve">Given input window</w:t>
      </w:r>
      <w:r>
        <w:t xml:space="preserve"> </w:t>
      </w:r>
      <m:oMath>
        <m:r>
          <m:rPr>
            <m:sty m:val="b"/>
          </m:rPr>
          <m:t>W</m:t>
        </m:r>
      </m:oMath>
      <w:r>
        <w:t xml:space="preserve">, RevIN computes</w:t>
      </w:r>
    </w:p>
    <w:p>
      <w:pPr>
        <w:pStyle w:val="BodyText"/>
      </w:pPr>
      <m:oMathPara>
        <m:oMathParaPr>
          <m:jc m:val="center"/>
        </m:oMathParaPr>
        <m:oMath>
          <m:r>
            <m:rPr>
              <m:sty m:val="b"/>
            </m:rPr>
            <m:t>W</m:t>
          </m:r>
          <m:r>
            <m:rPr>
              <m:sty m:val="p"/>
            </m:rPr>
            <m:t>′</m:t>
          </m:r>
          <m:r>
            <m:rPr>
              <m:sty m:val="p"/>
            </m:rPr>
            <m:t>=</m:t>
          </m:r>
          <m:r>
            <m:t>γ</m:t>
          </m:r>
          <m:r>
            <m:rPr>
              <m:sty m:val="p"/>
            </m:rPr>
            <m:t>⊙</m:t>
          </m:r>
          <m:f>
            <m:fPr>
              <m:type m:val="bar"/>
            </m:fPr>
            <m:num>
              <m:r>
                <m:rPr>
                  <m:sty m:val="b"/>
                </m:rPr>
                <m:t>W</m:t>
              </m:r>
              <m:r>
                <m:rPr>
                  <m:sty m:val="p"/>
                </m:rPr>
                <m:t>−</m:t>
              </m:r>
              <m:r>
                <m:t>μ</m:t>
              </m:r>
              <m:d>
                <m:dPr>
                  <m:begChr m:val="("/>
                  <m:endChr m:val=")"/>
                  <m:sepChr m:val=""/>
                  <m:grow/>
                </m:dPr>
                <m:e>
                  <m:r>
                    <m:rPr>
                      <m:sty m:val="b"/>
                    </m:rPr>
                    <m:t>W</m:t>
                  </m:r>
                </m:e>
              </m:d>
            </m:num>
            <m:den>
              <m:rad>
                <m:radPr>
                  <m:degHide m:val="on"/>
                </m:radPr>
                <m:deg/>
                <m:e>
                  <m:sSup>
                    <m:e>
                      <m:r>
                        <m:t>σ</m:t>
                      </m:r>
                    </m:e>
                    <m:sup>
                      <m:r>
                        <m:t>2</m:t>
                      </m:r>
                    </m:sup>
                  </m:sSup>
                  <m:d>
                    <m:dPr>
                      <m:begChr m:val="("/>
                      <m:endChr m:val=")"/>
                      <m:sepChr m:val=""/>
                      <m:grow/>
                    </m:dPr>
                    <m:e>
                      <m:r>
                        <m:rPr>
                          <m:sty m:val="b"/>
                        </m:rPr>
                        <m:t>W</m:t>
                      </m:r>
                    </m:e>
                  </m:d>
                  <m:r>
                    <m:rPr>
                      <m:sty m:val="p"/>
                    </m:rPr>
                    <m:t>+</m:t>
                  </m:r>
                  <m:r>
                    <m:t>ϵ</m:t>
                  </m:r>
                </m:e>
              </m:rad>
            </m:den>
          </m:f>
          <m:r>
            <m:rPr>
              <m:sty m:val="p"/>
            </m:rPr>
            <m:t>+</m:t>
          </m:r>
          <m:r>
            <m:t>β</m:t>
          </m:r>
          <m:r>
            <m:rPr>
              <m:sty m:val="p"/>
            </m:rPr>
            <m:t>,</m:t>
          </m:r>
        </m:oMath>
      </m:oMathPara>
    </w:p>
    <w:p>
      <w:pPr>
        <w:pStyle w:val="FirstParagraph"/>
      </w:pPr>
      <w:r>
        <w:t xml:space="preserve">where</w:t>
      </w:r>
      <w:r>
        <w:t xml:space="preserve"> </w:t>
      </w:r>
      <m:oMath>
        <m:d>
          <m:dPr>
            <m:begChr m:val="("/>
            <m:endChr m:val=")"/>
            <m:sepChr m:val=""/>
            <m:grow/>
          </m:dPr>
          <m:e>
            <m:r>
              <m:t>γ</m:t>
            </m:r>
            <m:r>
              <m:rPr>
                <m:sty m:val="p"/>
              </m:rPr>
              <m:t>,</m:t>
            </m:r>
            <m:r>
              <m:t>β</m:t>
            </m:r>
          </m:e>
        </m:d>
      </m:oMath>
      <w:r>
        <w:t xml:space="preserve"> </w:t>
      </w:r>
      <w:r>
        <w:t xml:space="preserve">are learnable affine parameters.</w:t>
      </w:r>
    </w:p>
    <w:bookmarkEnd w:id="36"/>
    <w:bookmarkStart w:id="37" w:name="patch-tokenization"/>
    <w:p>
      <w:pPr>
        <w:pStyle w:val="Heading2"/>
      </w:pPr>
      <w:r>
        <w:t xml:space="preserve">Patch Tokenization</w:t>
      </w:r>
    </w:p>
    <w:p>
      <w:pPr>
        <w:pStyle w:val="FirstParagraph"/>
      </w:pPr>
      <w:r>
        <w:t xml:space="preserve">For patch length</w:t>
      </w:r>
      <w:r>
        <w:t xml:space="preserve"> </w:t>
      </w:r>
      <m:oMath>
        <m:r>
          <m:t>P</m:t>
        </m:r>
      </m:oMath>
      <w:r>
        <w:t xml:space="preserve"> </w:t>
      </w:r>
      <w:r>
        <w:t xml:space="preserve">and context length</w:t>
      </w:r>
      <w:r>
        <w:t xml:space="preserve"> </w:t>
      </w:r>
      <m:oMath>
        <m:r>
          <m:t>L</m:t>
        </m:r>
      </m:oMath>
      <w:r>
        <w:t xml:space="preserve">, token count is</w:t>
      </w:r>
    </w:p>
    <w:p>
      <w:pPr>
        <w:pStyle w:val="BodyText"/>
      </w:pPr>
      <m:oMathPara>
        <m:oMathParaPr>
          <m:jc m:val="center"/>
        </m:oMathParaPr>
        <m:oMath>
          <m:r>
            <m:t>N</m:t>
          </m:r>
          <m:r>
            <m:rPr>
              <m:sty m:val="p"/>
            </m:rPr>
            <m:t>=</m:t>
          </m:r>
          <m:f>
            <m:fPr>
              <m:type m:val="bar"/>
            </m:fPr>
            <m:num>
              <m:r>
                <m:t>L</m:t>
              </m:r>
            </m:num>
            <m:den>
              <m:r>
                <m:t>P</m:t>
              </m:r>
            </m:den>
          </m:f>
          <m:r>
            <m:t> </m:t>
          </m:r>
          <m:r>
            <m:rPr>
              <m:sty m:val="p"/>
            </m:rPr>
            <m:t>.</m:t>
          </m:r>
        </m:oMath>
      </m:oMathPara>
    </w:p>
    <w:p>
      <w:pPr>
        <w:pStyle w:val="FirstParagraph"/>
      </w:pPr>
      <w:r>
        <w:t xml:space="preserve">The implementation uses Conv1d with kernel and stride</w:t>
      </w:r>
      <w:r>
        <w:t xml:space="preserve"> </w:t>
      </w:r>
      <m:oMath>
        <m:r>
          <m:t>P</m:t>
        </m:r>
      </m:oMath>
      <w:r>
        <w:t xml:space="preserve"> </w:t>
      </w:r>
      <w:r>
        <w:t xml:space="preserve">to obtain patch embeddings</w:t>
      </w:r>
      <w:r>
        <w:t xml:space="preserve"> </w:t>
      </w:r>
      <m:oMath>
        <m:r>
          <m:rPr>
            <m:sty m:val="b"/>
          </m:rPr>
          <m:t>E</m:t>
        </m:r>
        <m:r>
          <m:rPr>
            <m:sty m:val="p"/>
          </m:rPr>
          <m:t>∈</m:t>
        </m:r>
        <m:sSup>
          <m:e>
            <m:r>
              <m:rPr>
                <m:sty m:val="p"/>
                <m:scr m:val="double-struck"/>
              </m:rPr>
              <m:t>R</m:t>
            </m:r>
          </m:e>
          <m:sup>
            <m:r>
              <m:t>N</m:t>
            </m:r>
            <m:r>
              <m:rPr>
                <m:sty m:val="p"/>
              </m:rPr>
              <m:t>×</m:t>
            </m:r>
            <m:r>
              <m:t>d</m:t>
            </m:r>
          </m:sup>
        </m:sSup>
      </m:oMath>
      <w:r>
        <w:t xml:space="preserve">, then adds learned positional embeddings.</w:t>
      </w:r>
    </w:p>
    <w:bookmarkEnd w:id="37"/>
    <w:bookmarkStart w:id="38" w:name="masking-and-encoder"/>
    <w:p>
      <w:pPr>
        <w:pStyle w:val="Heading2"/>
      </w:pPr>
      <w:r>
        <w:t xml:space="preserve">Masking and Encoder</w:t>
      </w:r>
    </w:p>
    <w:p>
      <w:pPr>
        <w:pStyle w:val="FirstParagraph"/>
      </w:pPr>
      <w:r>
        <w:t xml:space="preserve">Let mask vector</w:t>
      </w:r>
      <w:r>
        <w:t xml:space="preserve"> </w:t>
      </w:r>
      <m:oMath>
        <m:r>
          <m:rPr>
            <m:sty m:val="b"/>
          </m:rPr>
          <m:t>m</m:t>
        </m:r>
        <m:r>
          <m:rPr>
            <m:sty m:val="p"/>
          </m:rPr>
          <m:t>∈</m:t>
        </m:r>
        <m:r>
          <m:rPr>
            <m:sty m:val="p"/>
          </m:rPr>
          <m:t>{</m:t>
        </m:r>
        <m:r>
          <m:t>0</m:t>
        </m:r>
        <m:r>
          <m:rPr>
            <m:sty m:val="p"/>
          </m:rPr>
          <m:t>,</m:t>
        </m:r>
        <m:r>
          <m:t>1</m:t>
        </m:r>
        <m:sSup>
          <m:e>
            <m:r>
              <m:rPr>
                <m:sty m:val="p"/>
              </m:rPr>
              <m:t>}</m:t>
            </m:r>
          </m:e>
          <m:sup>
            <m:r>
              <m:t>N</m:t>
            </m:r>
          </m:sup>
        </m:sSup>
      </m:oMath>
      <w:r>
        <w:t xml:space="preserve"> </w:t>
      </w:r>
      <w:r>
        <w:t xml:space="preserve">with</w:t>
      </w:r>
      <w:r>
        <w:t xml:space="preserve"> </w:t>
      </w:r>
      <m:oMath>
        <m:sSub>
          <m:e>
            <m:r>
              <m:t>m</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ρ</m:t>
            </m:r>
          </m:e>
        </m:d>
      </m:oMath>
      <w:r>
        <w:t xml:space="preserve"> </w:t>
      </w:r>
      <w:r>
        <w:t xml:space="preserve">for mask ratio</w:t>
      </w:r>
      <w:r>
        <w:t xml:space="preserve"> </w:t>
      </w:r>
      <m:oMath>
        <m:r>
          <m:t>ρ</m:t>
        </m:r>
      </m:oMath>
      <w:r>
        <w:t xml:space="preserve">. Masked embeddings are</w:t>
      </w:r>
    </w:p>
    <w:p>
      <w:pPr>
        <w:pStyle w:val="BodyText"/>
      </w:pPr>
      <m:oMathPara>
        <m:oMathParaPr>
          <m:jc m:val="center"/>
        </m:oMathParaPr>
        <m:oMath>
          <m:sSubSup>
            <m:e>
              <m:r>
                <m:rPr>
                  <m:sty m:val="b"/>
                </m:rPr>
                <m:t>E</m:t>
              </m:r>
            </m:e>
            <m:sub>
              <m:r>
                <m:t>i</m:t>
              </m:r>
            </m:sub>
            <m:sup>
              <m:r>
                <m:rPr>
                  <m:nor/>
                  <m:sty m:val="p"/>
                </m:rPr>
                <m:t>mask</m:t>
              </m:r>
            </m:sup>
          </m:sSubSup>
          <m:r>
            <m:rPr>
              <m:sty m:val="p"/>
            </m:rPr>
            <m:t>=</m:t>
          </m:r>
          <m:d>
            <m:dPr>
              <m:begChr m:val="{"/>
              <m:endChr m:val=""/>
              <m:sepChr m:val=""/>
              <m:grow/>
            </m:dPr>
            <m:e>
              <m:m>
                <m:mPr>
                  <m:baseJc m:val="center"/>
                  <m:plcHide m:val="on"/>
                  <m:mcs>
                    <m:mc>
                      <m:mcPr>
                        <m:mcJc m:val="left"/>
                        <m:count m:val="1"/>
                      </m:mcPr>
                    </m:mc>
                    <m:mc>
                      <m:mcPr>
                        <m:mcJc m:val="left"/>
                        <m:count m:val="1"/>
                      </m:mcPr>
                    </m:mc>
                  </m:mcs>
                </m:mPr>
                <m:mr>
                  <m:e>
                    <m:sSub>
                      <m:e>
                        <m:r>
                          <m:rPr>
                            <m:sty m:val="b"/>
                          </m:rPr>
                          <m:t>e</m:t>
                        </m:r>
                      </m:e>
                      <m:sub>
                        <m:r>
                          <m:rPr>
                            <m:nor/>
                            <m:sty m:val="p"/>
                          </m:rPr>
                          <m:t>mask</m:t>
                        </m:r>
                      </m:sub>
                    </m:sSub>
                    <m:r>
                      <m:rPr>
                        <m:sty m:val="p"/>
                      </m:rPr>
                      <m:t>,</m:t>
                    </m:r>
                  </m:e>
                  <m:e>
                    <m:sSub>
                      <m:e>
                        <m:r>
                          <m:t>m</m:t>
                        </m:r>
                      </m:e>
                      <m:sub>
                        <m:r>
                          <m:t>i</m:t>
                        </m:r>
                      </m:sub>
                    </m:sSub>
                    <m:r>
                      <m:rPr>
                        <m:sty m:val="p"/>
                      </m:rPr>
                      <m:t>=</m:t>
                    </m:r>
                    <m:r>
                      <m:t>1</m:t>
                    </m:r>
                  </m:e>
                </m:mr>
                <m:mr>
                  <m:e>
                    <m:sSub>
                      <m:e>
                        <m:r>
                          <m:rPr>
                            <m:sty m:val="b"/>
                          </m:rPr>
                          <m:t>E</m:t>
                        </m:r>
                      </m:e>
                      <m:sub>
                        <m:r>
                          <m:t>i</m:t>
                        </m:r>
                      </m:sub>
                    </m:sSub>
                    <m:r>
                      <m:rPr>
                        <m:sty m:val="p"/>
                      </m:rPr>
                      <m:t>,</m:t>
                    </m:r>
                  </m:e>
                  <m:e>
                    <m:sSub>
                      <m:e>
                        <m:r>
                          <m:t>m</m:t>
                        </m:r>
                      </m:e>
                      <m:sub>
                        <m:r>
                          <m:t>i</m:t>
                        </m:r>
                      </m:sub>
                    </m:sSub>
                    <m:r>
                      <m:rPr>
                        <m:sty m:val="p"/>
                      </m:rPr>
                      <m:t>=</m:t>
                    </m:r>
                    <m:r>
                      <m:t>0</m:t>
                    </m:r>
                    <m:r>
                      <m:rPr>
                        <m:sty m:val="p"/>
                      </m:rPr>
                      <m:t>,</m:t>
                    </m:r>
                  </m:e>
                </m:mr>
              </m:m>
            </m:e>
          </m:d>
        </m:oMath>
      </m:oMathPara>
    </w:p>
    <w:p>
      <w:pPr>
        <w:pStyle w:val="FirstParagraph"/>
      </w:pPr>
      <w:r>
        <w:t xml:space="preserve">where</w:t>
      </w:r>
      <w:r>
        <w:t xml:space="preserve"> </w:t>
      </w:r>
      <m:oMath>
        <m:sSub>
          <m:e>
            <m:r>
              <m:rPr>
                <m:sty m:val="b"/>
              </m:rPr>
              <m:t>e</m:t>
            </m:r>
          </m:e>
          <m:sub>
            <m:r>
              <m:rPr>
                <m:nor/>
                <m:sty m:val="p"/>
              </m:rPr>
              <m:t>mask</m:t>
            </m:r>
          </m:sub>
        </m:sSub>
      </m:oMath>
      <w:r>
        <w:t xml:space="preserve"> </w:t>
      </w:r>
      <w:r>
        <w:t xml:space="preserve">is a learned mask token. A Transformer encoder stack</w:t>
      </w:r>
      <w:r>
        <w:t xml:space="preserve"> </w:t>
      </w:r>
      <w:r>
        <w:t xml:space="preserve"> </w:t>
      </w:r>
      <w:r>
        <w:t xml:space="preserve">maps</w:t>
      </w:r>
      <w:r>
        <w:t xml:space="preserve"> </w:t>
      </w:r>
      <m:oMath>
        <m:sSup>
          <m:e>
            <m:r>
              <m:rPr>
                <m:sty m:val="b"/>
              </m:rPr>
              <m:t>E</m:t>
            </m:r>
          </m:e>
          <m:sup>
            <m:r>
              <m:rPr>
                <m:nor/>
                <m:sty m:val="p"/>
              </m:rPr>
              <m:t>mask</m:t>
            </m:r>
          </m:sup>
        </m:sSup>
      </m:oMath>
      <w:r>
        <w:t xml:space="preserve"> </w:t>
      </w:r>
      <w:r>
        <w:t xml:space="preserve">to latent outputs, then an MLP reconstruction head predicts</w:t>
      </w:r>
      <w:r>
        <w:t xml:space="preserve"> </w:t>
      </w:r>
      <m:oMath>
        <m:acc>
          <m:accPr>
            <m:chr m:val="̂"/>
          </m:accPr>
          <m:e>
            <m:r>
              <m:rPr>
                <m:sty m:val="b"/>
              </m:rPr>
              <m:t>E</m:t>
            </m:r>
          </m:e>
        </m:acc>
      </m:oMath>
      <w:r>
        <w:t xml:space="preserve">.</w:t>
      </w:r>
    </w:p>
    <w:bookmarkEnd w:id="38"/>
    <w:bookmarkEnd w:id="39"/>
    <w:bookmarkStart w:id="44" w:name="objective-optimization-and-stability"/>
    <w:p>
      <w:pPr>
        <w:pStyle w:val="Heading1"/>
      </w:pPr>
      <w:r>
        <w:t xml:space="preserve">Objective, Optimization, and Stability</w:t>
      </w:r>
    </w:p>
    <w:bookmarkStart w:id="40" w:name="masked-reconstruction-objective"/>
    <w:p>
      <w:pPr>
        <w:pStyle w:val="Heading2"/>
      </w:pPr>
      <w:r>
        <w:t xml:space="preserve">Masked Reconstruction Objective</w:t>
      </w:r>
    </w:p>
    <w:p>
      <w:pPr>
        <w:pStyle w:val="FirstParagraph"/>
      </w:pPr>
      <w:r>
        <w:t xml:space="preserve">The training loss is masked MSE on latent patch embeddings:</w:t>
      </w:r>
    </w:p>
    <w:p>
      <w:pPr>
        <w:pStyle w:val="BodyText"/>
      </w:pPr>
      <m:oMathPara>
        <m:oMathParaPr>
          <m:jc m:val="center"/>
        </m:oMathParaPr>
        <m:oMath>
          <m:sSub>
            <m:e>
              <m:r>
                <m:rPr>
                  <m:sty m:val="p"/>
                  <m:scr m:val="script"/>
                </m:rPr>
                <m:t>L</m:t>
              </m:r>
            </m:e>
            <m:sub>
              <m:r>
                <m:rPr>
                  <m:nor/>
                  <m:sty m:val="p"/>
                </m:rPr>
                <m:t>mask</m:t>
              </m:r>
            </m:sub>
          </m:sSub>
          <m:r>
            <m:rPr>
              <m:sty m:val="p"/>
            </m:rPr>
            <m:t>=</m:t>
          </m:r>
          <m:f>
            <m:fPr>
              <m:type m:val="bar"/>
            </m:fPr>
            <m:num>
              <m:r>
                <m:t>1</m:t>
              </m:r>
            </m:num>
            <m:den>
              <m:nary>
                <m:naryPr>
                  <m:chr m:val="∑"/>
                  <m:limLoc m:val="undOvr"/>
                  <m:subHide m:val="off"/>
                  <m:supHide m:val="on"/>
                </m:naryPr>
                <m:sub>
                  <m:r>
                    <m:t>i</m:t>
                  </m:r>
                </m:sub>
                <m:sup>
                  <m:r>
                    <m:t>​</m:t>
                  </m:r>
                </m:sup>
                <m:e>
                  <m:sSub>
                    <m:e>
                      <m:r>
                        <m:t>m</m:t>
                      </m:r>
                    </m:e>
                    <m:sub>
                      <m:r>
                        <m:t>i</m:t>
                      </m:r>
                    </m:sub>
                  </m:sSub>
                </m:e>
              </m:nary>
            </m:den>
          </m:f>
          <m:nary>
            <m:naryPr>
              <m:chr m:val="∑"/>
              <m:limLoc m:val="undOvr"/>
              <m:subHide m:val="off"/>
              <m:supHide m:val="off"/>
            </m:naryPr>
            <m:sub>
              <m:r>
                <m:t>i</m:t>
              </m:r>
              <m:r>
                <m:rPr>
                  <m:sty m:val="p"/>
                </m:rPr>
                <m:t>=</m:t>
              </m:r>
              <m:r>
                <m:t>1</m:t>
              </m:r>
            </m:sub>
            <m:sup>
              <m:r>
                <m:t>N</m:t>
              </m:r>
            </m:sup>
            <m:e>
              <m:sSub>
                <m:e>
                  <m:r>
                    <m:t>m</m:t>
                  </m:r>
                </m:e>
                <m:sub>
                  <m:r>
                    <m:t>i</m:t>
                  </m:r>
                </m:sub>
              </m:sSub>
            </m:e>
          </m:nary>
          <m:sSubSup>
            <m:e>
              <m:d>
                <m:dPr>
                  <m:begChr m:val="∥"/>
                  <m:endChr m:val="∥"/>
                  <m:sepChr m:val=""/>
                  <m:grow/>
                </m:dPr>
                <m:e>
                  <m:sSub>
                    <m:e>
                      <m:acc>
                        <m:accPr>
                          <m:chr m:val="̂"/>
                        </m:accPr>
                        <m:e>
                          <m:r>
                            <m:rPr>
                              <m:sty m:val="b"/>
                            </m:rPr>
                            <m:t>E</m:t>
                          </m:r>
                        </m:e>
                      </m:acc>
                    </m:e>
                    <m:sub>
                      <m:r>
                        <m:t>i</m:t>
                      </m:r>
                    </m:sub>
                  </m:sSub>
                  <m:r>
                    <m:rPr>
                      <m:sty m:val="p"/>
                    </m:rPr>
                    <m:t>−</m:t>
                  </m:r>
                  <m:sSub>
                    <m:e>
                      <m:r>
                        <m:rPr>
                          <m:sty m:val="b"/>
                        </m:rPr>
                        <m:t>E</m:t>
                      </m:r>
                    </m:e>
                    <m:sub>
                      <m:r>
                        <m:t>i</m:t>
                      </m:r>
                    </m:sub>
                  </m:sSub>
                </m:e>
              </m:d>
            </m:e>
            <m:sub>
              <m:r>
                <m:t>2</m:t>
              </m:r>
            </m:sub>
            <m:sup>
              <m:r>
                <m:t>2</m:t>
              </m:r>
            </m:sup>
          </m:sSubSup>
          <m:r>
            <m:t> </m:t>
          </m:r>
          <m:r>
            <m:rPr>
              <m:sty m:val="p"/>
            </m:rPr>
            <m:t>.</m:t>
          </m:r>
        </m:oMath>
      </m:oMathPara>
    </w:p>
    <w:p>
      <w:pPr>
        <w:pStyle w:val="FirstParagraph"/>
      </w:pPr>
      <w:r>
        <w:t xml:space="preserve">Define the full-token latent error</w:t>
      </w:r>
      <w:r>
        <w:t xml:space="preserve"> </w:t>
      </w:r>
      <m:oMath>
        <m:sSub>
          <m:e>
            <m:r>
              <m:rPr>
                <m:sty m:val="p"/>
              </m:rPr>
              <m:t>ℓ</m:t>
            </m:r>
          </m:e>
          <m:sub>
            <m:r>
              <m:t>i</m:t>
            </m:r>
          </m:sub>
        </m:sSub>
        <m:r>
          <m:rPr>
            <m:sty m:val="p"/>
          </m:rPr>
          <m:t>=</m:t>
        </m:r>
        <m:r>
          <m:rPr>
            <m:sty m:val="p"/>
          </m:rPr>
          <m:t>∥</m:t>
        </m:r>
        <m:sSub>
          <m:e>
            <m:acc>
              <m:accPr>
                <m:chr m:val="̂"/>
              </m:accPr>
              <m:e>
                <m:r>
                  <m:rPr>
                    <m:sty m:val="b"/>
                  </m:rPr>
                  <m:t>E</m:t>
                </m:r>
              </m:e>
            </m:acc>
          </m:e>
          <m:sub>
            <m:r>
              <m:t>i</m:t>
            </m:r>
          </m:sub>
        </m:sSub>
        <m:r>
          <m:rPr>
            <m:sty m:val="p"/>
          </m:rPr>
          <m:t>−</m:t>
        </m:r>
        <m:sSub>
          <m:e>
            <m:r>
              <m:rPr>
                <m:sty m:val="b"/>
              </m:rPr>
              <m:t>E</m:t>
            </m:r>
          </m:e>
          <m:sub>
            <m:r>
              <m:t>i</m:t>
            </m:r>
          </m:sub>
        </m:sSub>
        <m:sSubSup>
          <m:e>
            <m:r>
              <m:rPr>
                <m:sty m:val="p"/>
              </m:rPr>
              <m:t>∥</m:t>
            </m:r>
          </m:e>
          <m:sub>
            <m:r>
              <m:t>2</m:t>
            </m:r>
          </m:sub>
          <m:sup>
            <m:r>
              <m:t>2</m:t>
            </m:r>
          </m:sup>
        </m:sSubSup>
      </m:oMath>
      <w:r>
        <w:t xml:space="preserve">. Under i.i.d. masking and concentration of</w:t>
      </w:r>
      <w:r>
        <w:t xml:space="preserve"> </w:t>
      </w:r>
      <m:oMath>
        <m:nary>
          <m:naryPr>
            <m:chr m:val="∑"/>
            <m:limLoc m:val="undOvr"/>
            <m:subHide m:val="off"/>
            <m:supHide m:val="on"/>
          </m:naryPr>
          <m:sub>
            <m:r>
              <m:t>i</m:t>
            </m:r>
          </m:sub>
          <m:sup>
            <m:r>
              <m:t>​</m:t>
            </m:r>
          </m:sup>
          <m:e>
            <m:sSub>
              <m:e>
                <m:r>
                  <m:t>m</m:t>
                </m:r>
              </m:e>
              <m:sub>
                <m:r>
                  <m:t>i</m:t>
                </m:r>
              </m:sub>
            </m:sSub>
          </m:e>
        </m:nary>
      </m:oMath>
      <w:r>
        <w:t xml:space="preserve">,</w:t>
      </w:r>
      <w:r>
        <w:t xml:space="preserve"> </w:t>
      </w:r>
      <m:oMath>
        <m:sSub>
          <m:e>
            <m:r>
              <m:rPr>
                <m:sty m:val="p"/>
                <m:scr m:val="script"/>
              </m:rPr>
              <m:t>L</m:t>
            </m:r>
          </m:e>
          <m:sub>
            <m:r>
              <m:rPr>
                <m:nor/>
                <m:sty m:val="p"/>
              </m:rPr>
              <m:t>mask</m:t>
            </m:r>
          </m:sub>
        </m:sSub>
      </m:oMath>
      <w:r>
        <w:t xml:space="preserve"> </w:t>
      </w:r>
      <w:r>
        <w:t xml:space="preserve">estimates the mean latent error over tokens. Estimator variance increases as</w:t>
      </w:r>
      <w:r>
        <w:t xml:space="preserve"> </w:t>
      </w:r>
      <m:oMath>
        <m:r>
          <m:t>ρ</m:t>
        </m:r>
      </m:oMath>
      <w:r>
        <w:t xml:space="preserve"> </w:t>
      </w:r>
      <w:r>
        <w:t xml:space="preserve">decreases, while optimization difficulty grows with</w:t>
      </w:r>
      <w:r>
        <w:t xml:space="preserve"> </w:t>
      </w:r>
      <m:oMath>
        <m:r>
          <m:t>ρ</m:t>
        </m:r>
      </m:oMath>
      <w:r>
        <w:t xml:space="preserve">.</w:t>
      </w:r>
    </w:p>
    <w:bookmarkEnd w:id="40"/>
    <w:bookmarkStart w:id="41" w:name="estimator-property-proof-sketch"/>
    <w:p>
      <w:pPr>
        <w:pStyle w:val="Heading2"/>
      </w:pPr>
      <w:r>
        <w:t xml:space="preserve">Estimator Property (Proof Sketch)</w:t>
      </w:r>
    </w:p>
    <w:p>
      <w:pPr>
        <w:pStyle w:val="FirstParagraph"/>
      </w:pPr>
      <w:r>
        <w:t xml:space="preserve">Let</w:t>
      </w:r>
      <w:r>
        <w:t xml:space="preserve"> </w:t>
      </w:r>
      <m:oMath>
        <m:acc>
          <m:accPr>
            <m:chr m:val="‾"/>
          </m:accPr>
          <m:e>
            <m:r>
              <m:rPr>
                <m:sty m:val="p"/>
              </m:rPr>
              <m:t>ℓ</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ℓ</m:t>
                </m:r>
              </m:e>
              <m:sub>
                <m:r>
                  <m:t>i</m:t>
                </m:r>
              </m:sub>
            </m:sSub>
          </m:e>
        </m:nary>
      </m:oMath>
      <w:r>
        <w:t xml:space="preserve"> </w:t>
      </w:r>
      <w:r>
        <w:t xml:space="preserve">and</w:t>
      </w:r>
      <w:r>
        <w:t xml:space="preserve"> </w:t>
      </w:r>
      <m:oMath>
        <m:acc>
          <m:accPr>
            <m:chr m:val="̂"/>
          </m:accPr>
          <m:e>
            <m:r>
              <m:rPr>
                <m:sty m:val="p"/>
              </m:rPr>
              <m:t>ℓ</m:t>
            </m:r>
          </m:e>
        </m:acc>
        <m:r>
          <m:rPr>
            <m:sty m:val="p"/>
          </m:rPr>
          <m:t>=</m:t>
        </m:r>
        <m:f>
          <m:fPr>
            <m:type m:val="bar"/>
          </m:fPr>
          <m:num>
            <m:nary>
              <m:naryPr>
                <m:chr m:val="∑"/>
                <m:limLoc m:val="undOvr"/>
                <m:subHide m:val="off"/>
                <m:supHide m:val="on"/>
              </m:naryPr>
              <m:sub>
                <m:r>
                  <m:t>i</m:t>
                </m:r>
              </m:sub>
              <m:sup>
                <m:r>
                  <m:t>​</m:t>
                </m:r>
              </m:sup>
              <m:e>
                <m:sSub>
                  <m:e>
                    <m:r>
                      <m:t>m</m:t>
                    </m:r>
                  </m:e>
                  <m:sub>
                    <m:r>
                      <m:t>i</m:t>
                    </m:r>
                  </m:sub>
                </m:sSub>
              </m:e>
            </m:nary>
            <m:sSub>
              <m:e>
                <m:r>
                  <m:rPr>
                    <m:sty m:val="p"/>
                  </m:rPr>
                  <m:t>ℓ</m:t>
                </m:r>
              </m:e>
              <m:sub>
                <m:r>
                  <m:t>i</m:t>
                </m:r>
              </m:sub>
            </m:sSub>
          </m:num>
          <m:den>
            <m:nary>
              <m:naryPr>
                <m:chr m:val="∑"/>
                <m:limLoc m:val="undOvr"/>
                <m:subHide m:val="off"/>
                <m:supHide m:val="on"/>
              </m:naryPr>
              <m:sub>
                <m:r>
                  <m:t>i</m:t>
                </m:r>
              </m:sub>
              <m:sup>
                <m:r>
                  <m:t>​</m:t>
                </m:r>
              </m:sup>
              <m:e>
                <m:sSub>
                  <m:e>
                    <m:r>
                      <m:t>m</m:t>
                    </m:r>
                  </m:e>
                  <m:sub>
                    <m:r>
                      <m:t>i</m:t>
                    </m:r>
                  </m:sub>
                </m:sSub>
              </m:e>
            </m:nary>
          </m:den>
        </m:f>
      </m:oMath>
      <w:r>
        <w:t xml:space="preserve">. With independent Bernoulli masking and conditioned on</w:t>
      </w:r>
      <w:r>
        <w:t xml:space="preserve"> </w:t>
      </w:r>
      <m:oMath>
        <m:nary>
          <m:naryPr>
            <m:chr m:val="∑"/>
            <m:limLoc m:val="undOvr"/>
            <m:subHide m:val="off"/>
            <m:supHide m:val="on"/>
          </m:naryPr>
          <m:sub>
            <m:r>
              <m:t>i</m:t>
            </m:r>
          </m:sub>
          <m:sup>
            <m:r>
              <m:t>​</m:t>
            </m:r>
          </m:sup>
          <m:e>
            <m:sSub>
              <m:e>
                <m:r>
                  <m:t>m</m:t>
                </m:r>
              </m:e>
              <m:sub>
                <m:r>
                  <m:t>i</m:t>
                </m:r>
              </m:sub>
            </m:sSub>
          </m:e>
        </m:nary>
        <m:r>
          <m:rPr>
            <m:sty m:val="p"/>
          </m:rPr>
          <m:t>&gt;</m:t>
        </m:r>
        <m:r>
          <m:t>0</m:t>
        </m:r>
      </m:oMath>
      <w:r>
        <w:t xml:space="preserve">,</w:t>
      </w:r>
    </w:p>
    <w:p>
      <w:pPr>
        <w:pStyle w:val="BodyText"/>
      </w:pPr>
      <m:oMathPara>
        <m:oMathParaPr>
          <m:jc m:val="center"/>
        </m:oMathParaPr>
        <m:oMath>
          <m:r>
            <m:rPr>
              <m:sty m:val="p"/>
              <m:scr m:val="double-struck"/>
            </m:rPr>
            <m:t>E</m:t>
          </m:r>
          <m:d>
            <m:dPr>
              <m:begChr m:val="["/>
              <m:endChr m:val="]"/>
              <m:sepChr m:val=""/>
              <m:grow/>
            </m:dPr>
            <m:e>
              <m:acc>
                <m:accPr>
                  <m:chr m:val="̂"/>
                </m:accPr>
                <m:e>
                  <m:r>
                    <m:rPr>
                      <m:sty m:val="p"/>
                    </m:rPr>
                    <m:t>ℓ</m:t>
                  </m:r>
                </m:e>
              </m:acc>
              <m:r>
                <m:rPr>
                  <m:sty m:val="p"/>
                </m:rPr>
                <m:t>∣</m:t>
              </m:r>
              <m:sSub>
                <m:e>
                  <m:r>
                    <m:rPr>
                      <m:sty m:val="p"/>
                    </m:rPr>
                    <m:t>ℓ</m:t>
                  </m:r>
                </m:e>
                <m:sub>
                  <m:r>
                    <m:t>1</m:t>
                  </m:r>
                </m:sub>
              </m:sSub>
              <m:r>
                <m:rPr>
                  <m:sty m:val="p"/>
                </m:rPr>
                <m:t>,</m:t>
              </m:r>
              <m:r>
                <m:rPr>
                  <m:sty m:val="p"/>
                </m:rPr>
                <m:t>…</m:t>
              </m:r>
              <m:r>
                <m:rPr>
                  <m:sty m:val="p"/>
                </m:rPr>
                <m:t>,</m:t>
              </m:r>
              <m:sSub>
                <m:e>
                  <m:r>
                    <m:rPr>
                      <m:sty m:val="p"/>
                    </m:rPr>
                    <m:t>ℓ</m:t>
                  </m:r>
                </m:e>
                <m:sub>
                  <m:r>
                    <m:t>N</m:t>
                  </m:r>
                </m:sub>
              </m:sSub>
            </m:e>
          </m:d>
          <m:r>
            <m:rPr>
              <m:sty m:val="p"/>
            </m:rPr>
            <m:t>≈</m:t>
          </m:r>
          <m:acc>
            <m:accPr>
              <m:chr m:val="‾"/>
            </m:accPr>
            <m:e>
              <m:r>
                <m:rPr>
                  <m:sty m:val="p"/>
                </m:rPr>
                <m:t>ℓ</m:t>
              </m:r>
            </m:e>
          </m:acc>
          <m:r>
            <m:t> </m:t>
          </m:r>
          <m:r>
            <m:rPr>
              <m:sty m:val="p"/>
            </m:rPr>
            <m:t>;</m:t>
          </m:r>
        </m:oMath>
      </m:oMathPara>
    </w:p>
    <w:p>
      <w:pPr>
        <w:pStyle w:val="FirstParagraph"/>
      </w:pPr>
      <w:r>
        <w:t xml:space="preserve">the approximation tightens as</w:t>
      </w:r>
      <w:r>
        <w:t xml:space="preserve"> </w:t>
      </w:r>
      <m:oMath>
        <m:r>
          <m:t>N</m:t>
        </m:r>
      </m:oMath>
      <w:r>
        <w:t xml:space="preserve"> </w:t>
      </w:r>
      <w:r>
        <w:t xml:space="preserve">grows because the denominator concentrates.</w:t>
      </w:r>
    </w:p>
    <w:p>
      <w:pPr>
        <w:pStyle w:val="BodyText"/>
      </w:pPr>
      <w:r>
        <w:t xml:space="preserve">The argument uses ratio-estimator concentration: numerator and denominator are sums of independent bounded random variables. In this setup,</w:t>
      </w:r>
      <w:r>
        <w:t xml:space="preserve"> </w:t>
      </w:r>
      <m:oMath>
        <m:r>
          <m:t>N</m:t>
        </m:r>
        <m:r>
          <m:rPr>
            <m:sty m:val="p"/>
          </m:rPr>
          <m:t>∈</m:t>
        </m:r>
        <m:r>
          <m:rPr>
            <m:sty m:val="p"/>
          </m:rPr>
          <m:t>{</m:t>
        </m:r>
        <m:r>
          <m:t>16</m:t>
        </m:r>
        <m:r>
          <m:rPr>
            <m:sty m:val="p"/>
          </m:rPr>
          <m:t>,</m:t>
        </m:r>
        <m:r>
          <m:t>32</m:t>
        </m:r>
        <m:r>
          <m:rPr>
            <m:sty m:val="p"/>
          </m:rPr>
          <m:t>,</m:t>
        </m:r>
        <m:r>
          <m:t>64</m:t>
        </m:r>
        <m:r>
          <m:rPr>
            <m:sty m:val="p"/>
          </m:rPr>
          <m:t>}</m:t>
        </m:r>
      </m:oMath>
      <w:r>
        <w:t xml:space="preserve"> </w:t>
      </w:r>
      <w:r>
        <w:t xml:space="preserve">for the tested patch lengths, so denominator variability stays controlled but not negligible for</w:t>
      </w:r>
      <w:r>
        <w:t xml:space="preserve"> </w:t>
      </w:r>
      <m:oMath>
        <m:r>
          <m:t>ρ</m:t>
        </m:r>
        <m:r>
          <m:rPr>
            <m:sty m:val="p"/>
          </m:rPr>
          <m:t>∈</m:t>
        </m:r>
        <m:r>
          <m:rPr>
            <m:sty m:val="p"/>
          </m:rPr>
          <m:t>{</m:t>
        </m:r>
        <m:r>
          <m:t>0.2</m:t>
        </m:r>
        <m:r>
          <m:rPr>
            <m:sty m:val="p"/>
          </m:rPr>
          <m:t>,</m:t>
        </m:r>
        <m:r>
          <m:t>0.4</m:t>
        </m:r>
        <m:r>
          <m:rPr>
            <m:sty m:val="p"/>
          </m:rPr>
          <m:t>,</m:t>
        </m:r>
        <m:r>
          <m:t>0.6</m:t>
        </m:r>
        <m:r>
          <m:rPr>
            <m:sty m:val="p"/>
          </m:rPr>
          <m:t>}</m:t>
        </m:r>
      </m:oMath>
      <w:r>
        <w:t xml:space="preserve">.</w:t>
      </w:r>
    </w:p>
    <w:bookmarkEnd w:id="41"/>
    <w:bookmarkStart w:id="42" w:name="gradient-accumulation"/>
    <w:p>
      <w:pPr>
        <w:pStyle w:val="Heading2"/>
      </w:pPr>
      <w:r>
        <w:t xml:space="preserve">Gradient Accumulation</w:t>
      </w:r>
    </w:p>
    <w:p>
      <w:pPr>
        <w:pStyle w:val="FirstParagraph"/>
      </w:pPr>
      <w:r>
        <w:t xml:space="preserve">With accumulation factor</w:t>
      </w:r>
      <w:r>
        <w:t xml:space="preserve"> </w:t>
      </w:r>
      <m:oMath>
        <m:r>
          <m:t>K</m:t>
        </m:r>
      </m:oMath>
      <w:r>
        <w:t xml:space="preserve">, micro-batch gradients are averaged before optimizer step:</w:t>
      </w:r>
    </w:p>
    <w:p>
      <w:pPr>
        <w:pStyle w:val="BodyText"/>
      </w:pPr>
      <m:oMathPara>
        <m:oMathParaPr>
          <m:jc m:val="center"/>
        </m:oMathParaPr>
        <m:oMath>
          <m:sSub>
            <m:e>
              <m:r>
                <m:rPr>
                  <m:sty m:val="b"/>
                </m:rPr>
                <m:t>g</m:t>
              </m:r>
            </m:e>
            <m:sub>
              <m:r>
                <m:t>t</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rPr>
                      <m:sty m:val="p"/>
                    </m:rPr>
                    <m:t>∇</m:t>
                  </m:r>
                </m:e>
                <m:sub>
                  <m:r>
                    <m:t>θ</m:t>
                  </m:r>
                </m:sub>
              </m:sSub>
            </m:e>
          </m:nary>
          <m:sSubSup>
            <m:e>
              <m:r>
                <m:rPr>
                  <m:sty m:val="p"/>
                  <m:scr m:val="script"/>
                </m:rPr>
                <m:t>L</m:t>
              </m:r>
            </m:e>
            <m:sub>
              <m:r>
                <m:t>t</m:t>
              </m:r>
            </m:sub>
            <m:sup>
              <m:d>
                <m:dPr>
                  <m:begChr m:val="("/>
                  <m:endChr m:val=")"/>
                  <m:sepChr m:val=""/>
                  <m:grow/>
                </m:dPr>
                <m:e>
                  <m:r>
                    <m:t>k</m:t>
                  </m:r>
                </m:e>
              </m:d>
            </m:sup>
          </m:sSubSup>
          <m:r>
            <m:t> </m:t>
          </m:r>
          <m:r>
            <m:rPr>
              <m:sty m:val="p"/>
            </m:rPr>
            <m:t>,</m:t>
          </m:r>
        </m:oMath>
      </m:oMathPara>
    </w:p>
    <w:p>
      <w:pPr>
        <w:pStyle w:val="FirstParagraph"/>
      </w:pPr>
      <w:r>
        <w:t xml:space="preserve">which reduces gradient variance by approximately</w:t>
      </w:r>
      <w:r>
        <w:t xml:space="preserve"> </w:t>
      </w:r>
      <m:oMath>
        <m:r>
          <m:t>1</m:t>
        </m:r>
        <m:r>
          <m:rPr>
            <m:sty m:val="p"/>
          </m:rPr>
          <m:t>/</m:t>
        </m:r>
        <m:r>
          <m:t>K</m:t>
        </m:r>
      </m:oMath>
      <w:r>
        <w:t xml:space="preserve"> </w:t>
      </w:r>
      <w:r>
        <w:t xml:space="preserve">under independent micro-batches.</w:t>
      </w:r>
    </w:p>
    <w:p>
      <w:pPr>
        <w:pStyle w:val="BodyText"/>
      </w:pPr>
      <w:r>
        <w:t xml:space="preserve">Let</w:t>
      </w:r>
      <w:r>
        <w:t xml:space="preserve"> </w:t>
      </w:r>
      <m:oMath>
        <m:sSup>
          <m:e>
            <m:r>
              <m:rPr>
                <m:sty m:val="b"/>
              </m:rPr>
              <m:t>g</m:t>
            </m:r>
          </m:e>
          <m:sup>
            <m:d>
              <m:dPr>
                <m:begChr m:val="("/>
                <m:endChr m:val=")"/>
                <m:sepChr m:val=""/>
                <m:grow/>
              </m:dPr>
              <m:e>
                <m:r>
                  <m:t>k</m:t>
                </m:r>
              </m:e>
            </m:d>
          </m:sup>
        </m:sSup>
      </m:oMath>
      <w:r>
        <w:t xml:space="preserve"> </w:t>
      </w:r>
      <w:r>
        <w:t xml:space="preserve">be unbiased per-micro-batch gradients with covariance</w:t>
      </w:r>
      <w:r>
        <w:t xml:space="preserve"> </w:t>
      </w:r>
      <m:oMath>
        <m:r>
          <m:t>Σ</m:t>
        </m:r>
      </m:oMath>
      <w:r>
        <w:t xml:space="preserve">. Then</w:t>
      </w:r>
    </w:p>
    <w:p>
      <w:pPr>
        <w:pStyle w:val="BodyText"/>
      </w:pPr>
      <m:oMathPara>
        <m:oMathParaPr>
          <m:jc m:val="center"/>
        </m:oMathParaPr>
        <m:oMath>
          <m:r>
            <m:rPr>
              <m:sty m:val="p"/>
            </m:rPr>
            <m:t>V</m:t>
          </m:r>
          <m:r>
            <m:rPr>
              <m:sty m:val="p"/>
            </m:rPr>
            <m:t>a</m:t>
          </m:r>
          <m:r>
            <m:rPr>
              <m:sty m:val="p"/>
            </m:rPr>
            <m:t>r</m:t>
          </m:r>
          <m:r>
            <m:t>​</m:t>
          </m:r>
          <m:d>
            <m:dPr>
              <m:begChr m:val="["/>
              <m:endChr m:val="]"/>
              <m:sepChr m:val=""/>
              <m:grow/>
            </m:dPr>
            <m:e>
              <m:f>
                <m:fPr>
                  <m:type m:val="bar"/>
                </m:fPr>
                <m:num>
                  <m:r>
                    <m:t>1</m:t>
                  </m:r>
                </m:num>
                <m:den>
                  <m:r>
                    <m:t>K</m:t>
                  </m:r>
                </m:den>
              </m:f>
              <m:nary>
                <m:naryPr>
                  <m:chr m:val="∑"/>
                  <m:limLoc m:val="undOvr"/>
                  <m:subHide m:val="off"/>
                  <m:supHide m:val="off"/>
                </m:naryPr>
                <m:sub>
                  <m:r>
                    <m:t>k</m:t>
                  </m:r>
                  <m:r>
                    <m:rPr>
                      <m:sty m:val="p"/>
                    </m:rPr>
                    <m:t>=</m:t>
                  </m:r>
                  <m:r>
                    <m:t>1</m:t>
                  </m:r>
                </m:sub>
                <m:sup>
                  <m:r>
                    <m:t>K</m:t>
                  </m:r>
                </m:sup>
                <m:e>
                  <m:sSup>
                    <m:e>
                      <m:r>
                        <m:rPr>
                          <m:sty m:val="b"/>
                        </m:rPr>
                        <m:t>g</m:t>
                      </m:r>
                    </m:e>
                    <m:sup>
                      <m:d>
                        <m:dPr>
                          <m:begChr m:val="("/>
                          <m:endChr m:val=")"/>
                          <m:sepChr m:val=""/>
                          <m:grow/>
                        </m:dPr>
                        <m:e>
                          <m:r>
                            <m:t>k</m:t>
                          </m:r>
                        </m:e>
                      </m:d>
                    </m:sup>
                  </m:sSup>
                </m:e>
              </m:nary>
            </m:e>
          </m:d>
          <m:r>
            <m:rPr>
              <m:sty m:val="p"/>
            </m:rPr>
            <m:t>=</m:t>
          </m:r>
          <m:f>
            <m:fPr>
              <m:type m:val="bar"/>
            </m:fPr>
            <m:num>
              <m:r>
                <m:t>1</m:t>
              </m:r>
            </m:num>
            <m:den>
              <m:r>
                <m:t>K</m:t>
              </m:r>
            </m:den>
          </m:f>
          <m:r>
            <m:t>Σ</m:t>
          </m:r>
          <m:r>
            <m:t> </m:t>
          </m:r>
          <m:r>
            <m:rPr>
              <m:sty m:val="p"/>
            </m:rPr>
            <m:t>,</m:t>
          </m:r>
        </m:oMath>
      </m:oMathPara>
    </w:p>
    <w:p>
      <w:pPr>
        <w:pStyle w:val="FirstParagraph"/>
      </w:pPr>
      <w:r>
        <w:t xml:space="preserve">which explains the empirical stability gain from accumulation in low-memory regimes.</w:t>
      </w:r>
    </w:p>
    <w:bookmarkEnd w:id="42"/>
    <w:bookmarkStart w:id="43" w:name="stability-controls"/>
    <w:p>
      <w:pPr>
        <w:pStyle w:val="Heading2"/>
      </w:pPr>
      <w:r>
        <w:t xml:space="preserve">Stability Controls</w:t>
      </w:r>
    </w:p>
    <w:p>
      <w:pPr>
        <w:pStyle w:val="FirstParagraph"/>
      </w:pPr>
      <w:r>
        <w:t xml:space="preserve">The implementation uses AdamW, gradient norm clipping, optional AMP, and optional</w:t>
      </w:r>
      <w:r>
        <w:t xml:space="preserve"> </w:t>
      </w:r>
      <w:r>
        <w:rPr>
          <w:rStyle w:val="VerbatimChar"/>
        </w:rPr>
        <w:t xml:space="preserve">torch.compile</w:t>
      </w:r>
      <w:r>
        <w:t xml:space="preserve">. These controls target training stability and throughput rather than changing objective semantics.</w:t>
      </w:r>
    </w:p>
    <w:bookmarkEnd w:id="43"/>
    <w:bookmarkEnd w:id="44"/>
    <w:bookmarkStart w:id="47" w:name="complexity-analysis"/>
    <w:p>
      <w:pPr>
        <w:pStyle w:val="Heading1"/>
      </w:pPr>
      <w:r>
        <w:t xml:space="preserve">Complexity Analysis</w:t>
      </w:r>
    </w:p>
    <w:p>
      <w:pPr>
        <w:pStyle w:val="FirstParagraph"/>
      </w:pPr>
      <w:r>
        <w:t xml:space="preserve">For batch size</w:t>
      </w:r>
      <w:r>
        <w:t xml:space="preserve"> </w:t>
      </w:r>
      <m:oMath>
        <m:r>
          <m:t>B</m:t>
        </m:r>
      </m:oMath>
      <w:r>
        <w:t xml:space="preserve">, token count</w:t>
      </w:r>
      <w:r>
        <w:t xml:space="preserve"> </w:t>
      </w:r>
      <m:oMath>
        <m:r>
          <m:t>N</m:t>
        </m:r>
        <m:r>
          <m:rPr>
            <m:sty m:val="p"/>
          </m:rPr>
          <m:t>=</m:t>
        </m:r>
        <m:r>
          <m:t>L</m:t>
        </m:r>
        <m:r>
          <m:rPr>
            <m:sty m:val="p"/>
          </m:rPr>
          <m:t>/</m:t>
        </m:r>
        <m:r>
          <m:t>P</m:t>
        </m:r>
      </m:oMath>
      <w:r>
        <w:t xml:space="preserve">, embedding width</w:t>
      </w:r>
      <w:r>
        <w:t xml:space="preserve"> </w:t>
      </w:r>
      <m:oMath>
        <m:r>
          <m:t>d</m:t>
        </m:r>
      </m:oMath>
      <w:r>
        <w:t xml:space="preserve">, and encoder depth</w:t>
      </w:r>
      <w:r>
        <w:t xml:space="preserve"> </w:t>
      </w:r>
      <m:oMath>
        <m:r>
          <m:t>M</m:t>
        </m:r>
      </m:oMath>
      <w:r>
        <w:t xml:space="preserve">:</w:t>
      </w:r>
    </w:p>
    <w:p>
      <w:pPr>
        <w:pStyle w:val="BodyText"/>
      </w:pPr>
      <m:oMathPara>
        <m:oMathParaPr>
          <m:jc m:val="center"/>
        </m:oMathParaPr>
        <m:oMath>
          <m:sSub>
            <m:e>
              <m:r>
                <m:rPr>
                  <m:nor/>
                  <m:sty m:val="p"/>
                </m:rPr>
                <m:t>Cost</m:t>
              </m:r>
            </m:e>
            <m:sub>
              <m:r>
                <m:rPr>
                  <m:nor/>
                  <m:sty m:val="p"/>
                </m:rPr>
                <m:t>layer</m:t>
              </m:r>
            </m:sub>
          </m:sSub>
          <m:r>
            <m:rPr>
              <m:sty m:val="p"/>
            </m:rPr>
            <m:t>=</m:t>
          </m:r>
          <m:r>
            <m:rPr>
              <m:sty m:val="p"/>
              <m:scr m:val="script"/>
            </m:rPr>
            <m:t>O</m:t>
          </m:r>
          <m:d>
            <m:dPr>
              <m:begChr m:val="("/>
              <m:endChr m:val=")"/>
              <m:sepChr m:val=""/>
              <m:grow/>
            </m:dPr>
            <m:e>
              <m:r>
                <m:t>B</m:t>
              </m:r>
              <m:sSup>
                <m:e>
                  <m:r>
                    <m:t>N</m:t>
                  </m:r>
                </m:e>
                <m:sup>
                  <m:r>
                    <m:t>2</m:t>
                  </m:r>
                </m:sup>
              </m:sSup>
              <m:r>
                <m:t>d</m:t>
              </m:r>
              <m:r>
                <m:rPr>
                  <m:sty m:val="p"/>
                </m:rPr>
                <m:t>+</m:t>
              </m:r>
              <m:r>
                <m:t>B</m:t>
              </m:r>
              <m:r>
                <m:t>N</m:t>
              </m:r>
              <m:sSup>
                <m:e>
                  <m:r>
                    <m:t>d</m:t>
                  </m:r>
                </m:e>
                <m:sup>
                  <m:r>
                    <m:t>2</m:t>
                  </m:r>
                </m:sup>
              </m:sSup>
            </m:e>
          </m:d>
          <m:r>
            <m:t> </m:t>
          </m:r>
          <m:r>
            <m:rPr>
              <m:sty m:val="p"/>
            </m:rPr>
            <m:t>,</m:t>
          </m:r>
        </m:oMath>
      </m:oMathPara>
    </w:p>
    <w:p>
      <w:pPr>
        <w:pStyle w:val="FirstParagraph"/>
      </w:pPr>
      <m:oMathPara>
        <m:oMathParaPr>
          <m:jc m:val="center"/>
        </m:oMathParaPr>
        <m:oMath>
          <m:sSub>
            <m:e>
              <m:r>
                <m:rPr>
                  <m:nor/>
                  <m:sty m:val="p"/>
                </m:rPr>
                <m:t>Cost</m:t>
              </m:r>
            </m:e>
            <m:sub>
              <m:r>
                <m:rPr>
                  <m:nor/>
                  <m:sty m:val="p"/>
                </m:rPr>
                <m:t>encoder</m:t>
              </m:r>
            </m:sub>
          </m:sSub>
          <m:r>
            <m:rPr>
              <m:sty m:val="p"/>
            </m:rPr>
            <m:t>=</m:t>
          </m:r>
          <m:r>
            <m:rPr>
              <m:sty m:val="p"/>
              <m:scr m:val="script"/>
            </m:rPr>
            <m:t>O</m:t>
          </m:r>
          <m:d>
            <m:dPr>
              <m:begChr m:val="("/>
              <m:endChr m:val=")"/>
              <m:sepChr m:val=""/>
              <m:grow/>
            </m:dPr>
            <m:e>
              <m:r>
                <m:t>M</m:t>
              </m:r>
              <m:d>
                <m:dPr>
                  <m:begChr m:val="("/>
                  <m:endChr m:val=")"/>
                  <m:sepChr m:val=""/>
                  <m:grow/>
                </m:dPr>
                <m:e>
                  <m:r>
                    <m:t>B</m:t>
                  </m:r>
                  <m:sSup>
                    <m:e>
                      <m:r>
                        <m:t>N</m:t>
                      </m:r>
                    </m:e>
                    <m:sup>
                      <m:r>
                        <m:t>2</m:t>
                      </m:r>
                    </m:sup>
                  </m:sSup>
                  <m:r>
                    <m:t>d</m:t>
                  </m:r>
                  <m:r>
                    <m:rPr>
                      <m:sty m:val="p"/>
                    </m:rPr>
                    <m:t>+</m:t>
                  </m:r>
                  <m:r>
                    <m:t>B</m:t>
                  </m:r>
                  <m:r>
                    <m:t>N</m:t>
                  </m:r>
                  <m:sSup>
                    <m:e>
                      <m:r>
                        <m:t>d</m:t>
                      </m:r>
                    </m:e>
                    <m:sup>
                      <m:r>
                        <m:t>2</m:t>
                      </m:r>
                    </m:sup>
                  </m:sSup>
                </m:e>
              </m:d>
            </m:e>
          </m:d>
          <m:r>
            <m:t> </m:t>
          </m:r>
          <m:r>
            <m:rPr>
              <m:sty m:val="p"/>
            </m:rPr>
            <m:t>.</m:t>
          </m:r>
        </m:oMath>
      </m:oMathPara>
    </w:p>
    <w:p>
      <w:pPr>
        <w:pStyle w:val="FirstParagraph"/>
      </w:pPr>
      <w:r>
        <w:t xml:space="preserve">Hence increasing patch length</w:t>
      </w:r>
      <w:r>
        <w:t xml:space="preserve"> </w:t>
      </w:r>
      <m:oMath>
        <m:r>
          <m:t>P</m:t>
        </m:r>
      </m:oMath>
      <w:r>
        <w:t xml:space="preserve"> </w:t>
      </w:r>
      <w:r>
        <w:t xml:space="preserve">decreases</w:t>
      </w:r>
      <w:r>
        <w:t xml:space="preserve"> </w:t>
      </w:r>
      <m:oMath>
        <m:r>
          <m:t>N</m:t>
        </m:r>
      </m:oMath>
      <w:r>
        <w:t xml:space="preserve"> </w:t>
      </w:r>
      <w:r>
        <w:t xml:space="preserve">and reduces the</w:t>
      </w:r>
      <w:r>
        <w:t xml:space="preserve"> </w:t>
      </w:r>
      <m:oMath>
        <m:sSup>
          <m:e>
            <m:r>
              <m:t>N</m:t>
            </m:r>
          </m:e>
          <m:sup>
            <m:r>
              <m:t>2</m:t>
            </m:r>
          </m:sup>
        </m:sSup>
      </m:oMath>
      <w:r>
        <w:t xml:space="preserve"> </w:t>
      </w:r>
      <w:r>
        <w:t xml:space="preserve">attention term. This gives a direct compute-speed advantage but can discard fine local dynamics when patches become too coarse.</w:t>
      </w:r>
    </w:p>
    <w:p>
      <w:pPr>
        <w:pStyle w:val="BodyText"/>
      </w:pPr>
      <w:r>
        <w:t xml:space="preserve">Memory for token activations scales as</w:t>
      </w:r>
      <w:r>
        <w:t xml:space="preserve"> </w:t>
      </w:r>
      <m:oMath>
        <m:r>
          <m:rPr>
            <m:sty m:val="p"/>
            <m:scr m:val="script"/>
          </m:rPr>
          <m:t>O</m:t>
        </m:r>
        <m:d>
          <m:dPr>
            <m:begChr m:val="("/>
            <m:endChr m:val=")"/>
            <m:sepChr m:val=""/>
            <m:grow/>
          </m:dPr>
          <m:e>
            <m:r>
              <m:t>B</m:t>
            </m:r>
            <m:r>
              <m:t>N</m:t>
            </m:r>
            <m:r>
              <m:t>d</m:t>
            </m:r>
          </m:e>
        </m:d>
      </m:oMath>
      <w:r>
        <w:t xml:space="preserve">, while attention maps contribute</w:t>
      </w:r>
      <w:r>
        <w:t xml:space="preserve"> </w:t>
      </w:r>
      <m:oMath>
        <m:r>
          <m:rPr>
            <m:sty m:val="p"/>
            <m:scr m:val="script"/>
          </m:rPr>
          <m:t>O</m:t>
        </m:r>
        <m:d>
          <m:dPr>
            <m:begChr m:val="("/>
            <m:endChr m:val=")"/>
            <m:sepChr m:val=""/>
            <m:grow/>
          </m:dPr>
          <m:e>
            <m:r>
              <m:t>B</m:t>
            </m:r>
            <m:sSup>
              <m:e>
                <m:r>
                  <m:t>N</m:t>
                </m:r>
              </m:e>
              <m:sup>
                <m:r>
                  <m:t>2</m:t>
                </m:r>
              </m:sup>
            </m:sSup>
          </m:e>
        </m:d>
      </m:oMath>
      <w:r>
        <w:t xml:space="preserve">.</w:t>
      </w:r>
    </w:p>
    <w:bookmarkStart w:id="45" w:name="patch-length-scaling-ratios"/>
    <w:p>
      <w:pPr>
        <w:pStyle w:val="Heading2"/>
      </w:pPr>
      <w:r>
        <w:t xml:space="preserve">Patch-Length Scaling Ratios</w:t>
      </w:r>
    </w:p>
    <w:p>
      <w:pPr>
        <w:pStyle w:val="FirstParagraph"/>
      </w:pPr>
      <w:r>
        <w:t xml:space="preserve">For fixed</w:t>
      </w:r>
      <w:r>
        <w:t xml:space="preserve"> </w:t>
      </w:r>
      <m:oMath>
        <m:r>
          <m:t>L</m:t>
        </m:r>
      </m:oMath>
      <w:r>
        <w:t xml:space="preserve"> </w:t>
      </w:r>
      <w:r>
        <w:t xml:space="preserve">and</w:t>
      </w:r>
      <w:r>
        <w:t xml:space="preserve"> </w:t>
      </w:r>
      <m:oMath>
        <m:r>
          <m:t>d</m:t>
        </m:r>
      </m:oMath>
      <w:r>
        <w:t xml:space="preserve">, moving from patch length</w:t>
      </w:r>
      <w:r>
        <w:t xml:space="preserve"> </w:t>
      </w:r>
      <m:oMath>
        <m:sSub>
          <m:e>
            <m:r>
              <m:t>P</m:t>
            </m:r>
          </m:e>
          <m:sub>
            <m:r>
              <m:t>a</m:t>
            </m:r>
          </m:sub>
        </m:sSub>
      </m:oMath>
      <w:r>
        <w:t xml:space="preserve"> </w:t>
      </w:r>
      <w:r>
        <w:t xml:space="preserve">to</w:t>
      </w:r>
      <w:r>
        <w:t xml:space="preserve"> </w:t>
      </w:r>
      <m:oMath>
        <m:sSub>
          <m:e>
            <m:r>
              <m:t>P</m:t>
            </m:r>
          </m:e>
          <m:sub>
            <m:r>
              <m:t>b</m:t>
            </m:r>
          </m:sub>
        </m:sSub>
      </m:oMath>
      <w:r>
        <w:t xml:space="preserve"> </w:t>
      </w:r>
      <w:r>
        <w:t xml:space="preserve">changes token count from</w:t>
      </w:r>
      <w:r>
        <w:t xml:space="preserve"> </w:t>
      </w:r>
      <m:oMath>
        <m:sSub>
          <m:e>
            <m:r>
              <m:t>N</m:t>
            </m:r>
          </m:e>
          <m:sub>
            <m:r>
              <m:t>a</m:t>
            </m:r>
          </m:sub>
        </m:sSub>
        <m:r>
          <m:rPr>
            <m:sty m:val="p"/>
          </m:rPr>
          <m:t>=</m:t>
        </m:r>
        <m:r>
          <m:t>L</m:t>
        </m:r>
        <m:r>
          <m:rPr>
            <m:sty m:val="p"/>
          </m:rPr>
          <m:t>/</m:t>
        </m:r>
        <m:sSub>
          <m:e>
            <m:r>
              <m:t>P</m:t>
            </m:r>
          </m:e>
          <m:sub>
            <m:r>
              <m:t>a</m:t>
            </m:r>
          </m:sub>
        </m:sSub>
      </m:oMath>
      <w:r>
        <w:t xml:space="preserve"> </w:t>
      </w:r>
      <w:r>
        <w:t xml:space="preserve">to</w:t>
      </w:r>
      <w:r>
        <w:t xml:space="preserve"> </w:t>
      </w:r>
      <m:oMath>
        <m:sSub>
          <m:e>
            <m:r>
              <m:t>N</m:t>
            </m:r>
          </m:e>
          <m:sub>
            <m:r>
              <m:t>b</m:t>
            </m:r>
          </m:sub>
        </m:sSub>
        <m:r>
          <m:rPr>
            <m:sty m:val="p"/>
          </m:rPr>
          <m:t>=</m:t>
        </m:r>
        <m:r>
          <m:t>L</m:t>
        </m:r>
        <m:r>
          <m:rPr>
            <m:sty m:val="p"/>
          </m:rPr>
          <m:t>/</m:t>
        </m:r>
        <m:sSub>
          <m:e>
            <m:r>
              <m:t>P</m:t>
            </m:r>
          </m:e>
          <m:sub>
            <m:r>
              <m:t>b</m:t>
            </m:r>
          </m:sub>
        </m:sSub>
      </m:oMath>
      <w:r>
        <w:t xml:space="preserve">. The dominant attention ratio is</w:t>
      </w:r>
    </w:p>
    <w:p>
      <w:pPr>
        <w:pStyle w:val="BodyText"/>
      </w:pPr>
      <m:oMathPara>
        <m:oMathParaPr>
          <m:jc m:val="center"/>
        </m:oMathParaPr>
        <m:oMath>
          <m:f>
            <m:fPr>
              <m:type m:val="bar"/>
            </m:fPr>
            <m:num>
              <m:sSubSup>
                <m:e>
                  <m:r>
                    <m:t>N</m:t>
                  </m:r>
                </m:e>
                <m:sub>
                  <m:r>
                    <m:t>b</m:t>
                  </m:r>
                </m:sub>
                <m:sup>
                  <m:r>
                    <m:t>2</m:t>
                  </m:r>
                </m:sup>
              </m:sSubSup>
            </m:num>
            <m:den>
              <m:sSubSup>
                <m:e>
                  <m:r>
                    <m:t>N</m:t>
                  </m:r>
                </m:e>
                <m:sub>
                  <m:r>
                    <m:t>a</m:t>
                  </m:r>
                </m:sub>
                <m:sup>
                  <m:r>
                    <m:t>2</m:t>
                  </m:r>
                </m:sup>
              </m:sSubSup>
            </m:den>
          </m:f>
          <m:r>
            <m:rPr>
              <m:sty m:val="p"/>
            </m:rPr>
            <m:t>=</m:t>
          </m:r>
          <m:sSup>
            <m:e>
              <m:d>
                <m:dPr>
                  <m:begChr m:val="("/>
                  <m:endChr m:val=")"/>
                  <m:sepChr m:val=""/>
                  <m:grow/>
                </m:dPr>
                <m:e>
                  <m:f>
                    <m:fPr>
                      <m:type m:val="bar"/>
                    </m:fPr>
                    <m:num>
                      <m:sSub>
                        <m:e>
                          <m:r>
                            <m:t>P</m:t>
                          </m:r>
                        </m:e>
                        <m:sub>
                          <m:r>
                            <m:t>a</m:t>
                          </m:r>
                        </m:sub>
                      </m:sSub>
                    </m:num>
                    <m:den>
                      <m:sSub>
                        <m:e>
                          <m:r>
                            <m:t>P</m:t>
                          </m:r>
                        </m:e>
                        <m:sub>
                          <m:r>
                            <m:t>b</m:t>
                          </m:r>
                        </m:sub>
                      </m:sSub>
                    </m:den>
                  </m:f>
                </m:e>
              </m:d>
            </m:e>
            <m:sup>
              <m:r>
                <m:t>2</m:t>
              </m:r>
            </m:sup>
          </m:sSup>
          <m:r>
            <m:t> </m:t>
          </m:r>
          <m:r>
            <m:rPr>
              <m:sty m:val="p"/>
            </m:rPr>
            <m:t>.</m:t>
          </m:r>
        </m:oMath>
      </m:oMathPara>
    </w:p>
    <w:p>
      <w:pPr>
        <w:pStyle w:val="FirstParagraph"/>
      </w:pPr>
      <w:r>
        <w:t xml:space="preserve">Therefore, doubling patch length quarters the attention term. This ratio-level result predicts runtime trends but does not guarantee improved optimization because representational granularity also changes.</w:t>
      </w:r>
    </w:p>
    <w:bookmarkEnd w:id="45"/>
    <w:bookmarkStart w:id="46" w:name="compute-normalized-objective-view"/>
    <w:p>
      <w:pPr>
        <w:pStyle w:val="Heading2"/>
      </w:pPr>
      <w:r>
        <w:t xml:space="preserve">Compute-Normalized Objective View</w:t>
      </w:r>
    </w:p>
    <w:p>
      <w:pPr>
        <w:pStyle w:val="FirstParagraph"/>
      </w:pPr>
      <w:r>
        <w:t xml:space="preserve">For practical model selection under fixed hardware budgets, we define a compute-normalized criterion</w:t>
      </w:r>
    </w:p>
    <w:p>
      <w:pPr>
        <w:pStyle w:val="BodyText"/>
      </w:pPr>
      <m:oMathPara>
        <m:oMathParaPr>
          <m:jc m:val="center"/>
        </m:oMathParaPr>
        <m:oMath>
          <m:r>
            <m:rPr>
              <m:sty m:val="p"/>
              <m:scr m:val="script"/>
            </m:rPr>
            <m:t>J</m:t>
          </m:r>
          <m:d>
            <m:dPr>
              <m:begChr m:val="("/>
              <m:endChr m:val=")"/>
              <m:sepChr m:val=""/>
              <m:grow/>
            </m:dPr>
            <m:e>
              <m:r>
                <m:t>P</m:t>
              </m:r>
              <m:r>
                <m:rPr>
                  <m:sty m:val="p"/>
                </m:rPr>
                <m:t>,</m:t>
              </m:r>
              <m:r>
                <m:t>ρ</m:t>
              </m:r>
            </m:e>
          </m:d>
          <m:r>
            <m:rPr>
              <m:sty m:val="p"/>
            </m:rPr>
            <m:t>=</m:t>
          </m:r>
          <m:r>
            <m:rPr>
              <m:sty m:val="p"/>
              <m:scr m:val="double-struck"/>
            </m:rPr>
            <m:t>E</m:t>
          </m:r>
          <m:d>
            <m:dPr>
              <m:begChr m:val="["/>
              <m:endChr m:val="]"/>
              <m:sepChr m:val=""/>
              <m:grow/>
            </m:dPr>
            <m:e>
              <m:sSub>
                <m:e>
                  <m:r>
                    <m:rPr>
                      <m:sty m:val="p"/>
                      <m:scr m:val="script"/>
                    </m:rPr>
                    <m:t>L</m:t>
                  </m:r>
                </m:e>
                <m:sub>
                  <m:r>
                    <m:rPr>
                      <m:nor/>
                      <m:sty m:val="p"/>
                    </m:rPr>
                    <m:t>mask</m:t>
                  </m:r>
                </m:sub>
              </m:sSub>
              <m:d>
                <m:dPr>
                  <m:begChr m:val="("/>
                  <m:endChr m:val=")"/>
                  <m:sepChr m:val=""/>
                  <m:grow/>
                </m:dPr>
                <m:e>
                  <m:r>
                    <m:t>P</m:t>
                  </m:r>
                  <m:r>
                    <m:rPr>
                      <m:sty m:val="p"/>
                    </m:rPr>
                    <m:t>,</m:t>
                  </m:r>
                  <m:r>
                    <m:t>ρ</m:t>
                  </m:r>
                </m:e>
              </m:d>
            </m:e>
          </m:d>
          <m:r>
            <m:rPr>
              <m:sty m:val="p"/>
            </m:rPr>
            <m:t>+</m:t>
          </m:r>
          <m:r>
            <m:t>λ</m:t>
          </m:r>
          <m:r>
            <m:t> </m:t>
          </m:r>
          <m:r>
            <m:rPr>
              <m:sty m:val="p"/>
              <m:scr m:val="script"/>
            </m:rPr>
            <m:t>C</m:t>
          </m:r>
          <m:d>
            <m:dPr>
              <m:begChr m:val="("/>
              <m:endChr m:val=")"/>
              <m:sepChr m:val=""/>
              <m:grow/>
            </m:dPr>
            <m:e>
              <m:r>
                <m:t>P</m:t>
              </m:r>
            </m:e>
          </m:d>
          <m:r>
            <m:t> </m:t>
          </m:r>
          <m:r>
            <m:rPr>
              <m:sty m:val="p"/>
            </m:rPr>
            <m:t>,</m:t>
          </m:r>
        </m:oMath>
      </m:oMathPara>
    </w:p>
    <w:p>
      <w:pPr>
        <w:pStyle w:val="FirstParagraph"/>
      </w:pPr>
      <w:r>
        <w:t xml:space="preserve">where</w:t>
      </w:r>
      <w:r>
        <w:t xml:space="preserve"> </w:t>
      </w:r>
      <m:oMath>
        <m:r>
          <m:t>λ</m:t>
        </m:r>
        <m:r>
          <m:rPr>
            <m:sty m:val="p"/>
          </m:rPr>
          <m:t>≥</m:t>
        </m:r>
        <m:r>
          <m:t>0</m:t>
        </m:r>
      </m:oMath>
      <w:r>
        <w:t xml:space="preserve"> </w:t>
      </w:r>
      <w:r>
        <w:t xml:space="preserve">is a budget preference scalar and</w:t>
      </w:r>
    </w:p>
    <w:p>
      <w:pPr>
        <w:pStyle w:val="BodyText"/>
      </w:pPr>
      <m:oMathPara>
        <m:oMathParaPr>
          <m:jc m:val="center"/>
        </m:oMathParaPr>
        <m:oMath>
          <m:r>
            <m:rPr>
              <m:sty m:val="p"/>
              <m:scr m:val="script"/>
            </m:rPr>
            <m:t>C</m:t>
          </m:r>
          <m:d>
            <m:dPr>
              <m:begChr m:val="("/>
              <m:endChr m:val=")"/>
              <m:sepChr m:val=""/>
              <m:grow/>
            </m:dPr>
            <m:e>
              <m:r>
                <m:t>P</m:t>
              </m:r>
            </m:e>
          </m:d>
          <m:r>
            <m:rPr>
              <m:sty m:val="p"/>
            </m:rPr>
            <m:t>≈</m:t>
          </m:r>
          <m:r>
            <m:t>α</m:t>
          </m:r>
          <m:sSup>
            <m:e>
              <m:d>
                <m:dPr>
                  <m:begChr m:val="("/>
                  <m:endChr m:val=")"/>
                  <m:sepChr m:val=""/>
                  <m:grow/>
                </m:dPr>
                <m:e>
                  <m:f>
                    <m:fPr>
                      <m:type m:val="bar"/>
                    </m:fPr>
                    <m:num>
                      <m:r>
                        <m:t>L</m:t>
                      </m:r>
                    </m:num>
                    <m:den>
                      <m:r>
                        <m:t>P</m:t>
                      </m:r>
                    </m:den>
                  </m:f>
                </m:e>
              </m:d>
            </m:e>
            <m:sup>
              <m:r>
                <m:t>2</m:t>
              </m:r>
            </m:sup>
          </m:sSup>
          <m:r>
            <m:rPr>
              <m:sty m:val="p"/>
            </m:rPr>
            <m:t>+</m:t>
          </m:r>
          <m:r>
            <m:t>β</m:t>
          </m:r>
          <m:d>
            <m:dPr>
              <m:begChr m:val="("/>
              <m:endChr m:val=")"/>
              <m:sepChr m:val=""/>
              <m:grow/>
            </m:dPr>
            <m:e>
              <m:f>
                <m:fPr>
                  <m:type m:val="bar"/>
                </m:fPr>
                <m:num>
                  <m:r>
                    <m:t>L</m:t>
                  </m:r>
                </m:num>
                <m:den>
                  <m:r>
                    <m:t>P</m:t>
                  </m:r>
                </m:den>
              </m:f>
            </m:e>
          </m:d>
        </m:oMath>
      </m:oMathPara>
    </w:p>
    <w:p>
      <w:pPr>
        <w:pStyle w:val="FirstParagraph"/>
      </w:pPr>
      <w:r>
        <w:t xml:space="preserve">captures the dominant attention and projection terms. For two patch lengths</w:t>
      </w:r>
      <w:r>
        <w:t xml:space="preserve"> </w:t>
      </w:r>
      <m:oMath>
        <m:sSub>
          <m:e>
            <m:r>
              <m:t>P</m:t>
            </m:r>
          </m:e>
          <m:sub>
            <m:r>
              <m:t>a</m:t>
            </m:r>
          </m:sub>
        </m:sSub>
      </m:oMath>
      <w:r>
        <w:t xml:space="preserve"> </w:t>
      </w:r>
      <w:r>
        <w:t xml:space="preserve">and</w:t>
      </w:r>
      <w:r>
        <w:t xml:space="preserve"> </w:t>
      </w:r>
      <m:oMath>
        <m:sSub>
          <m:e>
            <m:r>
              <m:t>P</m:t>
            </m:r>
          </m:e>
          <m:sub>
            <m:r>
              <m:t>b</m:t>
            </m:r>
          </m:sub>
        </m:sSub>
      </m:oMath>
      <w:r>
        <w:t xml:space="preserve">,</w:t>
      </w:r>
      <w:r>
        <w:t xml:space="preserve"> </w:t>
      </w:r>
      <m:oMath>
        <m:sSub>
          <m:e>
            <m:r>
              <m:t>P</m:t>
            </m:r>
          </m:e>
          <m:sub>
            <m:r>
              <m:t>b</m:t>
            </m:r>
          </m:sub>
        </m:sSub>
      </m:oMath>
      <w:r>
        <w:t xml:space="preserve"> </w:t>
      </w:r>
      <w:r>
        <w:t xml:space="preserve">is preferred when</w:t>
      </w:r>
    </w:p>
    <w:p>
      <w:pPr>
        <w:pStyle w:val="BodyText"/>
      </w:pPr>
      <m:oMathPara>
        <m:oMathParaPr>
          <m:jc m:val="center"/>
        </m:oMathParaPr>
        <m:oMath>
          <m:r>
            <m:t>Δ</m:t>
          </m:r>
          <m:r>
            <m:rPr>
              <m:sty m:val="p"/>
              <m:scr m:val="double-struck"/>
            </m:rPr>
            <m:t>E</m:t>
          </m:r>
          <m:d>
            <m:dPr>
              <m:begChr m:val="["/>
              <m:endChr m:val="]"/>
              <m:sepChr m:val=""/>
              <m:grow/>
            </m:dPr>
            <m:e>
              <m:sSub>
                <m:e>
                  <m:r>
                    <m:rPr>
                      <m:sty m:val="p"/>
                      <m:scr m:val="script"/>
                    </m:rPr>
                    <m:t>L</m:t>
                  </m:r>
                </m:e>
                <m:sub>
                  <m:r>
                    <m:rPr>
                      <m:nor/>
                      <m:sty m:val="p"/>
                    </m:rPr>
                    <m:t>mask</m:t>
                  </m:r>
                </m:sub>
              </m:sSub>
            </m:e>
          </m:d>
          <m:r>
            <m:rPr>
              <m:sty m:val="p"/>
            </m:rPr>
            <m:t>&lt;</m:t>
          </m:r>
          <m:r>
            <m:rPr>
              <m:sty m:val="p"/>
            </m:rPr>
            <m:t>−</m:t>
          </m:r>
          <m:r>
            <m:t>λ</m:t>
          </m:r>
          <m:r>
            <m:t> </m:t>
          </m:r>
          <m:r>
            <m:t>Δ</m:t>
          </m:r>
          <m:r>
            <m:rPr>
              <m:sty m:val="p"/>
              <m:scr m:val="script"/>
            </m:rPr>
            <m:t>C</m:t>
          </m:r>
          <m:r>
            <m:t> </m:t>
          </m:r>
          <m:r>
            <m:rPr>
              <m:sty m:val="p"/>
            </m:rPr>
            <m:t>.</m:t>
          </m:r>
        </m:oMath>
      </m:oMathPara>
    </w:p>
    <w:p>
      <w:pPr>
        <w:pStyle w:val="FirstParagraph"/>
      </w:pPr>
      <w:r>
        <w:t xml:space="preserve">with</w:t>
      </w:r>
      <w:r>
        <w:t xml:space="preserve"> </w:t>
      </w:r>
      <m:oMath>
        <m:r>
          <m:t>Δ</m:t>
        </m:r>
      </m:oMath>
      <w:r>
        <w:t xml:space="preserve"> </w:t>
      </w:r>
      <w:r>
        <w:t xml:space="preserve">denoting value at</w:t>
      </w:r>
      <w:r>
        <w:t xml:space="preserve"> </w:t>
      </w:r>
      <m:oMath>
        <m:sSub>
          <m:e>
            <m:r>
              <m:t>P</m:t>
            </m:r>
          </m:e>
          <m:sub>
            <m:r>
              <m:t>b</m:t>
            </m:r>
          </m:sub>
        </m:sSub>
      </m:oMath>
      <w:r>
        <w:t xml:space="preserve"> </w:t>
      </w:r>
      <w:r>
        <w:t xml:space="preserve">minus value at</w:t>
      </w:r>
      <w:r>
        <w:t xml:space="preserve"> </w:t>
      </w:r>
      <m:oMath>
        <m:sSub>
          <m:e>
            <m:r>
              <m:t>P</m:t>
            </m:r>
          </m:e>
          <m:sub>
            <m:r>
              <m:t>a</m:t>
            </m:r>
          </m:sub>
        </m:sSub>
      </m:oMath>
      <w:r>
        <w:t xml:space="preserve">. A configuration with larger patches remains preferable when compute savings outweigh the marginal loss increase.</w:t>
      </w:r>
    </w:p>
    <w:bookmarkEnd w:id="46"/>
    <w:bookmarkEnd w:id="47"/>
    <w:bookmarkStart w:id="52" w:name="experimental-protocol"/>
    <w:p>
      <w:pPr>
        <w:pStyle w:val="Heading1"/>
      </w:pPr>
      <w:r>
        <w:t xml:space="preserve">Experimental Protocol</w:t>
      </w:r>
    </w:p>
    <w:bookmarkStart w:id="48" w:name="single-seed-deterministic-baseline"/>
    <w:p>
      <w:pPr>
        <w:pStyle w:val="Heading2"/>
      </w:pPr>
      <w:r>
        <w:t xml:space="preserve">Single-Seed Deterministic Baseline</w:t>
      </w:r>
    </w:p>
    <w:p>
      <w:pPr>
        <w:pStyle w:val="FirstParagraph"/>
      </w:pPr>
      <w:r>
        <w:t xml:space="preserve">We first report a deterministic baseline with one seed and fixed settings to establish a comparable reference under a controlled budget. The configuration is:</w:t>
      </w:r>
    </w:p>
    <w:p>
      <w:pPr>
        <w:numPr>
          <w:ilvl w:val="0"/>
          <w:numId w:val="1003"/>
        </w:numPr>
      </w:pPr>
      <w:r>
        <w:t xml:space="preserve">seed = 42,</w:t>
      </w:r>
    </w:p>
    <w:p>
      <w:pPr>
        <w:numPr>
          <w:ilvl w:val="0"/>
          <w:numId w:val="1003"/>
        </w:numPr>
      </w:pPr>
      <w:r>
        <w:t xml:space="preserve">feature fallback enabled,</w:t>
      </w:r>
    </w:p>
    <w:p>
      <w:pPr>
        <w:numPr>
          <w:ilvl w:val="0"/>
          <w:numId w:val="1003"/>
        </w:numPr>
      </w:pPr>
      <w:r>
        <w:t xml:space="preserve">single-worker feature processing to avoid run-order nondeterminism,</w:t>
      </w:r>
    </w:p>
    <w:p>
      <w:pPr>
        <w:numPr>
          <w:ilvl w:val="0"/>
          <w:numId w:val="1003"/>
        </w:numPr>
      </w:pPr>
      <w:r>
        <w:t xml:space="preserve">fixed row cap per feature table,</w:t>
      </w:r>
    </w:p>
    <w:p>
      <w:pPr>
        <w:numPr>
          <w:ilvl w:val="0"/>
          <w:numId w:val="1003"/>
        </w:numPr>
      </w:pPr>
      <w:r>
        <w:t xml:space="preserve">one epoch with a fixed 20-step budget,</w:t>
      </w:r>
    </w:p>
    <w:p>
      <w:pPr>
        <w:numPr>
          <w:ilvl w:val="0"/>
          <w:numId w:val="1003"/>
        </w:numPr>
      </w:pPr>
      <w:r>
        <w:t xml:space="preserve">no checkpoint saving during ablations.</w:t>
      </w:r>
    </w:p>
    <w:bookmarkEnd w:id="48"/>
    <w:bookmarkStart w:id="50" w:name="multi-seed-protocol-for-uncertainty"/>
    <w:p>
      <w:pPr>
        <w:pStyle w:val="Heading2"/>
      </w:pPr>
      <w:r>
        <w:t xml:space="preserve">Multi-Seed Protocol for Uncertainty</w:t>
      </w:r>
    </w:p>
    <w:p>
      <w:pPr>
        <w:pStyle w:val="FirstParagraph"/>
      </w:pPr>
      <w:r>
        <w:t xml:space="preserve">The deterministic baseline checks reproducibility but not uncertainty. We run a seed-stratified protocol with seeds</w:t>
      </w:r>
      <w:r>
        <w:t xml:space="preserve"> </w:t>
      </w:r>
      <m:oMath>
        <m:r>
          <m:rPr>
            <m:sty m:val="p"/>
          </m:rPr>
          <m:t>{</m:t>
        </m:r>
        <m:r>
          <m:t>11</m:t>
        </m:r>
        <m:r>
          <m:rPr>
            <m:sty m:val="p"/>
          </m:rPr>
          <m:t>,</m:t>
        </m:r>
        <m:r>
          <m:t>42</m:t>
        </m:r>
        <m:r>
          <m:rPr>
            <m:sty m:val="p"/>
          </m:rPr>
          <m:t>,</m:t>
        </m:r>
        <m:r>
          <m:t>123</m:t>
        </m:r>
        <m:r>
          <m:rPr>
            <m:sty m:val="p"/>
          </m:rPr>
          <m:t>}</m:t>
        </m:r>
      </m:oMath>
      <w:r>
        <w:t xml:space="preserve">, and each seed controls:</w:t>
      </w:r>
    </w:p>
    <w:p>
      <w:pPr>
        <w:numPr>
          <w:ilvl w:val="0"/>
          <w:numId w:val="1004"/>
        </w:numPr>
      </w:pPr>
      <w:r>
        <w:t xml:space="preserve">feature-row sampling in synthetic corpus construction,</w:t>
      </w:r>
    </w:p>
    <w:p>
      <w:pPr>
        <w:numPr>
          <w:ilvl w:val="0"/>
          <w:numId w:val="1004"/>
        </w:numPr>
      </w:pPr>
      <w:r>
        <w:t xml:space="preserve">model parameter initialization,</w:t>
      </w:r>
    </w:p>
    <w:p>
      <w:pPr>
        <w:numPr>
          <w:ilvl w:val="0"/>
          <w:numId w:val="1004"/>
        </w:numPr>
      </w:pPr>
      <w:r>
        <w:t xml:space="preserve">DataLoader shuffling order.</w:t>
      </w:r>
    </w:p>
    <w:p>
      <w:pPr>
        <w:pStyle w:val="FirstParagraph"/>
      </w:pPr>
      <w:r>
        <w:t xml:space="preserve">For each seed, the corpus is regenerated once and reused across the five ablation settings. This yields</w:t>
      </w:r>
      <w:r>
        <w:t xml:space="preserve"> </w:t>
      </w:r>
      <m:oMath>
        <m:r>
          <m:t>n</m:t>
        </m:r>
        <m:r>
          <m:rPr>
            <m:sty m:val="p"/>
          </m:rPr>
          <m:t>=</m:t>
        </m:r>
        <m:r>
          <m:t>3</m:t>
        </m:r>
      </m:oMath>
      <w:r>
        <w:t xml:space="preserve"> </w:t>
      </w:r>
      <w:r>
        <w:t xml:space="preserve">replicates per setting with matched protocol and controlled budget.</w:t>
      </w:r>
    </w:p>
    <w:p>
      <w:pPr>
        <w:pStyle w:val="BodyText"/>
      </w:pPr>
      <w:r>
        <w:t xml:space="preserve">Confidence intervals are reported as half-widths using Student-</w:t>
      </w:r>
      <m:oMath>
        <m:r>
          <m:t>t</m:t>
        </m:r>
      </m:oMath>
      <w:r>
        <w:t xml:space="preserve">:</w:t>
      </w:r>
    </w:p>
    <w:p>
      <w:pPr>
        <w:pStyle w:val="BodyText"/>
      </w:pPr>
      <m:oMathPara>
        <m:oMathParaPr>
          <m:jc m:val="center"/>
        </m:oMathParaPr>
        <m:oMath>
          <m:sSub>
            <m:e>
              <m:r>
                <m:rPr>
                  <m:sty m:val="p"/>
                </m:rPr>
                <m:t>C</m:t>
              </m:r>
              <m:r>
                <m:rPr>
                  <m:sty m:val="p"/>
                </m:rPr>
                <m:t>I</m:t>
              </m:r>
            </m:e>
            <m:sub>
              <m:r>
                <m:t>95</m:t>
              </m:r>
            </m:sub>
          </m:sSub>
          <m:d>
            <m:dPr>
              <m:begChr m:val="("/>
              <m:endChr m:val=")"/>
              <m:sepChr m:val=""/>
              <m:grow/>
            </m:dPr>
            <m:e>
              <m:acc>
                <m:accPr>
                  <m:chr m:val="‾"/>
                </m:accPr>
                <m:e>
                  <m:r>
                    <m:t>x</m:t>
                  </m:r>
                </m:e>
              </m:acc>
            </m:e>
          </m:d>
          <m:r>
            <m:rPr>
              <m:sty m:val="p"/>
            </m:rPr>
            <m:t>=</m:t>
          </m:r>
          <m:sSub>
            <m:e>
              <m:r>
                <m:t>t</m:t>
              </m:r>
            </m:e>
            <m:sub>
              <m:r>
                <m:t>0.975</m:t>
              </m:r>
              <m:r>
                <m:rPr>
                  <m:sty m:val="p"/>
                </m:rPr>
                <m:t>,</m:t>
              </m:r>
              <m:r>
                <m:t> </m:t>
              </m:r>
              <m:r>
                <m:t>n</m:t>
              </m:r>
              <m:r>
                <m:rPr>
                  <m:sty m:val="p"/>
                </m:rPr>
                <m:t>−</m:t>
              </m:r>
              <m:r>
                <m:t>1</m:t>
              </m:r>
            </m:sub>
          </m:sSub>
          <m:f>
            <m:fPr>
              <m:type m:val="bar"/>
            </m:fPr>
            <m:num>
              <m:r>
                <m:t>s</m:t>
              </m:r>
            </m:num>
            <m:den>
              <m:rad>
                <m:radPr>
                  <m:degHide m:val="on"/>
                </m:radPr>
                <m:deg/>
                <m:e>
                  <m:r>
                    <m:t>n</m:t>
                  </m:r>
                </m:e>
              </m:rad>
            </m:den>
          </m:f>
          <m:r>
            <m:t> </m:t>
          </m:r>
          <m:r>
            <m:rPr>
              <m:sty m:val="p"/>
            </m:rPr>
            <m:t>,</m:t>
          </m:r>
        </m:oMath>
      </m:oMathPara>
    </w:p>
    <w:p>
      <w:pPr>
        <w:pStyle w:val="FirstParagraph"/>
      </w:pPr>
      <w:r>
        <w:t xml:space="preserve">where</w:t>
      </w:r>
      <w:r>
        <w:t xml:space="preserve"> </w:t>
      </w:r>
      <m:oMath>
        <m:acc>
          <m:accPr>
            <m:chr m:val="‾"/>
          </m:accPr>
          <m:e>
            <m:r>
              <m:t>x</m:t>
            </m:r>
          </m:e>
        </m:acc>
      </m:oMath>
      <w:r>
        <w:t xml:space="preserve"> </w:t>
      </w:r>
      <w:r>
        <w:t xml:space="preserve">is the sample mean and</w:t>
      </w:r>
      <w:r>
        <w:t xml:space="preserve"> </w:t>
      </w:r>
      <m:oMath>
        <m:r>
          <m:t>s</m:t>
        </m:r>
      </m:oMath>
      <w:r>
        <w:t xml:space="preserve"> </w:t>
      </w:r>
      <w:r>
        <w:t xml:space="preserve">is the sample standard deviation.</w:t>
      </w:r>
    </w:p>
    <w:bookmarkStart w:id="49" w:name="tab:fixed_hparams"/>
    <w:p>
      <w:pPr>
        <w:pStyle w:val="TableCaption"/>
      </w:pPr>
      <w:r>
        <w:t xml:space="preserve">Fixed Hyperparameters for Both Baseline and Multi-Seed Ablations</w:t>
      </w:r>
    </w:p>
    <w:tbl>
      <w:tblPr>
        <w:tblStyle w:val="Table"/>
        <w:tblW w:type="auto" w:w="0"/>
        <w:tblLook w:firstRow="1" w:lastRow="0" w:firstColumn="0" w:lastColumn="0" w:noHBand="0" w:noVBand="0" w:val="0020"/>
        <w:tblCaption w:val="Fixed Hyperparameters for Both Baseline and Multi-Seed Ablations"/>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Epochs</w:t>
            </w:r>
          </w:p>
        </w:tc>
        <w:tc>
          <w:tcPr/>
          <w:p>
            <w:pPr>
              <w:pStyle w:val="Compact"/>
              <w:jc w:val="left"/>
            </w:pPr>
            <w:r>
              <w:t xml:space="preserve">1</w:t>
            </w:r>
          </w:p>
        </w:tc>
      </w:tr>
      <w:tr>
        <w:tc>
          <w:tcPr/>
          <w:p>
            <w:pPr>
              <w:pStyle w:val="Compact"/>
              <w:jc w:val="left"/>
            </w:pPr>
            <w:r>
              <w:t xml:space="preserve">Max steps per epoch</w:t>
            </w:r>
          </w:p>
        </w:tc>
        <w:tc>
          <w:tcPr/>
          <w:p>
            <w:pPr>
              <w:pStyle w:val="Compact"/>
              <w:jc w:val="left"/>
            </w:pPr>
            <w:r>
              <w:t xml:space="preserve">20</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Context length</w:t>
            </w:r>
            <w:r>
              <w:t xml:space="preserve"> </w:t>
            </w:r>
            <m:oMath>
              <m:r>
                <m:t>L</m:t>
              </m:r>
            </m:oMath>
          </w:p>
        </w:tc>
        <w:tc>
          <w:tcPr/>
          <w:p>
            <w:pPr>
              <w:pStyle w:val="Compact"/>
              <w:jc w:val="left"/>
            </w:pPr>
            <w:r>
              <w:t xml:space="preserve">512</w:t>
            </w:r>
          </w:p>
        </w:tc>
      </w:tr>
      <w:tr>
        <w:tc>
          <w:tcPr/>
          <w:p>
            <w:pPr>
              <w:pStyle w:val="Compact"/>
              <w:jc w:val="left"/>
            </w:pPr>
            <w:r>
              <w:t xml:space="preserve">Embedding dimension</w:t>
            </w:r>
            <w:r>
              <w:t xml:space="preserve"> </w:t>
            </w:r>
            <m:oMath>
              <m:r>
                <m:t>d</m:t>
              </m:r>
            </m:oMath>
          </w:p>
        </w:tc>
        <w:tc>
          <w:tcPr/>
          <w:p>
            <w:pPr>
              <w:pStyle w:val="Compact"/>
              <w:jc w:val="left"/>
            </w:pPr>
            <w:r>
              <w:t xml:space="preserve">128</w:t>
            </w:r>
          </w:p>
        </w:tc>
      </w:tr>
      <w:tr>
        <w:tc>
          <w:tcPr/>
          <w:p>
            <w:pPr>
              <w:pStyle w:val="Compact"/>
              <w:jc w:val="left"/>
            </w:pPr>
            <w:r>
              <w:t xml:space="preserve">Heads / layers</w:t>
            </w:r>
          </w:p>
        </w:tc>
        <w:tc>
          <w:tcPr/>
          <w:p>
            <w:pPr>
              <w:pStyle w:val="Compact"/>
              <w:jc w:val="left"/>
            </w:pPr>
            <w:r>
              <w:t xml:space="preserve">8 / 4</w:t>
            </w:r>
          </w:p>
        </w:tc>
      </w:tr>
      <w:tr>
        <w:tc>
          <w:tcPr/>
          <w:p>
            <w:pPr>
              <w:pStyle w:val="Compact"/>
              <w:jc w:val="left"/>
            </w:pPr>
            <w:r>
              <w:t xml:space="preserve">Optimizer</w:t>
            </w:r>
          </w:p>
        </w:tc>
        <w:tc>
          <w:tcPr/>
          <w:p>
            <w:pPr>
              <w:pStyle w:val="Compact"/>
              <w:jc w:val="left"/>
            </w:pPr>
            <w:r>
              <w:t xml:space="preserve">AdamW (</w:t>
            </w:r>
            <m:oMath>
              <m:sSup>
                <m:e>
                  <m:r>
                    <m:t>10</m:t>
                  </m:r>
                </m:e>
                <m:sup>
                  <m:r>
                    <m:rPr>
                      <m:sty m:val="p"/>
                    </m:rPr>
                    <m:t>−</m:t>
                  </m:r>
                  <m:r>
                    <m:t>4</m:t>
                  </m:r>
                </m:sup>
              </m:sSup>
            </m:oMath>
            <w:r>
              <w:t xml:space="preserve">, wd</w:t>
            </w:r>
            <w:r>
              <w:t xml:space="preserve"> </w:t>
            </w:r>
            <m:oMath>
              <m:sSup>
                <m:e>
                  <m:r>
                    <m:t>10</m:t>
                  </m:r>
                </m:e>
                <m:sup>
                  <m:r>
                    <m:rPr>
                      <m:sty m:val="p"/>
                    </m:rPr>
                    <m:t>−</m:t>
                  </m:r>
                  <m:r>
                    <m:t>4</m:t>
                  </m:r>
                </m:sup>
              </m:sSup>
            </m:oMath>
            <w:r>
              <w:t xml:space="preserve">)</w:t>
            </w:r>
          </w:p>
        </w:tc>
      </w:tr>
      <w:tr>
        <w:tc>
          <w:tcPr/>
          <w:p>
            <w:pPr>
              <w:pStyle w:val="Compact"/>
              <w:jc w:val="left"/>
            </w:pPr>
            <w:r>
              <w:t xml:space="preserve">Gradient accumulation</w:t>
            </w:r>
            <w:r>
              <w:t xml:space="preserve"> </w:t>
            </w:r>
            <m:oMath>
              <m:r>
                <m:t>K</m:t>
              </m:r>
            </m:oMath>
          </w:p>
        </w:tc>
        <w:tc>
          <w:tcPr/>
          <w:p>
            <w:pPr>
              <w:pStyle w:val="Compact"/>
              <w:jc w:val="left"/>
            </w:pPr>
            <w:r>
              <w:t xml:space="preserve">4</w:t>
            </w:r>
          </w:p>
        </w:tc>
      </w:tr>
      <w:tr>
        <w:tc>
          <w:tcPr/>
          <w:p>
            <w:pPr>
              <w:pStyle w:val="Compact"/>
              <w:jc w:val="left"/>
            </w:pPr>
            <w:r>
              <w:t xml:space="preserve">Feature workers</w:t>
            </w:r>
          </w:p>
        </w:tc>
        <w:tc>
          <w:tcPr/>
          <w:p>
            <w:pPr>
              <w:pStyle w:val="Compact"/>
              <w:jc w:val="left"/>
            </w:pPr>
            <w:r>
              <w:t xml:space="preserve">1</w:t>
            </w:r>
          </w:p>
        </w:tc>
      </w:tr>
      <w:tr>
        <w:tc>
          <w:tcPr/>
          <w:p>
            <w:pPr>
              <w:pStyle w:val="Compact"/>
              <w:jc w:val="left"/>
            </w:pPr>
            <w:r>
              <w:t xml:space="preserve">Row cap per feature file</w:t>
            </w:r>
          </w:p>
        </w:tc>
        <w:tc>
          <w:tcPr/>
          <w:p>
            <w:pPr>
              <w:pStyle w:val="Compact"/>
              <w:jc w:val="left"/>
            </w:pPr>
            <w:r>
              <w:t xml:space="preserve">50</w:t>
            </w:r>
          </w:p>
        </w:tc>
      </w:tr>
      <w:tr>
        <w:tc>
          <w:tcPr/>
          <w:p>
            <w:pPr>
              <w:pStyle w:val="Compact"/>
              <w:jc w:val="left"/>
            </w:pPr>
            <w:r>
              <w:t xml:space="preserve">Checkpoint saving</w:t>
            </w:r>
          </w:p>
        </w:tc>
        <w:tc>
          <w:tcPr/>
          <w:p>
            <w:pPr>
              <w:pStyle w:val="Compact"/>
              <w:jc w:val="left"/>
            </w:pPr>
            <w:r>
              <w:t xml:space="preserve">Disabled</w:t>
            </w:r>
          </w:p>
        </w:tc>
      </w:tr>
    </w:tbl>
    <w:bookmarkEnd w:id="49"/>
    <w:bookmarkEnd w:id="50"/>
    <w:bookmarkStart w:id="51" w:name="ablation-axes"/>
    <w:p>
      <w:pPr>
        <w:pStyle w:val="Heading2"/>
      </w:pPr>
      <w:r>
        <w:t xml:space="preserve">Ablation Axes</w:t>
      </w:r>
    </w:p>
    <w:p>
      <w:pPr>
        <w:pStyle w:val="FirstParagraph"/>
      </w:pPr>
      <w:r>
        <w:t xml:space="preserve">We study two factors under fixed remaining hyperparameters:</w:t>
      </w:r>
    </w:p>
    <w:p>
      <w:pPr>
        <w:numPr>
          <w:ilvl w:val="0"/>
          <w:numId w:val="1005"/>
        </w:numPr>
      </w:pPr>
      <w:r>
        <w:t xml:space="preserve">mask ratio</w:t>
      </w:r>
      <w:r>
        <w:t xml:space="preserve"> </w:t>
      </w:r>
      <m:oMath>
        <m:r>
          <m:t>ρ</m:t>
        </m:r>
        <m:r>
          <m:rPr>
            <m:sty m:val="p"/>
          </m:rPr>
          <m:t>∈</m:t>
        </m:r>
        <m:r>
          <m:rPr>
            <m:sty m:val="p"/>
          </m:rPr>
          <m:t>{</m:t>
        </m:r>
        <m:r>
          <m:t>0.2</m:t>
        </m:r>
        <m:r>
          <m:rPr>
            <m:sty m:val="p"/>
          </m:rPr>
          <m:t>,</m:t>
        </m:r>
        <m:r>
          <m:t>0.4</m:t>
        </m:r>
        <m:r>
          <m:rPr>
            <m:sty m:val="p"/>
          </m:rPr>
          <m:t>,</m:t>
        </m:r>
        <m:r>
          <m:t>0.6</m:t>
        </m:r>
        <m:r>
          <m:rPr>
            <m:sty m:val="p"/>
          </m:rPr>
          <m:t>}</m:t>
        </m:r>
      </m:oMath>
      <w:r>
        <w:t xml:space="preserve"> </w:t>
      </w:r>
      <w:r>
        <w:t xml:space="preserve">at patch length</w:t>
      </w:r>
      <w:r>
        <w:t xml:space="preserve"> </w:t>
      </w:r>
      <m:oMath>
        <m:r>
          <m:t>P</m:t>
        </m:r>
        <m:r>
          <m:rPr>
            <m:sty m:val="p"/>
          </m:rPr>
          <m:t>=</m:t>
        </m:r>
        <m:r>
          <m:t>16</m:t>
        </m:r>
      </m:oMath>
      <w:r>
        <w:t xml:space="preserve">,</w:t>
      </w:r>
    </w:p>
    <w:p>
      <w:pPr>
        <w:numPr>
          <w:ilvl w:val="0"/>
          <w:numId w:val="1005"/>
        </w:numPr>
      </w:pPr>
      <w:r>
        <w:t xml:space="preserve">patch length</w:t>
      </w:r>
      <w:r>
        <w:t xml:space="preserve"> </w:t>
      </w:r>
      <m:oMath>
        <m:r>
          <m:t>P</m:t>
        </m:r>
        <m:r>
          <m:rPr>
            <m:sty m:val="p"/>
          </m:rPr>
          <m:t>∈</m:t>
        </m:r>
        <m:r>
          <m:rPr>
            <m:sty m:val="p"/>
          </m:rPr>
          <m:t>{</m:t>
        </m:r>
        <m:r>
          <m:t>8</m:t>
        </m:r>
        <m:r>
          <m:rPr>
            <m:sty m:val="p"/>
          </m:rPr>
          <m:t>,</m:t>
        </m:r>
        <m:r>
          <m:t>16</m:t>
        </m:r>
        <m:r>
          <m:rPr>
            <m:sty m:val="p"/>
          </m:rPr>
          <m:t>,</m:t>
        </m:r>
        <m:r>
          <m:t>32</m:t>
        </m:r>
        <m:r>
          <m:rPr>
            <m:sty m:val="p"/>
          </m:rPr>
          <m:t>}</m:t>
        </m:r>
      </m:oMath>
      <w:r>
        <w:t xml:space="preserve"> </w:t>
      </w:r>
      <w:r>
        <w:t xml:space="preserve">at mask ratio</w:t>
      </w:r>
      <w:r>
        <w:t xml:space="preserve"> </w:t>
      </w:r>
      <m:oMath>
        <m:r>
          <m:t>ρ</m:t>
        </m:r>
        <m:r>
          <m:rPr>
            <m:sty m:val="p"/>
          </m:rPr>
          <m:t>=</m:t>
        </m:r>
        <m:r>
          <m:t>0.4</m:t>
        </m:r>
      </m:oMath>
      <w:r>
        <w:t xml:space="preserve">.</w:t>
      </w:r>
    </w:p>
    <w:bookmarkEnd w:id="51"/>
    <w:bookmarkEnd w:id="52"/>
    <w:bookmarkStart w:id="70" w:name="results"/>
    <w:p>
      <w:pPr>
        <w:pStyle w:val="Heading1"/>
      </w:pPr>
      <w:r>
        <w:t xml:space="preserve">Results</w:t>
      </w:r>
    </w:p>
    <w:bookmarkStart w:id="55" w:name="single-seed-baseline-seed-42"/>
    <w:p>
      <w:pPr>
        <w:pStyle w:val="Heading2"/>
      </w:pPr>
      <w:r>
        <w:t xml:space="preserve">Single-Seed Baseline (Seed = 42)</w:t>
      </w:r>
    </w:p>
    <w:p>
      <w:pPr>
        <w:pStyle w:val="FirstParagraph"/>
      </w:pPr>
      <w:r>
        <w:t xml:space="preserve">Table </w:t>
      </w:r>
      <w:hyperlink w:anchor="tab:mask_ablation">
        <w:r>
          <w:rPr>
            <w:rStyle w:val="Hyperlink"/>
          </w:rPr>
          <w:t xml:space="preserve">4</w:t>
        </w:r>
      </w:hyperlink>
      <w:r>
        <w:t xml:space="preserve"> </w:t>
      </w:r>
      <w:r>
        <w:t xml:space="preserve">and Table </w:t>
      </w:r>
      <w:hyperlink w:anchor="tab:patch_ablation">
        <w:r>
          <w:rPr>
            <w:rStyle w:val="Hyperlink"/>
          </w:rPr>
          <w:t xml:space="preserve">5</w:t>
        </w:r>
      </w:hyperlink>
      <w:r>
        <w:t xml:space="preserve"> </w:t>
      </w:r>
      <w:r>
        <w:t xml:space="preserve">summarize the deterministic baseline. In that single-seed baseline, patch length 8 produced a numerical instability (MSE</w:t>
      </w:r>
      <w:r>
        <w:t xml:space="preserve"> </w:t>
      </w:r>
      <m:oMath>
        <m:r>
          <m:rPr>
            <m:sty m:val="p"/>
          </m:rPr>
          <m:t>∼</m:t>
        </m:r>
        <m:sSup>
          <m:e>
            <m:r>
              <m:t>10</m:t>
            </m:r>
          </m:e>
          <m:sup>
            <m:r>
              <m:t>13</m:t>
            </m:r>
          </m:sup>
        </m:sSup>
      </m:oMath>
      <w:r>
        <w:t xml:space="preserve">).</w:t>
      </w:r>
    </w:p>
    <w:bookmarkStart w:id="53" w:name="tab:mask_ablation"/>
    <w:p>
      <w:pPr>
        <w:pStyle w:val="TableCaption"/>
      </w:pPr>
      <w:r>
        <w:t xml:space="preserve">Single-Seed Baseline: Mask-Ratio Ablation (Patch Length = 16)</w:t>
      </w:r>
    </w:p>
    <w:tbl>
      <w:tblPr>
        <w:tblStyle w:val="Table"/>
        <w:tblW w:type="auto" w:w="0"/>
        <w:tblLook w:firstRow="1" w:lastRow="0" w:firstColumn="0" w:lastColumn="0" w:noHBand="0" w:noVBand="0" w:val="0020"/>
        <w:tblCaption w:val="Single-Seed Baseline: Mask-Ratio Ablation (Patch Length = 16)"/>
      </w:tblPr>
      <w:tblGrid>
        <w:gridCol w:w="1980"/>
        <w:gridCol w:w="1980"/>
        <w:gridCol w:w="1980"/>
        <w:gridCol w:w="1980"/>
      </w:tblGrid>
      <w:tr>
        <w:trPr>
          <w:tblHeader w:val="on"/>
        </w:trPr>
        <w:tc>
          <w:tcPr/>
          <w:p>
            <w:pPr>
              <w:pStyle w:val="Compact"/>
              <w:jc w:val="center"/>
            </w:pPr>
            <w:r>
              <w:t xml:space="preserve">Mask Ratio</w:t>
            </w:r>
            <w:r>
              <w:t xml:space="preserve"> </w:t>
            </w:r>
            <m:oMath>
              <m:r>
                <m:t>ρ</m:t>
              </m:r>
            </m:oMath>
          </w:p>
        </w:tc>
        <w:tc>
          <w:tcPr/>
          <w:p>
            <w:pPr>
              <w:pStyle w:val="Compact"/>
              <w:jc w:val="center"/>
            </w:pPr>
            <w:r>
              <w:t xml:space="preserve">Steps</w:t>
            </w:r>
          </w:p>
        </w:tc>
        <w:tc>
          <w:tcPr/>
          <w:p>
            <w:pPr>
              <w:pStyle w:val="Compact"/>
              <w:jc w:val="center"/>
            </w:pPr>
            <w:r>
              <w:t xml:space="preserve">Masked MSE</w:t>
            </w:r>
          </w:p>
        </w:tc>
        <w:tc>
          <w:tcPr/>
          <w:p>
            <w:pPr>
              <w:pStyle w:val="Compact"/>
              <w:jc w:val="center"/>
            </w:pPr>
            <w:r>
              <w:t xml:space="preserve">Epoch Time (s)</w:t>
            </w:r>
          </w:p>
        </w:tc>
      </w:tr>
      <w:tr>
        <w:tc>
          <w:tcPr/>
          <w:p>
            <w:pPr>
              <w:pStyle w:val="Compact"/>
              <w:jc w:val="center"/>
            </w:pPr>
            <w:r>
              <w:t xml:space="preserve">0.2</w:t>
            </w:r>
          </w:p>
        </w:tc>
        <w:tc>
          <w:tcPr/>
          <w:p>
            <w:pPr>
              <w:pStyle w:val="Compact"/>
              <w:jc w:val="center"/>
            </w:pPr>
            <w:r>
              <w:t xml:space="preserve">20</w:t>
            </w:r>
          </w:p>
        </w:tc>
        <w:tc>
          <w:tcPr/>
          <w:p>
            <w:pPr>
              <w:pStyle w:val="Compact"/>
              <w:jc w:val="center"/>
            </w:pPr>
            <w:r>
              <w:t xml:space="preserve">0.3933</w:t>
            </w:r>
          </w:p>
        </w:tc>
        <w:tc>
          <w:tcPr/>
          <w:p>
            <w:pPr>
              <w:pStyle w:val="Compact"/>
              <w:jc w:val="center"/>
            </w:pPr>
            <w:r>
              <w:t xml:space="preserve">1.5883</w:t>
            </w:r>
          </w:p>
        </w:tc>
      </w:tr>
      <w:tr>
        <w:tc>
          <w:tcPr/>
          <w:p>
            <w:pPr>
              <w:pStyle w:val="Compact"/>
              <w:jc w:val="center"/>
            </w:pPr>
            <w:r>
              <w:t xml:space="preserve">0.4</w:t>
            </w:r>
          </w:p>
        </w:tc>
        <w:tc>
          <w:tcPr/>
          <w:p>
            <w:pPr>
              <w:pStyle w:val="Compact"/>
              <w:jc w:val="center"/>
            </w:pPr>
            <w:r>
              <w:t xml:space="preserve">20</w:t>
            </w:r>
          </w:p>
        </w:tc>
        <w:tc>
          <w:tcPr/>
          <w:p>
            <w:pPr>
              <w:pStyle w:val="Compact"/>
              <w:jc w:val="center"/>
            </w:pPr>
            <w:r>
              <w:t xml:space="preserve">0.4021</w:t>
            </w:r>
          </w:p>
        </w:tc>
        <w:tc>
          <w:tcPr/>
          <w:p>
            <w:pPr>
              <w:pStyle w:val="Compact"/>
              <w:jc w:val="center"/>
            </w:pPr>
            <w:r>
              <w:t xml:space="preserve">1.5940</w:t>
            </w:r>
          </w:p>
        </w:tc>
      </w:tr>
      <w:tr>
        <w:tc>
          <w:tcPr/>
          <w:p>
            <w:pPr>
              <w:pStyle w:val="Compact"/>
              <w:jc w:val="center"/>
            </w:pPr>
            <w:r>
              <w:t xml:space="preserve">0.6</w:t>
            </w:r>
          </w:p>
        </w:tc>
        <w:tc>
          <w:tcPr/>
          <w:p>
            <w:pPr>
              <w:pStyle w:val="Compact"/>
              <w:jc w:val="center"/>
            </w:pPr>
            <w:r>
              <w:t xml:space="preserve">20</w:t>
            </w:r>
          </w:p>
        </w:tc>
        <w:tc>
          <w:tcPr/>
          <w:p>
            <w:pPr>
              <w:pStyle w:val="Compact"/>
              <w:jc w:val="center"/>
            </w:pPr>
            <w:r>
              <w:t xml:space="preserve">0.4025</w:t>
            </w:r>
          </w:p>
        </w:tc>
        <w:tc>
          <w:tcPr/>
          <w:p>
            <w:pPr>
              <w:pStyle w:val="Compact"/>
              <w:jc w:val="center"/>
            </w:pPr>
            <w:r>
              <w:t xml:space="preserve">1.6166</w:t>
            </w:r>
          </w:p>
        </w:tc>
      </w:tr>
    </w:tbl>
    <w:bookmarkEnd w:id="53"/>
    <w:bookmarkStart w:id="54" w:name="tab:patch_ablation"/>
    <w:p>
      <w:pPr>
        <w:pStyle w:val="TableCaption"/>
      </w:pPr>
      <w:r>
        <w:t xml:space="preserve">Single-Seed Baseline: Patch-Length Ablation (Mask Ratio = 0.4)</w:t>
      </w:r>
    </w:p>
    <w:tbl>
      <w:tblPr>
        <w:tblStyle w:val="Table"/>
        <w:tblW w:type="auto" w:w="0"/>
        <w:tblLook w:firstRow="1" w:lastRow="0" w:firstColumn="0" w:lastColumn="0" w:noHBand="0" w:noVBand="0" w:val="0020"/>
        <w:tblCaption w:val="Single-Seed Baseline: Patch-Length Ablation (Mask Ratio = 0.4)"/>
      </w:tblPr>
      <w:tblGrid>
        <w:gridCol w:w="1320"/>
        <w:gridCol w:w="1320"/>
        <w:gridCol w:w="1320"/>
        <w:gridCol w:w="1320"/>
        <w:gridCol w:w="1320"/>
        <w:gridCol w:w="1320"/>
      </w:tblGrid>
      <w:tr>
        <w:trPr>
          <w:tblHeader w:val="on"/>
        </w:trPr>
        <w:tc>
          <w:tcPr/>
          <w:p>
            <w:pPr>
              <w:pStyle w:val="Compact"/>
              <w:jc w:val="center"/>
            </w:pPr>
            <w:r>
              <w:t xml:space="preserve">Patch</w:t>
            </w:r>
            <w:r>
              <w:t xml:space="preserve"> </w:t>
            </w:r>
            <m:oMath>
              <m:r>
                <m:t>P</m:t>
              </m:r>
            </m:oMath>
          </w:p>
        </w:tc>
        <w:tc>
          <w:tcPr/>
          <w:p>
            <w:pPr>
              <w:pStyle w:val="Compact"/>
              <w:jc w:val="center"/>
            </w:pPr>
            <w:r>
              <w:t xml:space="preserve">Tokens</w:t>
            </w:r>
            <w:r>
              <w:t xml:space="preserve"> </w:t>
            </w:r>
            <m:oMath>
              <m:r>
                <m:t>N</m:t>
              </m:r>
            </m:oMath>
          </w:p>
        </w:tc>
        <w:tc>
          <w:tcPr/>
          <w:p>
            <w:pPr>
              <w:pStyle w:val="Compact"/>
              <w:jc w:val="center"/>
            </w:pPr>
            <w:r>
              <w:t xml:space="preserve">Steps</w:t>
            </w:r>
          </w:p>
        </w:tc>
        <w:tc>
          <w:tcPr/>
          <w:p>
            <w:pPr>
              <w:pStyle w:val="Compact"/>
              <w:jc w:val="center"/>
            </w:pPr>
            <w:r>
              <w:t xml:space="preserve">Masked MSE</w:t>
            </w:r>
          </w:p>
        </w:tc>
        <w:tc>
          <w:tcPr/>
          <w:p>
            <w:pPr>
              <w:pStyle w:val="Compact"/>
              <w:jc w:val="center"/>
            </w:pPr>
            <w:r>
              <w:t xml:space="preserve">Epoch Time (s)</w:t>
            </w:r>
          </w:p>
        </w:tc>
        <w:tc>
          <w:tcPr/>
          <w:p>
            <w:pPr>
              <w:pStyle w:val="Compact"/>
              <w:jc w:val="center"/>
            </w:pPr>
            <w:r>
              <w:t xml:space="preserve">Token/s</w:t>
            </w:r>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20</w:t>
            </w:r>
          </w:p>
        </w:tc>
        <w:tc>
          <w:tcPr/>
          <w:p>
            <w:pPr>
              <w:pStyle w:val="Compact"/>
              <w:jc w:val="center"/>
            </w:pPr>
            <m:oMath>
              <m:r>
                <m:t>3.72</m:t>
              </m:r>
              <m:r>
                <m:rPr>
                  <m:sty m:val="p"/>
                </m:rPr>
                <m:t>×</m:t>
              </m:r>
              <m:sSup>
                <m:e>
                  <m:r>
                    <m:t>10</m:t>
                  </m:r>
                </m:e>
                <m:sup>
                  <m:r>
                    <m:t>13</m:t>
                  </m:r>
                </m:sup>
              </m:sSup>
            </m:oMath>
          </w:p>
        </w:tc>
        <w:tc>
          <w:tcPr/>
          <w:p>
            <w:pPr>
              <w:pStyle w:val="Compact"/>
              <w:jc w:val="center"/>
            </w:pPr>
            <w:r>
              <w:t xml:space="preserve">2.8254</w:t>
            </w:r>
          </w:p>
        </w:tc>
        <w:tc>
          <w:tcPr/>
          <w:p>
            <w:pPr>
              <w:pStyle w:val="Compact"/>
              <w:jc w:val="center"/>
            </w:pPr>
            <w:r>
              <w:t xml:space="preserve">14497.09</w:t>
            </w:r>
          </w:p>
        </w:tc>
      </w:tr>
      <w:tr>
        <w:tc>
          <w:tcPr/>
          <w:p>
            <w:pPr>
              <w:pStyle w:val="Compact"/>
              <w:jc w:val="center"/>
            </w:pPr>
            <w:r>
              <w:t xml:space="preserve">16</w:t>
            </w:r>
          </w:p>
        </w:tc>
        <w:tc>
          <w:tcPr/>
          <w:p>
            <w:pPr>
              <w:pStyle w:val="Compact"/>
              <w:jc w:val="center"/>
            </w:pPr>
            <w:r>
              <w:t xml:space="preserve">32</w:t>
            </w:r>
          </w:p>
        </w:tc>
        <w:tc>
          <w:tcPr/>
          <w:p>
            <w:pPr>
              <w:pStyle w:val="Compact"/>
              <w:jc w:val="center"/>
            </w:pPr>
            <w:r>
              <w:t xml:space="preserve">20</w:t>
            </w:r>
          </w:p>
        </w:tc>
        <w:tc>
          <w:tcPr/>
          <w:p>
            <w:pPr>
              <w:pStyle w:val="Compact"/>
              <w:jc w:val="center"/>
            </w:pPr>
            <w:r>
              <w:t xml:space="preserve">0.4021</w:t>
            </w:r>
          </w:p>
        </w:tc>
        <w:tc>
          <w:tcPr/>
          <w:p>
            <w:pPr>
              <w:pStyle w:val="Compact"/>
              <w:jc w:val="center"/>
            </w:pPr>
            <w:r>
              <w:t xml:space="preserve">1.5940</w:t>
            </w:r>
          </w:p>
        </w:tc>
        <w:tc>
          <w:tcPr/>
          <w:p>
            <w:pPr>
              <w:pStyle w:val="Compact"/>
              <w:jc w:val="center"/>
            </w:pPr>
            <w:r>
              <w:t xml:space="preserve">12848.49</w:t>
            </w:r>
          </w:p>
        </w:tc>
      </w:tr>
      <w:tr>
        <w:tc>
          <w:tcPr/>
          <w:p>
            <w:pPr>
              <w:pStyle w:val="Compact"/>
              <w:jc w:val="center"/>
            </w:pPr>
            <w:r>
              <w:t xml:space="preserve">32</w:t>
            </w:r>
          </w:p>
        </w:tc>
        <w:tc>
          <w:tcPr/>
          <w:p>
            <w:pPr>
              <w:pStyle w:val="Compact"/>
              <w:jc w:val="center"/>
            </w:pPr>
            <w:r>
              <w:t xml:space="preserve">16</w:t>
            </w:r>
          </w:p>
        </w:tc>
        <w:tc>
          <w:tcPr/>
          <w:p>
            <w:pPr>
              <w:pStyle w:val="Compact"/>
              <w:jc w:val="center"/>
            </w:pPr>
            <w:r>
              <w:t xml:space="preserve">20</w:t>
            </w:r>
          </w:p>
        </w:tc>
        <w:tc>
          <w:tcPr/>
          <w:p>
            <w:pPr>
              <w:pStyle w:val="Compact"/>
              <w:jc w:val="center"/>
            </w:pPr>
            <w:r>
              <w:t xml:space="preserve">0.3835</w:t>
            </w:r>
          </w:p>
        </w:tc>
        <w:tc>
          <w:tcPr/>
          <w:p>
            <w:pPr>
              <w:pStyle w:val="Compact"/>
              <w:jc w:val="center"/>
            </w:pPr>
            <w:r>
              <w:t xml:space="preserve">1.0392</w:t>
            </w:r>
          </w:p>
        </w:tc>
        <w:tc>
          <w:tcPr/>
          <w:p>
            <w:pPr>
              <w:pStyle w:val="Compact"/>
              <w:jc w:val="center"/>
            </w:pPr>
            <w:r>
              <w:t xml:space="preserve">9853.74</w:t>
            </w:r>
          </w:p>
        </w:tc>
      </w:tr>
    </w:tbl>
    <w:bookmarkEnd w:id="54"/>
    <w:bookmarkEnd w:id="55"/>
    <w:bookmarkStart w:id="57" w:name="multi-seed-mask-ratio-analysis"/>
    <w:p>
      <w:pPr>
        <w:pStyle w:val="Heading2"/>
      </w:pPr>
      <w:r>
        <w:t xml:space="preserve">Multi-Seed Mask-Ratio Analysis</w:t>
      </w:r>
    </w:p>
    <w:p>
      <w:pPr>
        <w:pStyle w:val="FirstParagraph"/>
      </w:pPr>
      <w:r>
        <w:t xml:space="preserve">Table </w:t>
      </w:r>
      <w:hyperlink w:anchor="tab:mask_multiseed">
        <w:r>
          <w:rPr>
            <w:rStyle w:val="Hyperlink"/>
          </w:rPr>
          <w:t xml:space="preserve">6</w:t>
        </w:r>
      </w:hyperlink>
      <w:r>
        <w:t xml:space="preserve"> </w:t>
      </w:r>
      <w:r>
        <w:t xml:space="preserve">shows that under</w:t>
      </w:r>
      <w:r>
        <w:t xml:space="preserve"> </w:t>
      </w:r>
      <m:oMath>
        <m:r>
          <m:t>n</m:t>
        </m:r>
        <m:r>
          <m:rPr>
            <m:sty m:val="p"/>
          </m:rPr>
          <m:t>=</m:t>
        </m:r>
        <m:r>
          <m:t>3</m:t>
        </m:r>
      </m:oMath>
      <w:r>
        <w:t xml:space="preserve"> </w:t>
      </w:r>
      <w:r>
        <w:t xml:space="preserve">seed-stratified repeats, the three tested mask ratios are close in mean loss. The ordering slightly favors</w:t>
      </w:r>
      <w:r>
        <w:t xml:space="preserve"> </w:t>
      </w:r>
      <m:oMath>
        <m:r>
          <m:t>ρ</m:t>
        </m:r>
        <m:r>
          <m:rPr>
            <m:sty m:val="p"/>
          </m:rPr>
          <m:t>=</m:t>
        </m:r>
        <m:r>
          <m:t>0.2</m:t>
        </m:r>
      </m:oMath>
      <w:r>
        <w:t xml:space="preserve">, but confidence intervals are wide relative to mean differences.</w:t>
      </w:r>
    </w:p>
    <w:bookmarkStart w:id="56" w:name="tab:mask_multiseed"/>
    <w:p>
      <w:pPr>
        <w:pStyle w:val="TableCaption"/>
      </w:pPr>
      <w:r>
        <w:t xml:space="preserve">Multi-Seed Mask-Ratio Results (</w:t>
      </w:r>
      <m:oMath>
        <m:r>
          <m:t>n</m:t>
        </m:r>
        <m:r>
          <m:rPr>
            <m:sty m:val="p"/>
          </m:rPr>
          <m:t>=</m:t>
        </m:r>
        <m:r>
          <m:t>3</m:t>
        </m:r>
      </m:oMath>
      <w:r>
        <w:t xml:space="preserve">, Patch Length = 16)</w:t>
      </w:r>
    </w:p>
    <w:tbl>
      <w:tblPr>
        <w:tblStyle w:val="Table"/>
        <w:tblW w:type="auto" w:w="0"/>
        <w:tblLook w:firstRow="1" w:lastRow="0" w:firstColumn="0" w:lastColumn="0" w:noHBand="0" w:noVBand="0" w:val="0020"/>
        <w:tblCaption w:val="Multi-Seed Mask-Ratio Results (n=3, Patch Length = 16)"/>
      </w:tblPr>
      <w:tblGrid>
        <w:gridCol w:w="1584"/>
        <w:gridCol w:w="1584"/>
        <w:gridCol w:w="1584"/>
        <w:gridCol w:w="1584"/>
        <w:gridCol w:w="1584"/>
      </w:tblGrid>
      <w:tr>
        <w:trPr>
          <w:tblHeader w:val="on"/>
        </w:trPr>
        <w:tc>
          <w:tcPr/>
          <w:p>
            <w:pPr>
              <w:pStyle w:val="Compact"/>
              <w:jc w:val="center"/>
            </w:pPr>
            <m:oMath>
              <m:r>
                <m:t>ρ</m:t>
              </m:r>
            </m:oMath>
          </w:p>
        </w:tc>
        <w:tc>
          <w:tcPr/>
          <w:p>
            <w:pPr>
              <w:pStyle w:val="Compact"/>
              <w:jc w:val="center"/>
            </w:pPr>
            <w:r>
              <w:t xml:space="preserve">Mean MSE</w:t>
            </w:r>
          </w:p>
        </w:tc>
        <w:tc>
          <w:tcPr/>
          <w:p>
            <w:pPr>
              <w:pStyle w:val="Compact"/>
              <w:jc w:val="center"/>
            </w:pPr>
            <w:r>
              <w:t xml:space="preserve">Std</w:t>
            </w:r>
          </w:p>
        </w:tc>
        <w:tc>
          <w:tcPr/>
          <w:p>
            <w:pPr>
              <w:pStyle w:val="Compact"/>
              <w:jc w:val="center"/>
            </w:pPr>
            <w:r>
              <w:t xml:space="preserve">CI</w:t>
            </w:r>
            <m:oMath>
              <m:sSub>
                <m:e>
                  <m:r>
                    <m:t>​</m:t>
                  </m:r>
                </m:e>
                <m:sub>
                  <m:r>
                    <m:t>95</m:t>
                  </m:r>
                </m:sub>
              </m:sSub>
            </m:oMath>
            <w:r>
              <w:t xml:space="preserve"> </w:t>
            </w:r>
            <w:r>
              <w:t xml:space="preserve">HW</w:t>
            </w:r>
          </w:p>
        </w:tc>
        <w:tc>
          <w:tcPr/>
          <w:p>
            <w:pPr>
              <w:pStyle w:val="Compact"/>
              <w:jc w:val="center"/>
            </w:pPr>
            <w:r>
              <w:t xml:space="preserve">Time (s)</w:t>
            </w:r>
          </w:p>
        </w:tc>
      </w:tr>
      <w:tr>
        <w:tc>
          <w:tcPr/>
          <w:p>
            <w:pPr>
              <w:pStyle w:val="Compact"/>
              <w:jc w:val="center"/>
            </w:pPr>
            <w:r>
              <w:t xml:space="preserve">0.2</w:t>
            </w:r>
          </w:p>
        </w:tc>
        <w:tc>
          <w:tcPr/>
          <w:p>
            <w:pPr>
              <w:pStyle w:val="Compact"/>
              <w:jc w:val="center"/>
            </w:pPr>
            <w:r>
              <w:t xml:space="preserve">0.3721</w:t>
            </w:r>
          </w:p>
        </w:tc>
        <w:tc>
          <w:tcPr/>
          <w:p>
            <w:pPr>
              <w:pStyle w:val="Compact"/>
              <w:jc w:val="center"/>
            </w:pPr>
            <w:r>
              <w:t xml:space="preserve">0.0356</w:t>
            </w:r>
          </w:p>
        </w:tc>
        <w:tc>
          <w:tcPr/>
          <w:p>
            <w:pPr>
              <w:pStyle w:val="Compact"/>
              <w:jc w:val="center"/>
            </w:pPr>
            <w:r>
              <w:t xml:space="preserve">0.2614</w:t>
            </w:r>
          </w:p>
        </w:tc>
        <w:tc>
          <w:tcPr/>
          <w:p>
            <w:pPr>
              <w:pStyle w:val="Compact"/>
              <w:jc w:val="center"/>
            </w:pPr>
            <w:r>
              <w:t xml:space="preserve">1.5550</w:t>
            </w:r>
          </w:p>
        </w:tc>
      </w:tr>
      <w:tr>
        <w:tc>
          <w:tcPr/>
          <w:p>
            <w:pPr>
              <w:pStyle w:val="Compact"/>
              <w:jc w:val="center"/>
            </w:pPr>
            <w:r>
              <w:t xml:space="preserve">0.4</w:t>
            </w:r>
          </w:p>
        </w:tc>
        <w:tc>
          <w:tcPr/>
          <w:p>
            <w:pPr>
              <w:pStyle w:val="Compact"/>
              <w:jc w:val="center"/>
            </w:pPr>
            <w:r>
              <w:t xml:space="preserve">0.3752</w:t>
            </w:r>
          </w:p>
        </w:tc>
        <w:tc>
          <w:tcPr/>
          <w:p>
            <w:pPr>
              <w:pStyle w:val="Compact"/>
              <w:jc w:val="center"/>
            </w:pPr>
            <w:r>
              <w:t xml:space="preserve">0.0375</w:t>
            </w:r>
          </w:p>
        </w:tc>
        <w:tc>
          <w:tcPr/>
          <w:p>
            <w:pPr>
              <w:pStyle w:val="Compact"/>
              <w:jc w:val="center"/>
            </w:pPr>
            <w:r>
              <w:t xml:space="preserve">0.2749</w:t>
            </w:r>
          </w:p>
        </w:tc>
        <w:tc>
          <w:tcPr/>
          <w:p>
            <w:pPr>
              <w:pStyle w:val="Compact"/>
              <w:jc w:val="center"/>
            </w:pPr>
            <w:r>
              <w:t xml:space="preserve">1.4751</w:t>
            </w:r>
          </w:p>
        </w:tc>
      </w:tr>
      <w:tr>
        <w:tc>
          <w:tcPr/>
          <w:p>
            <w:pPr>
              <w:pStyle w:val="Compact"/>
              <w:jc w:val="center"/>
            </w:pPr>
            <w:r>
              <w:t xml:space="preserve">0.6</w:t>
            </w:r>
          </w:p>
        </w:tc>
        <w:tc>
          <w:tcPr/>
          <w:p>
            <w:pPr>
              <w:pStyle w:val="Compact"/>
              <w:jc w:val="center"/>
            </w:pPr>
            <w:r>
              <w:t xml:space="preserve">0.3757</w:t>
            </w:r>
          </w:p>
        </w:tc>
        <w:tc>
          <w:tcPr/>
          <w:p>
            <w:pPr>
              <w:pStyle w:val="Compact"/>
              <w:jc w:val="center"/>
            </w:pPr>
            <w:r>
              <w:t xml:space="preserve">0.0385</w:t>
            </w:r>
          </w:p>
        </w:tc>
        <w:tc>
          <w:tcPr/>
          <w:p>
            <w:pPr>
              <w:pStyle w:val="Compact"/>
              <w:jc w:val="center"/>
            </w:pPr>
            <w:r>
              <w:t xml:space="preserve">0.2822</w:t>
            </w:r>
          </w:p>
        </w:tc>
        <w:tc>
          <w:tcPr/>
          <w:p>
            <w:pPr>
              <w:pStyle w:val="Compact"/>
              <w:jc w:val="center"/>
            </w:pPr>
            <w:r>
              <w:t xml:space="preserve">1.4642</w:t>
            </w:r>
          </w:p>
        </w:tc>
      </w:tr>
    </w:tbl>
    <w:bookmarkEnd w:id="56"/>
    <w:bookmarkEnd w:id="57"/>
    <w:bookmarkStart w:id="59" w:name="multi-seed-patch-length-analysis"/>
    <w:p>
      <w:pPr>
        <w:pStyle w:val="Heading2"/>
      </w:pPr>
      <w:r>
        <w:t xml:space="preserve">Multi-Seed Patch-Length Analysis</w:t>
      </w:r>
    </w:p>
    <w:p>
      <w:pPr>
        <w:pStyle w:val="FirstParagraph"/>
      </w:pPr>
      <w:r>
        <w:t xml:space="preserve">Table </w:t>
      </w:r>
      <w:hyperlink w:anchor="tab:patch_multiseed">
        <w:r>
          <w:rPr>
            <w:rStyle w:val="Hyperlink"/>
          </w:rPr>
          <w:t xml:space="preserve">7</w:t>
        </w:r>
      </w:hyperlink>
      <w:r>
        <w:t xml:space="preserve"> </w:t>
      </w:r>
      <w:r>
        <w:t xml:space="preserve">indicates that</w:t>
      </w:r>
      <w:r>
        <w:t xml:space="preserve"> </w:t>
      </w:r>
      <m:oMath>
        <m:r>
          <m:t>P</m:t>
        </m:r>
        <m:r>
          <m:rPr>
            <m:sty m:val="p"/>
          </m:rPr>
          <m:t>=</m:t>
        </m:r>
        <m:r>
          <m:t>32</m:t>
        </m:r>
      </m:oMath>
      <w:r>
        <w:t xml:space="preserve"> </w:t>
      </w:r>
      <w:r>
        <w:t xml:space="preserve">gives the lowest mean masked MSE and the shortest epoch time among tested patch sizes. Patch length 8 remains the worst mean objective and slowest runtime.</w:t>
      </w:r>
    </w:p>
    <w:bookmarkStart w:id="58" w:name="tab:patch_multiseed"/>
    <w:p>
      <w:pPr>
        <w:pStyle w:val="TableCaption"/>
      </w:pPr>
      <w:r>
        <w:t xml:space="preserve">Multi-Seed Patch-Length Results (</w:t>
      </w:r>
      <m:oMath>
        <m:r>
          <m:t>n</m:t>
        </m:r>
        <m:r>
          <m:rPr>
            <m:sty m:val="p"/>
          </m:rPr>
          <m:t>=</m:t>
        </m:r>
        <m:r>
          <m:t>3</m:t>
        </m:r>
      </m:oMath>
      <w:r>
        <w:t xml:space="preserve">, Mask Ratio = 0.4)</w:t>
      </w:r>
    </w:p>
    <w:tbl>
      <w:tblPr>
        <w:tblStyle w:val="Table"/>
        <w:tblW w:type="auto" w:w="0"/>
        <w:tblLook w:firstRow="1" w:lastRow="0" w:firstColumn="0" w:lastColumn="0" w:noHBand="0" w:noVBand="0" w:val="0020"/>
        <w:tblCaption w:val="Multi-Seed Patch-Length Results (n=3, Mask Ratio = 0.4)"/>
      </w:tblPr>
      <w:tblGrid>
        <w:gridCol w:w="1320"/>
        <w:gridCol w:w="1320"/>
        <w:gridCol w:w="1320"/>
        <w:gridCol w:w="1320"/>
        <w:gridCol w:w="1320"/>
        <w:gridCol w:w="1320"/>
      </w:tblGrid>
      <w:tr>
        <w:trPr>
          <w:tblHeader w:val="on"/>
        </w:trPr>
        <w:tc>
          <w:tcPr/>
          <w:p>
            <w:pPr>
              <w:pStyle w:val="Compact"/>
              <w:jc w:val="center"/>
            </w:pPr>
            <m:oMath>
              <m:r>
                <m:t>P</m:t>
              </m:r>
            </m:oMath>
          </w:p>
        </w:tc>
        <w:tc>
          <w:tcPr/>
          <w:p>
            <w:pPr>
              <w:pStyle w:val="Compact"/>
              <w:jc w:val="center"/>
            </w:pPr>
            <m:oMath>
              <m:r>
                <m:t>N</m:t>
              </m:r>
            </m:oMath>
          </w:p>
        </w:tc>
        <w:tc>
          <w:tcPr/>
          <w:p>
            <w:pPr>
              <w:pStyle w:val="Compact"/>
              <w:jc w:val="center"/>
            </w:pPr>
            <w:r>
              <w:t xml:space="preserve">Mean MSE</w:t>
            </w:r>
          </w:p>
        </w:tc>
        <w:tc>
          <w:tcPr/>
          <w:p>
            <w:pPr>
              <w:pStyle w:val="Compact"/>
              <w:jc w:val="center"/>
            </w:pPr>
            <w:r>
              <w:t xml:space="preserve">CI</w:t>
            </w:r>
            <m:oMath>
              <m:sSub>
                <m:e>
                  <m:r>
                    <m:t>​</m:t>
                  </m:r>
                </m:e>
                <m:sub>
                  <m:r>
                    <m:t>95</m:t>
                  </m:r>
                </m:sub>
              </m:sSub>
            </m:oMath>
            <w:r>
              <w:t xml:space="preserve"> </w:t>
            </w:r>
            <w:r>
              <w:t xml:space="preserve">HW</w:t>
            </w:r>
          </w:p>
        </w:tc>
        <w:tc>
          <w:tcPr/>
          <w:p>
            <w:pPr>
              <w:pStyle w:val="Compact"/>
              <w:jc w:val="center"/>
            </w:pPr>
            <w:r>
              <w:t xml:space="preserve">Time (s)</w:t>
            </w:r>
          </w:p>
        </w:tc>
        <w:tc>
          <w:tcPr/>
          <w:p>
            <w:pPr>
              <w:pStyle w:val="Compact"/>
              <w:jc w:val="center"/>
            </w:pPr>
            <w:r>
              <w:t xml:space="preserve">Token/s</w:t>
            </w:r>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0.3934</w:t>
            </w:r>
          </w:p>
        </w:tc>
        <w:tc>
          <w:tcPr/>
          <w:p>
            <w:pPr>
              <w:pStyle w:val="Compact"/>
              <w:jc w:val="center"/>
            </w:pPr>
            <w:r>
              <w:t xml:space="preserve">0.4485</w:t>
            </w:r>
          </w:p>
        </w:tc>
        <w:tc>
          <w:tcPr/>
          <w:p>
            <w:pPr>
              <w:pStyle w:val="Compact"/>
              <w:jc w:val="center"/>
            </w:pPr>
            <w:r>
              <w:t xml:space="preserve">2.6162</w:t>
            </w:r>
          </w:p>
        </w:tc>
        <w:tc>
          <w:tcPr/>
          <w:p>
            <w:pPr>
              <w:pStyle w:val="Compact"/>
              <w:jc w:val="center"/>
            </w:pPr>
            <w:r>
              <w:t xml:space="preserve">15656.90</w:t>
            </w:r>
          </w:p>
        </w:tc>
      </w:tr>
      <w:tr>
        <w:tc>
          <w:tcPr/>
          <w:p>
            <w:pPr>
              <w:pStyle w:val="Compact"/>
              <w:jc w:val="center"/>
            </w:pPr>
            <w:r>
              <w:t xml:space="preserve">16</w:t>
            </w:r>
          </w:p>
        </w:tc>
        <w:tc>
          <w:tcPr/>
          <w:p>
            <w:pPr>
              <w:pStyle w:val="Compact"/>
              <w:jc w:val="center"/>
            </w:pPr>
            <w:r>
              <w:t xml:space="preserve">32</w:t>
            </w:r>
          </w:p>
        </w:tc>
        <w:tc>
          <w:tcPr/>
          <w:p>
            <w:pPr>
              <w:pStyle w:val="Compact"/>
              <w:jc w:val="center"/>
            </w:pPr>
            <w:r>
              <w:t xml:space="preserve">0.3752</w:t>
            </w:r>
          </w:p>
        </w:tc>
        <w:tc>
          <w:tcPr/>
          <w:p>
            <w:pPr>
              <w:pStyle w:val="Compact"/>
              <w:jc w:val="center"/>
            </w:pPr>
            <w:r>
              <w:t xml:space="preserve">0.2749</w:t>
            </w:r>
          </w:p>
        </w:tc>
        <w:tc>
          <w:tcPr/>
          <w:p>
            <w:pPr>
              <w:pStyle w:val="Compact"/>
              <w:jc w:val="center"/>
            </w:pPr>
            <w:r>
              <w:t xml:space="preserve">1.4751</w:t>
            </w:r>
          </w:p>
        </w:tc>
        <w:tc>
          <w:tcPr/>
          <w:p>
            <w:pPr>
              <w:pStyle w:val="Compact"/>
              <w:jc w:val="center"/>
            </w:pPr>
            <w:r>
              <w:t xml:space="preserve">13884.19</w:t>
            </w:r>
          </w:p>
        </w:tc>
      </w:tr>
      <w:tr>
        <w:tc>
          <w:tcPr/>
          <w:p>
            <w:pPr>
              <w:pStyle w:val="Compact"/>
              <w:jc w:val="center"/>
            </w:pPr>
            <w:r>
              <w:t xml:space="preserve">32</w:t>
            </w:r>
          </w:p>
        </w:tc>
        <w:tc>
          <w:tcPr/>
          <w:p>
            <w:pPr>
              <w:pStyle w:val="Compact"/>
              <w:jc w:val="center"/>
            </w:pPr>
            <w:r>
              <w:t xml:space="preserve">16</w:t>
            </w:r>
          </w:p>
        </w:tc>
        <w:tc>
          <w:tcPr/>
          <w:p>
            <w:pPr>
              <w:pStyle w:val="Compact"/>
              <w:jc w:val="center"/>
            </w:pPr>
            <w:r>
              <w:t xml:space="preserve">0.3651</w:t>
            </w:r>
          </w:p>
        </w:tc>
        <w:tc>
          <w:tcPr/>
          <w:p>
            <w:pPr>
              <w:pStyle w:val="Compact"/>
              <w:jc w:val="center"/>
            </w:pPr>
            <w:r>
              <w:t xml:space="preserve">0.1628</w:t>
            </w:r>
          </w:p>
        </w:tc>
        <w:tc>
          <w:tcPr/>
          <w:p>
            <w:pPr>
              <w:pStyle w:val="Compact"/>
              <w:jc w:val="center"/>
            </w:pPr>
            <w:r>
              <w:t xml:space="preserve">0.8941</w:t>
            </w:r>
          </w:p>
        </w:tc>
        <w:tc>
          <w:tcPr/>
          <w:p>
            <w:pPr>
              <w:pStyle w:val="Compact"/>
              <w:jc w:val="center"/>
            </w:pPr>
            <w:r>
              <w:t xml:space="preserve">11458.53</w:t>
            </w:r>
          </w:p>
        </w:tc>
      </w:tr>
    </w:tbl>
    <w:bookmarkEnd w:id="58"/>
    <w:bookmarkEnd w:id="59"/>
    <w:bookmarkStart w:id="61" w:name="X589b2b03f70bc4ccb1082e532a2f33117690a70"/>
    <w:p>
      <w:pPr>
        <w:pStyle w:val="Heading2"/>
      </w:pPr>
      <w:r>
        <w:t xml:space="preserve">Effect-Size View Relative to Baseline Configuration</w:t>
      </w:r>
    </w:p>
    <w:p>
      <w:pPr>
        <w:pStyle w:val="FirstParagraph"/>
      </w:pPr>
      <w:r>
        <w:t xml:space="preserve">Using</w:t>
      </w:r>
      <w:r>
        <w:t xml:space="preserve"> </w:t>
      </w:r>
      <m:oMath>
        <m:d>
          <m:dPr>
            <m:begChr m:val="("/>
            <m:endChr m:val=")"/>
            <m:sepChr m:val=""/>
            <m:grow/>
          </m:dPr>
          <m:e>
            <m:r>
              <m:t>P</m:t>
            </m:r>
            <m:r>
              <m:rPr>
                <m:sty m:val="p"/>
              </m:rPr>
              <m:t>=</m:t>
            </m:r>
            <m:r>
              <m:t>16</m:t>
            </m:r>
            <m:r>
              <m:rPr>
                <m:sty m:val="p"/>
              </m:rPr>
              <m:t>,</m:t>
            </m:r>
            <m:r>
              <m:t>ρ</m:t>
            </m:r>
            <m:r>
              <m:rPr>
                <m:sty m:val="p"/>
              </m:rPr>
              <m:t>=</m:t>
            </m:r>
            <m:r>
              <m:t>0.4</m:t>
            </m:r>
          </m:e>
        </m:d>
      </m:oMath>
      <w:r>
        <w:t xml:space="preserve"> </w:t>
      </w:r>
      <w:r>
        <w:t xml:space="preserve">as baseline, Table </w:t>
      </w:r>
      <w:hyperlink w:anchor="tab:effects">
        <w:r>
          <w:rPr>
            <w:rStyle w:val="Hyperlink"/>
          </w:rPr>
          <w:t xml:space="preserve">8</w:t>
        </w:r>
      </w:hyperlink>
      <w:r>
        <w:t xml:space="preserve"> </w:t>
      </w:r>
      <w:r>
        <w:t xml:space="preserve">reports relative effects. Patch length changes dominate mask-ratio changes in this budget.</w:t>
      </w:r>
    </w:p>
    <w:bookmarkStart w:id="60" w:name="tab:effects"/>
    <w:p>
      <w:pPr>
        <w:pStyle w:val="TableCaption"/>
      </w:pPr>
      <w:r>
        <w:t xml:space="preserve">Relative Effects vs Baseline</w:t>
      </w:r>
      <w:r>
        <w:t xml:space="preserve"> </w:t>
      </w:r>
      <m:oMath>
        <m:d>
          <m:dPr>
            <m:begChr m:val="("/>
            <m:endChr m:val=")"/>
            <m:sepChr m:val=""/>
            <m:grow/>
          </m:dPr>
          <m:e>
            <m:r>
              <m:t>P</m:t>
            </m:r>
            <m:r>
              <m:rPr>
                <m:sty m:val="p"/>
              </m:rPr>
              <m:t>=</m:t>
            </m:r>
            <m:r>
              <m:t>16</m:t>
            </m:r>
            <m:r>
              <m:rPr>
                <m:sty m:val="p"/>
              </m:rPr>
              <m:t>,</m:t>
            </m:r>
            <m:r>
              <m:t>ρ</m:t>
            </m:r>
            <m:r>
              <m:rPr>
                <m:sty m:val="p"/>
              </m:rPr>
              <m:t>=</m:t>
            </m:r>
            <m:r>
              <m:t>0.4</m:t>
            </m:r>
          </m:e>
        </m:d>
      </m:oMath>
    </w:p>
    <w:tbl>
      <w:tblPr>
        <w:tblStyle w:val="Table"/>
        <w:tblW w:type="auto" w:w="0"/>
        <w:tblLook w:firstRow="1" w:lastRow="0" w:firstColumn="0" w:lastColumn="0" w:noHBand="0" w:noVBand="0" w:val="0020"/>
        <w:tblCaption w:val="Relative Effects vs Baseline (P=16,\rho=0.4)"/>
      </w:tblPr>
      <w:tblGrid>
        <w:gridCol w:w="2640"/>
        <w:gridCol w:w="2640"/>
        <w:gridCol w:w="2640"/>
      </w:tblGrid>
      <w:tr>
        <w:trPr>
          <w:tblHeader w:val="on"/>
        </w:trPr>
        <w:tc>
          <w:tcPr/>
          <w:p>
            <w:pPr>
              <w:pStyle w:val="Compact"/>
              <w:jc w:val="left"/>
            </w:pPr>
            <w:r>
              <w:t xml:space="preserve">Setting</w:t>
            </w:r>
          </w:p>
        </w:tc>
        <w:tc>
          <w:tcPr/>
          <w:p>
            <w:pPr>
              <w:pStyle w:val="Compact"/>
              <w:jc w:val="center"/>
            </w:pPr>
            <m:oMath>
              <m:r>
                <m:t>Δ</m:t>
              </m:r>
            </m:oMath>
            <w:r>
              <w:t xml:space="preserve">MSE (%)</w:t>
            </w:r>
          </w:p>
        </w:tc>
        <w:tc>
          <w:tcPr/>
          <w:p>
            <w:pPr>
              <w:pStyle w:val="Compact"/>
              <w:jc w:val="center"/>
            </w:pPr>
            <w:r>
              <w:t xml:space="preserve">Time Ratio</w:t>
            </w:r>
          </w:p>
        </w:tc>
      </w:tr>
      <w:tr>
        <w:tc>
          <w:tcPr/>
          <w:p>
            <w:pPr>
              <w:pStyle w:val="Compact"/>
              <w:jc w:val="left"/>
            </w:pPr>
            <m:oMath>
              <m:r>
                <m:t>ρ</m:t>
              </m:r>
              <m:r>
                <m:rPr>
                  <m:sty m:val="p"/>
                </m:rPr>
                <m:t>=</m:t>
              </m:r>
              <m:r>
                <m:t>0.2</m:t>
              </m:r>
            </m:oMath>
            <w:r>
              <w:t xml:space="preserve">,</w:t>
            </w:r>
            <w:r>
              <w:t xml:space="preserve"> </w:t>
            </w:r>
            <m:oMath>
              <m:r>
                <m:t>P</m:t>
              </m:r>
              <m:r>
                <m:rPr>
                  <m:sty m:val="p"/>
                </m:rPr>
                <m:t>=</m:t>
              </m:r>
              <m:r>
                <m:t>16</m:t>
              </m:r>
            </m:oMath>
          </w:p>
        </w:tc>
        <w:tc>
          <w:tcPr/>
          <w:p>
            <w:pPr>
              <w:pStyle w:val="Compact"/>
              <w:jc w:val="center"/>
            </w:pPr>
            <m:oMath>
              <m:r>
                <m:rPr>
                  <m:sty m:val="p"/>
                </m:rPr>
                <m:t>−</m:t>
              </m:r>
              <m:r>
                <m:t>0.84</m:t>
              </m:r>
            </m:oMath>
          </w:p>
        </w:tc>
        <w:tc>
          <w:tcPr/>
          <w:p>
            <w:pPr>
              <w:pStyle w:val="Compact"/>
              <w:jc w:val="center"/>
            </w:pPr>
            <w:r>
              <w:t xml:space="preserve">1.05</w:t>
            </w:r>
          </w:p>
        </w:tc>
      </w:tr>
      <w:tr>
        <w:tc>
          <w:tcPr/>
          <w:p>
            <w:pPr>
              <w:pStyle w:val="Compact"/>
              <w:jc w:val="left"/>
            </w:pPr>
            <m:oMath>
              <m:r>
                <m:t>ρ</m:t>
              </m:r>
              <m:r>
                <m:rPr>
                  <m:sty m:val="p"/>
                </m:rPr>
                <m:t>=</m:t>
              </m:r>
              <m:r>
                <m:t>0.6</m:t>
              </m:r>
            </m:oMath>
            <w:r>
              <w:t xml:space="preserve">,</w:t>
            </w:r>
            <w:r>
              <w:t xml:space="preserve"> </w:t>
            </w:r>
            <m:oMath>
              <m:r>
                <m:t>P</m:t>
              </m:r>
              <m:r>
                <m:rPr>
                  <m:sty m:val="p"/>
                </m:rPr>
                <m:t>=</m:t>
              </m:r>
              <m:r>
                <m:t>16</m:t>
              </m:r>
            </m:oMath>
          </w:p>
        </w:tc>
        <w:tc>
          <w:tcPr/>
          <w:p>
            <w:pPr>
              <w:pStyle w:val="Compact"/>
              <w:jc w:val="center"/>
            </w:pPr>
            <m:oMath>
              <m:r>
                <m:rPr>
                  <m:sty m:val="p"/>
                </m:rPr>
                <m:t>+</m:t>
              </m:r>
              <m:r>
                <m:t>0.12</m:t>
              </m:r>
            </m:oMath>
          </w:p>
        </w:tc>
        <w:tc>
          <w:tcPr/>
          <w:p>
            <w:pPr>
              <w:pStyle w:val="Compact"/>
              <w:jc w:val="center"/>
            </w:pPr>
            <w:r>
              <w:t xml:space="preserve">0.99</w:t>
            </w:r>
          </w:p>
        </w:tc>
      </w:tr>
      <w:tr>
        <w:tc>
          <w:tcPr/>
          <w:p>
            <w:pPr>
              <w:pStyle w:val="Compact"/>
              <w:jc w:val="left"/>
            </w:pPr>
            <m:oMath>
              <m:r>
                <m:t>ρ</m:t>
              </m:r>
              <m:r>
                <m:rPr>
                  <m:sty m:val="p"/>
                </m:rPr>
                <m:t>=</m:t>
              </m:r>
              <m:r>
                <m:t>0.4</m:t>
              </m:r>
            </m:oMath>
            <w:r>
              <w:t xml:space="preserve">,</w:t>
            </w:r>
            <w:r>
              <w:t xml:space="preserve"> </w:t>
            </w:r>
            <m:oMath>
              <m:r>
                <m:t>P</m:t>
              </m:r>
              <m:r>
                <m:rPr>
                  <m:sty m:val="p"/>
                </m:rPr>
                <m:t>=</m:t>
              </m:r>
              <m:r>
                <m:t>8</m:t>
              </m:r>
            </m:oMath>
          </w:p>
        </w:tc>
        <w:tc>
          <w:tcPr/>
          <w:p>
            <w:pPr>
              <w:pStyle w:val="Compact"/>
              <w:jc w:val="center"/>
            </w:pPr>
            <m:oMath>
              <m:r>
                <m:rPr>
                  <m:sty m:val="p"/>
                </m:rPr>
                <m:t>+</m:t>
              </m:r>
              <m:r>
                <m:t>4.83</m:t>
              </m:r>
            </m:oMath>
          </w:p>
        </w:tc>
        <w:tc>
          <w:tcPr/>
          <w:p>
            <w:pPr>
              <w:pStyle w:val="Compact"/>
              <w:jc w:val="center"/>
            </w:pPr>
            <w:r>
              <w:t xml:space="preserve">1.77</w:t>
            </w:r>
          </w:p>
        </w:tc>
      </w:tr>
      <w:tr>
        <w:tc>
          <w:tcPr/>
          <w:p>
            <w:pPr>
              <w:pStyle w:val="Compact"/>
              <w:jc w:val="left"/>
            </w:pPr>
            <m:oMath>
              <m:r>
                <m:t>ρ</m:t>
              </m:r>
              <m:r>
                <m:rPr>
                  <m:sty m:val="p"/>
                </m:rPr>
                <m:t>=</m:t>
              </m:r>
              <m:r>
                <m:t>0.4</m:t>
              </m:r>
            </m:oMath>
            <w:r>
              <w:t xml:space="preserve">,</w:t>
            </w:r>
            <w:r>
              <w:t xml:space="preserve"> </w:t>
            </w:r>
            <m:oMath>
              <m:r>
                <m:t>P</m:t>
              </m:r>
              <m:r>
                <m:rPr>
                  <m:sty m:val="p"/>
                </m:rPr>
                <m:t>=</m:t>
              </m:r>
              <m:r>
                <m:t>32</m:t>
              </m:r>
            </m:oMath>
          </w:p>
        </w:tc>
        <w:tc>
          <w:tcPr/>
          <w:p>
            <w:pPr>
              <w:pStyle w:val="Compact"/>
              <w:jc w:val="center"/>
            </w:pPr>
            <m:oMath>
              <m:r>
                <m:rPr>
                  <m:sty m:val="p"/>
                </m:rPr>
                <m:t>−</m:t>
              </m:r>
              <m:r>
                <m:t>2.71</m:t>
              </m:r>
            </m:oMath>
          </w:p>
        </w:tc>
        <w:tc>
          <w:tcPr/>
          <w:p>
            <w:pPr>
              <w:pStyle w:val="Compact"/>
              <w:jc w:val="center"/>
            </w:pPr>
            <w:r>
              <w:t xml:space="preserve">0.61</w:t>
            </w:r>
          </w:p>
        </w:tc>
      </w:tr>
    </w:tbl>
    <w:bookmarkEnd w:id="60"/>
    <w:bookmarkEnd w:id="61"/>
    <w:bookmarkStart w:id="62" w:name="outlier-reconciliation"/>
    <w:p>
      <w:pPr>
        <w:pStyle w:val="Heading2"/>
      </w:pPr>
      <w:r>
        <w:t xml:space="preserve">Outlier Reconciliation</w:t>
      </w:r>
    </w:p>
    <w:p>
      <w:pPr>
        <w:pStyle w:val="FirstParagraph"/>
      </w:pPr>
      <w:r>
        <w:t xml:space="preserve">The single-seed baseline recorded a catastrophic</w:t>
      </w:r>
      <w:r>
        <w:t xml:space="preserve"> </w:t>
      </w:r>
      <m:oMath>
        <m:r>
          <m:t>P</m:t>
        </m:r>
        <m:r>
          <m:rPr>
            <m:sty m:val="p"/>
          </m:rPr>
          <m:t>=</m:t>
        </m:r>
        <m:r>
          <m:t>8</m:t>
        </m:r>
      </m:oMath>
      <w:r>
        <w:t xml:space="preserve"> </w:t>
      </w:r>
      <w:r>
        <w:t xml:space="preserve">outlier. The multi-seed protocol did not reproduce that failure at the same scale. This suggests an interaction among the sampled synthetic rows, parameter initialization, and the limited step budget, rather than an invariant deficiency of</w:t>
      </w:r>
      <w:r>
        <w:t xml:space="preserve"> </w:t>
      </w:r>
      <m:oMath>
        <m:r>
          <m:t>P</m:t>
        </m:r>
        <m:r>
          <m:rPr>
            <m:sty m:val="p"/>
          </m:rPr>
          <m:t>=</m:t>
        </m:r>
        <m:r>
          <m:t>8</m:t>
        </m:r>
      </m:oMath>
      <w:r>
        <w:t xml:space="preserve">. Under this budget,</w:t>
      </w:r>
      <w:r>
        <w:t xml:space="preserve"> </w:t>
      </w:r>
      <m:oMath>
        <m:r>
          <m:t>P</m:t>
        </m:r>
        <m:r>
          <m:rPr>
            <m:sty m:val="p"/>
          </m:rPr>
          <m:t>=</m:t>
        </m:r>
        <m:r>
          <m:t>8</m:t>
        </m:r>
      </m:oMath>
      <w:r>
        <w:t xml:space="preserve"> </w:t>
      </w:r>
      <w:r>
        <w:t xml:space="preserve">remains less favorable than 16 and 32.</w:t>
      </w:r>
    </w:p>
    <w:bookmarkEnd w:id="62"/>
    <w:bookmarkStart w:id="63" w:name="compute-normalized-interpretation"/>
    <w:p>
      <w:pPr>
        <w:pStyle w:val="Heading2"/>
      </w:pPr>
      <w:r>
        <w:t xml:space="preserve">Compute-Normalized Interpretation</w:t>
      </w:r>
    </w:p>
    <w:p>
      <w:pPr>
        <w:pStyle w:val="FirstParagraph"/>
      </w:pPr>
      <w:r>
        <w:t xml:space="preserve">The empirical results are consistent with the objective in</w:t>
      </w:r>
      <w:r>
        <w:t xml:space="preserve"> </w:t>
      </w:r>
      <w:hyperlink w:anchor="eq:compute_obj">
        <w:r>
          <w:rPr>
            <w:rStyle w:val="Hyperlink"/>
          </w:rPr>
          <w:t xml:space="preserve">[eq:compute_obj]</w:t>
        </w:r>
      </w:hyperlink>
      <w:r>
        <w:t xml:space="preserve">. Relative to baseline</w:t>
      </w:r>
      <w:r>
        <w:t xml:space="preserve"> </w:t>
      </w:r>
      <m:oMath>
        <m:d>
          <m:dPr>
            <m:begChr m:val="("/>
            <m:endChr m:val=")"/>
            <m:sepChr m:val=""/>
            <m:grow/>
          </m:dPr>
          <m:e>
            <m:r>
              <m:t>P</m:t>
            </m:r>
            <m:r>
              <m:rPr>
                <m:sty m:val="p"/>
              </m:rPr>
              <m:t>=</m:t>
            </m:r>
            <m:r>
              <m:t>16</m:t>
            </m:r>
          </m:e>
        </m:d>
      </m:oMath>
      <w:r>
        <w:t xml:space="preserve">, moving to</w:t>
      </w:r>
      <w:r>
        <w:t xml:space="preserve"> </w:t>
      </w:r>
      <m:oMath>
        <m:r>
          <m:t>P</m:t>
        </m:r>
        <m:r>
          <m:rPr>
            <m:sty m:val="p"/>
          </m:rPr>
          <m:t>=</m:t>
        </m:r>
        <m:r>
          <m:t>32</m:t>
        </m:r>
      </m:oMath>
      <w:r>
        <w:t xml:space="preserve"> </w:t>
      </w:r>
      <w:r>
        <w:t xml:space="preserve">improves loss and reduces runtime. Moving to</w:t>
      </w:r>
      <w:r>
        <w:t xml:space="preserve"> </w:t>
      </w:r>
      <m:oMath>
        <m:r>
          <m:t>P</m:t>
        </m:r>
        <m:r>
          <m:rPr>
            <m:sty m:val="p"/>
          </m:rPr>
          <m:t>=</m:t>
        </m:r>
        <m:r>
          <m:t>8</m:t>
        </m:r>
      </m:oMath>
      <w:r>
        <w:t xml:space="preserve"> </w:t>
      </w:r>
      <w:r>
        <w:t xml:space="preserve">increases runtime substantially and worsens mean loss. Therefore, under nonzero</w:t>
      </w:r>
      <w:r>
        <w:t xml:space="preserve"> </w:t>
      </w:r>
      <m:oMath>
        <m:r>
          <m:t>λ</m:t>
        </m:r>
      </m:oMath>
      <w:r>
        <w:t xml:space="preserve">, the compute-normalized objective strongly prefers</w:t>
      </w:r>
      <w:r>
        <w:t xml:space="preserve"> </w:t>
      </w:r>
      <m:oMath>
        <m:r>
          <m:t>P</m:t>
        </m:r>
        <m:r>
          <m:rPr>
            <m:sty m:val="p"/>
          </m:rPr>
          <m:t>=</m:t>
        </m:r>
        <m:r>
          <m:t>32</m:t>
        </m:r>
      </m:oMath>
      <w:r>
        <w:t xml:space="preserve"> </w:t>
      </w:r>
      <w:r>
        <w:t xml:space="preserve">in this experiment.</w:t>
      </w:r>
    </w:p>
    <w:bookmarkEnd w:id="63"/>
    <w:bookmarkStart w:id="65" w:name="stability-efficiency-frontier"/>
    <w:p>
      <w:pPr>
        <w:pStyle w:val="Heading2"/>
      </w:pPr>
      <w:r>
        <w:t xml:space="preserve">Stability-Efficiency Frontier</w:t>
      </w:r>
    </w:p>
    <w:p>
      <w:pPr>
        <w:pStyle w:val="FirstParagraph"/>
      </w:pPr>
      <w:r>
        <w:t xml:space="preserve">Mean loss alone is insufficient for deployment decisions. We introduce two complementary diagnostics:</w:t>
      </w:r>
    </w:p>
    <w:p>
      <w:pPr>
        <w:pStyle w:val="BodyText"/>
      </w:pPr>
      <m:oMathPara>
        <m:oMathParaPr>
          <m:jc m:val="center"/>
        </m:oMathParaPr>
        <m:oMath>
          <m:sSub>
            <m:e>
              <m:r>
                <m:rPr>
                  <m:sty m:val="p"/>
                </m:rPr>
                <m:t>C</m:t>
              </m:r>
              <m:r>
                <m:rPr>
                  <m:sty m:val="p"/>
                </m:rPr>
                <m:t>V</m:t>
              </m:r>
            </m:e>
            <m:sub>
              <m:r>
                <m:t>c</m:t>
              </m:r>
            </m:sub>
          </m:sSub>
          <m:r>
            <m:rPr>
              <m:sty m:val="p"/>
            </m:rPr>
            <m:t>=</m:t>
          </m:r>
          <m:f>
            <m:fPr>
              <m:type m:val="bar"/>
            </m:fPr>
            <m:num>
              <m:sSub>
                <m:e>
                  <m:r>
                    <m:t>s</m:t>
                  </m:r>
                </m:e>
                <m:sub>
                  <m:r>
                    <m:t>c</m:t>
                  </m:r>
                </m:sub>
              </m:sSub>
            </m:num>
            <m:den>
              <m:sSub>
                <m:e>
                  <m:acc>
                    <m:accPr>
                      <m:chr m:val="‾"/>
                    </m:accPr>
                    <m:e>
                      <m:r>
                        <m:t>x</m:t>
                      </m:r>
                    </m:e>
                  </m:acc>
                </m:e>
                <m:sub>
                  <m:r>
                    <m:t>c</m:t>
                  </m:r>
                </m:sub>
              </m:sSub>
            </m:den>
          </m:f>
          <m:r>
            <m:t> </m:t>
          </m:r>
          <m:r>
            <m:rPr>
              <m:sty m:val="p"/>
            </m:rPr>
            <m:t>,</m:t>
          </m:r>
        </m:oMath>
      </m:oMathPara>
    </w:p>
    <w:p>
      <w:pPr>
        <w:pStyle w:val="FirstParagraph"/>
      </w:pPr>
      <m:oMathPara>
        <m:oMathParaPr>
          <m:jc m:val="center"/>
        </m:oMathParaPr>
        <m:oMath>
          <m:sSub>
            <m:e>
              <m:r>
                <m:rPr>
                  <m:sty m:val="p"/>
                </m:rPr>
                <m:t>S</m:t>
              </m:r>
              <m:r>
                <m:rPr>
                  <m:sty m:val="p"/>
                </m:rPr>
                <m:t>E</m:t>
              </m:r>
              <m:r>
                <m:rPr>
                  <m:sty m:val="p"/>
                </m:rPr>
                <m:t>I</m:t>
              </m:r>
            </m:e>
            <m:sub>
              <m:r>
                <m:t>c</m:t>
              </m:r>
            </m:sub>
          </m:sSub>
          <m:r>
            <m:rPr>
              <m:sty m:val="p"/>
            </m:rPr>
            <m:t>=</m:t>
          </m:r>
          <m:f>
            <m:fPr>
              <m:type m:val="bar"/>
            </m:fPr>
            <m:num>
              <m:r>
                <m:t>1</m:t>
              </m:r>
            </m:num>
            <m:den>
              <m:sSub>
                <m:e>
                  <m:acc>
                    <m:accPr>
                      <m:chr m:val="‾"/>
                    </m:accPr>
                    <m:e>
                      <m:r>
                        <m:t>x</m:t>
                      </m:r>
                    </m:e>
                  </m:acc>
                </m:e>
                <m:sub>
                  <m:r>
                    <m:t>c</m:t>
                  </m:r>
                </m:sub>
              </m:sSub>
              <m:r>
                <m:t> </m:t>
              </m:r>
              <m:sSub>
                <m:e>
                  <m:acc>
                    <m:accPr>
                      <m:chr m:val="‾"/>
                    </m:accPr>
                    <m:e>
                      <m:r>
                        <m:t>t</m:t>
                      </m:r>
                    </m:e>
                  </m:acc>
                </m:e>
                <m:sub>
                  <m:r>
                    <m:t>c</m:t>
                  </m:r>
                </m:sub>
              </m:sSub>
            </m:den>
          </m:f>
          <m:r>
            <m:t> </m:t>
          </m:r>
          <m:r>
            <m:rPr>
              <m:sty m:val="p"/>
            </m:rPr>
            <m:t>,</m:t>
          </m:r>
        </m:oMath>
      </m:oMathPara>
    </w:p>
    <w:p>
      <w:pPr>
        <w:pStyle w:val="FirstParagraph"/>
      </w:pPr>
      <w:r>
        <w:t xml:space="preserve">where</w:t>
      </w:r>
      <w:r>
        <w:t xml:space="preserve"> </w:t>
      </w:r>
      <m:oMath>
        <m:sSub>
          <m:e>
            <m:acc>
              <m:accPr>
                <m:chr m:val="‾"/>
              </m:accPr>
              <m:e>
                <m:r>
                  <m:t>x</m:t>
                </m:r>
              </m:e>
            </m:acc>
          </m:e>
          <m:sub>
            <m:r>
              <m:t>c</m:t>
            </m:r>
          </m:sub>
        </m:sSub>
      </m:oMath>
      <w:r>
        <w:t xml:space="preserve"> </w:t>
      </w:r>
      <w:r>
        <w:t xml:space="preserve">is mean masked MSE,</w:t>
      </w:r>
      <w:r>
        <w:t xml:space="preserve"> </w:t>
      </w:r>
      <m:oMath>
        <m:sSub>
          <m:e>
            <m:r>
              <m:t>s</m:t>
            </m:r>
          </m:e>
          <m:sub>
            <m:r>
              <m:t>c</m:t>
            </m:r>
          </m:sub>
        </m:sSub>
      </m:oMath>
      <w:r>
        <w:t xml:space="preserve"> </w:t>
      </w:r>
      <w:r>
        <w:t xml:space="preserve">is its sample standard deviation, and</w:t>
      </w:r>
      <w:r>
        <w:t xml:space="preserve"> </w:t>
      </w:r>
      <m:oMath>
        <m:sSub>
          <m:e>
            <m:acc>
              <m:accPr>
                <m:chr m:val="‾"/>
              </m:accPr>
              <m:e>
                <m:r>
                  <m:t>t</m:t>
                </m:r>
              </m:e>
            </m:acc>
          </m:e>
          <m:sub>
            <m:r>
              <m:t>c</m:t>
            </m:r>
          </m:sub>
        </m:sSub>
      </m:oMath>
      <w:r>
        <w:t xml:space="preserve"> </w:t>
      </w:r>
      <w:r>
        <w:t xml:space="preserve">is mean epoch time for configuration</w:t>
      </w:r>
      <w:r>
        <w:t xml:space="preserve"> </w:t>
      </w:r>
      <m:oMath>
        <m:r>
          <m:t>c</m:t>
        </m:r>
      </m:oMath>
      <w:r>
        <w:t xml:space="preserve">. Lower CV indicates greater seed-level stability; larger SEI indicates better joint objective-time efficiency.</w:t>
      </w:r>
    </w:p>
    <w:p>
      <w:pPr>
        <w:pStyle w:val="BodyText"/>
      </w:pPr>
      <w:r>
        <w:t xml:space="preserve">Table </w:t>
      </w:r>
      <w:hyperlink w:anchor="tab:frontier_metrics">
        <w:r>
          <w:rPr>
            <w:rStyle w:val="Hyperlink"/>
          </w:rPr>
          <w:t xml:space="preserve">9</w:t>
        </w:r>
      </w:hyperlink>
      <w:r>
        <w:t xml:space="preserve"> </w:t>
      </w:r>
      <w:r>
        <w:t xml:space="preserve">shows three useful properties. First, patch-32 has the lowest variability (CV</w:t>
      </w:r>
      <w:r>
        <w:t xml:space="preserve"> </w:t>
      </w:r>
      <m:oMath>
        <m:r>
          <m:rPr>
            <m:sty m:val="p"/>
          </m:rPr>
          <m:t>=</m:t>
        </m:r>
        <m:r>
          <m:t>0.0608</m:t>
        </m:r>
      </m:oMath>
      <w:r>
        <w:t xml:space="preserve">). Second, patch-32 yields the strongest joint efficiency (SEI</w:t>
      </w:r>
      <w:r>
        <w:t xml:space="preserve"> </w:t>
      </w:r>
      <m:oMath>
        <m:r>
          <m:rPr>
            <m:sty m:val="p"/>
          </m:rPr>
          <m:t>=</m:t>
        </m:r>
        <m:r>
          <m:t>3.0638</m:t>
        </m:r>
      </m:oMath>
      <w:r>
        <w:t xml:space="preserve">), which is</w:t>
      </w:r>
      <w:r>
        <w:t xml:space="preserve"> </w:t>
      </w:r>
      <m:oMath>
        <m:r>
          <m:t>1.696</m:t>
        </m:r>
        <m:r>
          <m:rPr>
            <m:sty m:val="p"/>
          </m:rPr>
          <m:t>×</m:t>
        </m:r>
      </m:oMath>
      <w:r>
        <w:t xml:space="preserve"> </w:t>
      </w:r>
      <w:r>
        <w:t xml:space="preserve">the baseline patch-16 setting and</w:t>
      </w:r>
      <w:r>
        <w:t xml:space="preserve"> </w:t>
      </w:r>
      <m:oMath>
        <m:r>
          <m:t>3.153</m:t>
        </m:r>
        <m:r>
          <m:rPr>
            <m:sty m:val="p"/>
          </m:rPr>
          <m:t>×</m:t>
        </m:r>
      </m:oMath>
      <w:r>
        <w:t xml:space="preserve"> </w:t>
      </w:r>
      <w:r>
        <w:t xml:space="preserve">patch-8. Third, mask-ratio variants at patch-16 are nearly tied on both CV and SEI, reinforcing that patch length is the dominant axis under this budget.</w:t>
      </w:r>
    </w:p>
    <w:bookmarkStart w:id="64" w:name="tab:frontier_metrics"/>
    <w:p>
      <w:pPr>
        <w:pStyle w:val="TableCaption"/>
      </w:pPr>
      <w:r>
        <w:t xml:space="preserve">Derived Stability and Efficiency Metrics from Multi-Seed Aggregates</w:t>
      </w:r>
    </w:p>
    <w:tbl>
      <w:tblPr>
        <w:tblStyle w:val="Table"/>
        <w:tblW w:type="auto" w:w="0"/>
        <w:tblLook w:firstRow="1" w:lastRow="0" w:firstColumn="0" w:lastColumn="0" w:noHBand="0" w:noVBand="0" w:val="0020"/>
        <w:tblCaption w:val="Derived Stability and Efficiency Metrics from Multi-Seed Aggregates"/>
      </w:tblPr>
      <w:tblGrid>
        <w:gridCol w:w="1980"/>
        <w:gridCol w:w="1980"/>
        <w:gridCol w:w="1980"/>
        <w:gridCol w:w="1980"/>
      </w:tblGrid>
      <w:tr>
        <w:trPr>
          <w:tblHeader w:val="on"/>
        </w:trPr>
        <w:tc>
          <w:tcPr/>
          <w:p>
            <w:pPr>
              <w:pStyle w:val="Compact"/>
              <w:jc w:val="left"/>
            </w:pPr>
            <w:r>
              <w:t xml:space="preserve">Setting</w:t>
            </w:r>
          </w:p>
        </w:tc>
        <w:tc>
          <w:tcPr/>
          <w:p>
            <w:pPr>
              <w:pStyle w:val="Compact"/>
              <w:jc w:val="center"/>
            </w:pPr>
            <w:r>
              <w:t xml:space="preserve">Mean MSE</w:t>
            </w:r>
          </w:p>
        </w:tc>
        <w:tc>
          <w:tcPr/>
          <w:p>
            <w:pPr>
              <w:pStyle w:val="Compact"/>
              <w:jc w:val="center"/>
            </w:pPr>
            <w:r>
              <w:t xml:space="preserve">CV</w:t>
            </w:r>
          </w:p>
        </w:tc>
        <w:tc>
          <w:tcPr/>
          <w:p>
            <w:pPr>
              <w:pStyle w:val="Compact"/>
              <w:jc w:val="center"/>
            </w:pPr>
            <w:r>
              <w:t xml:space="preserve">SEI</w:t>
            </w:r>
          </w:p>
        </w:tc>
      </w:tr>
      <w:tr>
        <w:tc>
          <w:tcPr/>
          <w:p>
            <w:pPr>
              <w:pStyle w:val="Compact"/>
              <w:jc w:val="left"/>
            </w:pPr>
            <m:oMath>
              <m:r>
                <m:t>P</m:t>
              </m:r>
              <m:r>
                <m:rPr>
                  <m:sty m:val="p"/>
                </m:rPr>
                <m:t>=</m:t>
              </m:r>
              <m:r>
                <m:t>8</m:t>
              </m:r>
              <m:r>
                <m:rPr>
                  <m:sty m:val="p"/>
                </m:rPr>
                <m:t>,</m:t>
              </m:r>
              <m:r>
                <m:t>ρ</m:t>
              </m:r>
              <m:r>
                <m:rPr>
                  <m:sty m:val="p"/>
                </m:rPr>
                <m:t>=</m:t>
              </m:r>
              <m:r>
                <m:t>0.4</m:t>
              </m:r>
            </m:oMath>
          </w:p>
        </w:tc>
        <w:tc>
          <w:tcPr/>
          <w:p>
            <w:pPr>
              <w:pStyle w:val="Compact"/>
              <w:jc w:val="center"/>
            </w:pPr>
            <w:r>
              <w:t xml:space="preserve">0.3934</w:t>
            </w:r>
          </w:p>
        </w:tc>
        <w:tc>
          <w:tcPr/>
          <w:p>
            <w:pPr>
              <w:pStyle w:val="Compact"/>
              <w:jc w:val="center"/>
            </w:pPr>
            <w:r>
              <w:t xml:space="preserve">0.1554</w:t>
            </w:r>
          </w:p>
        </w:tc>
        <w:tc>
          <w:tcPr/>
          <w:p>
            <w:pPr>
              <w:pStyle w:val="Compact"/>
              <w:jc w:val="center"/>
            </w:pPr>
            <w:r>
              <w:t xml:space="preserve">0.9717</w:t>
            </w:r>
          </w:p>
        </w:tc>
      </w:tr>
      <w:tr>
        <w:tc>
          <w:tcPr/>
          <w:p>
            <w:pPr>
              <w:pStyle w:val="Compact"/>
              <w:jc w:val="left"/>
            </w:pPr>
            <m:oMath>
              <m:r>
                <m:t>P</m:t>
              </m:r>
              <m:r>
                <m:rPr>
                  <m:sty m:val="p"/>
                </m:rPr>
                <m:t>=</m:t>
              </m:r>
              <m:r>
                <m:t>16</m:t>
              </m:r>
              <m:r>
                <m:rPr>
                  <m:sty m:val="p"/>
                </m:rPr>
                <m:t>,</m:t>
              </m:r>
              <m:r>
                <m:t>ρ</m:t>
              </m:r>
              <m:r>
                <m:rPr>
                  <m:sty m:val="p"/>
                </m:rPr>
                <m:t>=</m:t>
              </m:r>
              <m:r>
                <m:t>0.2</m:t>
              </m:r>
            </m:oMath>
          </w:p>
        </w:tc>
        <w:tc>
          <w:tcPr/>
          <w:p>
            <w:pPr>
              <w:pStyle w:val="Compact"/>
              <w:jc w:val="center"/>
            </w:pPr>
            <w:r>
              <w:t xml:space="preserve">0.3721</w:t>
            </w:r>
          </w:p>
        </w:tc>
        <w:tc>
          <w:tcPr/>
          <w:p>
            <w:pPr>
              <w:pStyle w:val="Compact"/>
              <w:jc w:val="center"/>
            </w:pPr>
            <w:r>
              <w:t xml:space="preserve">0.0958</w:t>
            </w:r>
          </w:p>
        </w:tc>
        <w:tc>
          <w:tcPr/>
          <w:p>
            <w:pPr>
              <w:pStyle w:val="Compact"/>
              <w:jc w:val="center"/>
            </w:pPr>
            <w:r>
              <w:t xml:space="preserve">1.7284</w:t>
            </w:r>
          </w:p>
        </w:tc>
      </w:tr>
      <w:tr>
        <w:tc>
          <w:tcPr/>
          <w:p>
            <w:pPr>
              <w:pStyle w:val="Compact"/>
              <w:jc w:val="left"/>
            </w:pPr>
            <m:oMath>
              <m:r>
                <m:t>P</m:t>
              </m:r>
              <m:r>
                <m:rPr>
                  <m:sty m:val="p"/>
                </m:rPr>
                <m:t>=</m:t>
              </m:r>
              <m:r>
                <m:t>16</m:t>
              </m:r>
              <m:r>
                <m:rPr>
                  <m:sty m:val="p"/>
                </m:rPr>
                <m:t>,</m:t>
              </m:r>
              <m:r>
                <m:t>ρ</m:t>
              </m:r>
              <m:r>
                <m:rPr>
                  <m:sty m:val="p"/>
                </m:rPr>
                <m:t>=</m:t>
              </m:r>
              <m:r>
                <m:t>0.4</m:t>
              </m:r>
            </m:oMath>
          </w:p>
        </w:tc>
        <w:tc>
          <w:tcPr/>
          <w:p>
            <w:pPr>
              <w:pStyle w:val="Compact"/>
              <w:jc w:val="center"/>
            </w:pPr>
            <w:r>
              <w:t xml:space="preserve">0.3752</w:t>
            </w:r>
          </w:p>
        </w:tc>
        <w:tc>
          <w:tcPr/>
          <w:p>
            <w:pPr>
              <w:pStyle w:val="Compact"/>
              <w:jc w:val="center"/>
            </w:pPr>
            <w:r>
              <w:t xml:space="preserve">0.0999</w:t>
            </w:r>
          </w:p>
        </w:tc>
        <w:tc>
          <w:tcPr/>
          <w:p>
            <w:pPr>
              <w:pStyle w:val="Compact"/>
              <w:jc w:val="center"/>
            </w:pPr>
            <w:r>
              <w:t xml:space="preserve">1.8067</w:t>
            </w:r>
          </w:p>
        </w:tc>
      </w:tr>
      <w:tr>
        <w:tc>
          <w:tcPr/>
          <w:p>
            <w:pPr>
              <w:pStyle w:val="Compact"/>
              <w:jc w:val="left"/>
            </w:pPr>
            <m:oMath>
              <m:r>
                <m:t>P</m:t>
              </m:r>
              <m:r>
                <m:rPr>
                  <m:sty m:val="p"/>
                </m:rPr>
                <m:t>=</m:t>
              </m:r>
              <m:r>
                <m:t>16</m:t>
              </m:r>
              <m:r>
                <m:rPr>
                  <m:sty m:val="p"/>
                </m:rPr>
                <m:t>,</m:t>
              </m:r>
              <m:r>
                <m:t>ρ</m:t>
              </m:r>
              <m:r>
                <m:rPr>
                  <m:sty m:val="p"/>
                </m:rPr>
                <m:t>=</m:t>
              </m:r>
              <m:r>
                <m:t>0.6</m:t>
              </m:r>
            </m:oMath>
          </w:p>
        </w:tc>
        <w:tc>
          <w:tcPr/>
          <w:p>
            <w:pPr>
              <w:pStyle w:val="Compact"/>
              <w:jc w:val="center"/>
            </w:pPr>
            <w:r>
              <w:t xml:space="preserve">0.3757</w:t>
            </w:r>
          </w:p>
        </w:tc>
        <w:tc>
          <w:tcPr/>
          <w:p>
            <w:pPr>
              <w:pStyle w:val="Compact"/>
              <w:jc w:val="center"/>
            </w:pPr>
            <w:r>
              <w:t xml:space="preserve">0.1024</w:t>
            </w:r>
          </w:p>
        </w:tc>
        <w:tc>
          <w:tcPr/>
          <w:p>
            <w:pPr>
              <w:pStyle w:val="Compact"/>
              <w:jc w:val="center"/>
            </w:pPr>
            <w:r>
              <w:t xml:space="preserve">1.8179</w:t>
            </w:r>
          </w:p>
        </w:tc>
      </w:tr>
      <w:tr>
        <w:tc>
          <w:tcPr/>
          <w:p>
            <w:pPr>
              <w:pStyle w:val="Compact"/>
              <w:jc w:val="left"/>
            </w:pPr>
            <m:oMath>
              <m:r>
                <m:t>P</m:t>
              </m:r>
              <m:r>
                <m:rPr>
                  <m:sty m:val="p"/>
                </m:rPr>
                <m:t>=</m:t>
              </m:r>
              <m:r>
                <m:t>32</m:t>
              </m:r>
              <m:r>
                <m:rPr>
                  <m:sty m:val="p"/>
                </m:rPr>
                <m:t>,</m:t>
              </m:r>
              <m:r>
                <m:t>ρ</m:t>
              </m:r>
              <m:r>
                <m:rPr>
                  <m:sty m:val="p"/>
                </m:rPr>
                <m:t>=</m:t>
              </m:r>
              <m:r>
                <m:t>0.4</m:t>
              </m:r>
            </m:oMath>
          </w:p>
        </w:tc>
        <w:tc>
          <w:tcPr/>
          <w:p>
            <w:pPr>
              <w:pStyle w:val="Compact"/>
              <w:jc w:val="center"/>
            </w:pPr>
            <w:r>
              <w:t xml:space="preserve">0.3651</w:t>
            </w:r>
          </w:p>
        </w:tc>
        <w:tc>
          <w:tcPr/>
          <w:p>
            <w:pPr>
              <w:pStyle w:val="Compact"/>
              <w:jc w:val="center"/>
            </w:pPr>
            <w:r>
              <w:t xml:space="preserve">0.0608</w:t>
            </w:r>
          </w:p>
        </w:tc>
        <w:tc>
          <w:tcPr/>
          <w:p>
            <w:pPr>
              <w:pStyle w:val="Compact"/>
              <w:jc w:val="center"/>
            </w:pPr>
            <w:r>
              <w:t xml:space="preserve">3.0638</w:t>
            </w:r>
          </w:p>
        </w:tc>
      </w:tr>
    </w:tbl>
    <w:bookmarkEnd w:id="64"/>
    <w:bookmarkEnd w:id="65"/>
    <w:bookmarkStart w:id="69" w:name="X4a376e5f0d6572845b98c556749bae135bead94"/>
    <w:p>
      <w:pPr>
        <w:pStyle w:val="Heading2"/>
      </w:pPr>
      <w:r>
        <w:t xml:space="preserve">Final Checkpoint Sweep on Long-Run Training Artifacts</w:t>
      </w:r>
    </w:p>
    <w:p>
      <w:pPr>
        <w:pStyle w:val="FirstParagraph"/>
      </w:pPr>
      <w:r>
        <w:t xml:space="preserve">To move beyond short-budget ablations, we evaluated 15 late-training checkpoints (epochs 60–62; steps 2,040,000 to 2,110,000). Evaluation uses a deterministic validation subset of 8192 windows built from 13,899 synthesized series across 44 feature tables, with fixed mask ratio</w:t>
      </w:r>
      <w:r>
        <w:t xml:space="preserve"> </w:t>
      </w:r>
      <m:oMath>
        <m:r>
          <m:t>ρ</m:t>
        </m:r>
        <m:r>
          <m:rPr>
            <m:sty m:val="p"/>
          </m:rPr>
          <m:t>=</m:t>
        </m:r>
        <m:r>
          <m:t>0.5</m:t>
        </m:r>
      </m:oMath>
      <w:r>
        <w:t xml:space="preserve">.</w:t>
      </w:r>
    </w:p>
    <w:p>
      <w:pPr>
        <w:pStyle w:val="BodyText"/>
      </w:pPr>
      <w:r>
        <w:t xml:space="preserve">Table </w:t>
      </w:r>
      <w:hyperlink w:anchor="tab:checkpoint_sweep_summary">
        <w:r>
          <w:rPr>
            <w:rStyle w:val="Hyperlink"/>
          </w:rPr>
          <w:t xml:space="preserve">10</w:t>
        </w:r>
      </w:hyperlink>
      <w:r>
        <w:t xml:space="preserve"> </w:t>
      </w:r>
      <w:r>
        <w:t xml:space="preserve">reports the main aggregate outcomes. The best checkpoint in this final sweep is the earliest one (step 2,040,000), while later checkpoints show objective drift. Fig. </w:t>
      </w:r>
      <w:hyperlink w:anchor="fig:checkpoint_trend">
        <w:r>
          <w:rPr>
            <w:rStyle w:val="Hyperlink"/>
          </w:rPr>
          <w:t xml:space="preserve">1</w:t>
        </w:r>
      </w:hyperlink>
      <w:r>
        <w:t xml:space="preserve"> </w:t>
      </w:r>
      <w:r>
        <w:t xml:space="preserve">visualizes this trajectory, and Fig. </w:t>
      </w:r>
      <w:hyperlink w:anchor="fig:checkpoint_frontier">
        <w:r>
          <w:rPr>
            <w:rStyle w:val="Hyperlink"/>
          </w:rPr>
          <w:t xml:space="preserve">2</w:t>
        </w:r>
      </w:hyperlink>
      <w:r>
        <w:t xml:space="preserve"> </w:t>
      </w:r>
      <w:r>
        <w:t xml:space="preserve">shows the speed-quality trade-off across checkpoints.</w:t>
      </w:r>
    </w:p>
    <w:bookmarkStart w:id="66" w:name="tab:checkpoint_sweep_summary"/>
    <w:p>
      <w:pPr>
        <w:pStyle w:val="TableCaption"/>
      </w:pPr>
      <w:r>
        <w:t xml:space="preserve">Final-Checkpoint Sweep Summary (15 Checkpoints)</w:t>
      </w:r>
    </w:p>
    <w:tbl>
      <w:tblPr>
        <w:tblStyle w:val="Table"/>
        <w:tblW w:type="auto" w:w="0"/>
        <w:tblLook w:firstRow="1" w:lastRow="0" w:firstColumn="0" w:lastColumn="0" w:noHBand="0" w:noVBand="0" w:val="0020"/>
        <w:tblCaption w:val="Final-Checkpoint Sweep Summary (15 Checkpoints)"/>
      </w:tblPr>
      <w:tblGrid>
        <w:gridCol w:w="3960"/>
        <w:gridCol w:w="3960"/>
      </w:tblGrid>
      <w:tr>
        <w:trPr>
          <w:tblHeader w:val="on"/>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Checkpoint range</w:t>
            </w:r>
          </w:p>
        </w:tc>
        <w:tc>
          <w:tcPr/>
          <w:p>
            <w:pPr>
              <w:pStyle w:val="Compact"/>
              <w:jc w:val="left"/>
            </w:pPr>
            <w:r>
              <w:t xml:space="preserve">2.040M–2.110M steps</w:t>
            </w:r>
          </w:p>
        </w:tc>
      </w:tr>
      <w:tr>
        <w:tc>
          <w:tcPr/>
          <w:p>
            <w:pPr>
              <w:pStyle w:val="Compact"/>
              <w:jc w:val="left"/>
            </w:pPr>
            <w:r>
              <w:t xml:space="preserve">Best masked MSE</w:t>
            </w:r>
          </w:p>
        </w:tc>
        <w:tc>
          <w:tcPr/>
          <w:p>
            <w:pPr>
              <w:pStyle w:val="Compact"/>
              <w:jc w:val="left"/>
            </w:pPr>
            <w:r>
              <w:t xml:space="preserve">0.3304 @ step 2.040M</w:t>
            </w:r>
          </w:p>
        </w:tc>
      </w:tr>
      <w:tr>
        <w:tc>
          <w:tcPr/>
          <w:p>
            <w:pPr>
              <w:pStyle w:val="Compact"/>
              <w:jc w:val="left"/>
            </w:pPr>
            <w:r>
              <w:t xml:space="preserve">Final masked MSE</w:t>
            </w:r>
          </w:p>
        </w:tc>
        <w:tc>
          <w:tcPr/>
          <w:p>
            <w:pPr>
              <w:pStyle w:val="Compact"/>
              <w:jc w:val="left"/>
            </w:pPr>
            <w:r>
              <w:t xml:space="preserve">0.3372 @ step 2.110M</w:t>
            </w:r>
          </w:p>
        </w:tc>
      </w:tr>
      <w:tr>
        <w:tc>
          <w:tcPr/>
          <w:p>
            <w:pPr>
              <w:pStyle w:val="Compact"/>
              <w:jc w:val="left"/>
            </w:pPr>
            <w:r>
              <w:t xml:space="preserve">Relative drift (final vs best)</w:t>
            </w:r>
          </w:p>
        </w:tc>
        <w:tc>
          <w:tcPr/>
          <w:p>
            <w:pPr>
              <w:pStyle w:val="Compact"/>
              <w:jc w:val="left"/>
            </w:pPr>
            <w:r>
              <w:t xml:space="preserve">+2.04%</w:t>
            </w:r>
          </w:p>
        </w:tc>
      </w:tr>
      <w:tr>
        <w:tc>
          <w:tcPr/>
          <w:p>
            <w:pPr>
              <w:pStyle w:val="Compact"/>
              <w:jc w:val="left"/>
            </w:pPr>
            <w:r>
              <w:t xml:space="preserve">Mean masked MSE</w:t>
            </w:r>
            <w:r>
              <w:t xml:space="preserve"> </w:t>
            </w:r>
            <m:oMath>
              <m:r>
                <m:rPr>
                  <m:sty m:val="p"/>
                </m:rPr>
                <m:t>±</m:t>
              </m:r>
            </m:oMath>
            <w:r>
              <w:t xml:space="preserve"> </w:t>
            </w:r>
            <w:r>
              <w:t xml:space="preserve">std</w:t>
            </w:r>
          </w:p>
        </w:tc>
        <w:tc>
          <w:tcPr/>
          <w:p>
            <w:pPr>
              <w:pStyle w:val="Compact"/>
              <w:jc w:val="left"/>
            </w:pPr>
            <m:oMath>
              <m:r>
                <m:t>0.3343</m:t>
              </m:r>
              <m:r>
                <m:rPr>
                  <m:sty m:val="p"/>
                </m:rPr>
                <m:t>±</m:t>
              </m:r>
              <m:r>
                <m:t>0.0021</m:t>
              </m:r>
            </m:oMath>
          </w:p>
        </w:tc>
      </w:tr>
      <w:tr>
        <w:tc>
          <w:tcPr/>
          <w:p>
            <w:pPr>
              <w:pStyle w:val="Compact"/>
              <w:jc w:val="left"/>
            </w:pPr>
            <w:r>
              <w:t xml:space="preserve">Mean throughput</w:t>
            </w:r>
            <w:r>
              <w:t xml:space="preserve"> </w:t>
            </w:r>
            <m:oMath>
              <m:r>
                <m:rPr>
                  <m:sty m:val="p"/>
                </m:rPr>
                <m:t>±</m:t>
              </m:r>
            </m:oMath>
            <w:r>
              <w:t xml:space="preserve"> </w:t>
            </w:r>
            <w:r>
              <w:t xml:space="preserve">std</w:t>
            </w:r>
          </w:p>
        </w:tc>
        <w:tc>
          <w:tcPr/>
          <w:p>
            <w:pPr>
              <w:pStyle w:val="Compact"/>
              <w:jc w:val="left"/>
            </w:pPr>
            <m:oMath>
              <m:r>
                <m:t>9106.68</m:t>
              </m:r>
              <m:r>
                <m:rPr>
                  <m:sty m:val="p"/>
                </m:rPr>
                <m:t>±</m:t>
              </m:r>
              <m:r>
                <m:t>97.85</m:t>
              </m:r>
            </m:oMath>
            <w:r>
              <w:t xml:space="preserve"> </w:t>
            </w:r>
            <w:r>
              <w:t xml:space="preserve">token/s</w:t>
            </w:r>
          </w:p>
        </w:tc>
      </w:tr>
      <w:tr>
        <w:tc>
          <w:tcPr/>
          <w:p>
            <w:pPr>
              <w:pStyle w:val="Compact"/>
              <w:jc w:val="left"/>
            </w:pPr>
            <w:r>
              <w:t xml:space="preserve">Full-token MSE range</w:t>
            </w:r>
          </w:p>
        </w:tc>
        <w:tc>
          <w:tcPr/>
          <w:p>
            <w:pPr>
              <w:pStyle w:val="Compact"/>
              <w:jc w:val="left"/>
            </w:pPr>
            <w:r>
              <w:t xml:space="preserve">8.687 to 20.458</w:t>
            </w:r>
          </w:p>
        </w:tc>
      </w:tr>
    </w:tbl>
    <w:bookmarkEnd w:id="66"/>
    <w:bookmarkStart w:id="67" w:name="fig:checkpoint_trend"/>
    <w:tbl>
      <w:tblPr>
        <w:tblStyle w:val="FigureTable"/>
        <w:tblW w:type="auto" w:w="0"/>
        <w:jc w:val="center"/>
        <w:tblLook w:firstRow="0" w:lastRow="0" w:firstColumn="0" w:lastColumn="0"/>
      </w:tblPr>
      <w:tblGrid/>
    </w:tbl>
    <w:p>
      <w:pPr>
        <w:pStyle w:val="ImageCaption"/>
      </w:pPr>
      <w:r>
        <w:t xml:space="preserve">Late-checkpoint objective trajectory (dual-axis): full-token MSE (left, blue) and masked MSE (right, orange) over global step. Masked MSE exhibits monotonic upward drift (</w:t>
      </w:r>
      <m:oMath>
        <m:r>
          <m:t>r</m:t>
        </m:r>
        <m:r>
          <m:rPr>
            <m:sty m:val="p"/>
          </m:rPr>
          <m:t>=</m:t>
        </m:r>
        <m:r>
          <m:t>0.97</m:t>
        </m:r>
      </m:oMath>
      <w:r>
        <w:t xml:space="preserve">).</w:t>
      </w:r>
    </w:p>
    <w:bookmarkEnd w:id="67"/>
    <w:bookmarkStart w:id="68" w:name="fig:checkpoint_frontier"/>
    <w:tbl>
      <w:tblPr>
        <w:tblStyle w:val="FigureTable"/>
        <w:tblW w:type="auto" w:w="0"/>
        <w:jc w:val="center"/>
        <w:tblLook w:firstRow="0" w:lastRow="0" w:firstColumn="0" w:lastColumn="0"/>
      </w:tblPr>
      <w:tblGrid/>
    </w:tbl>
    <w:p>
      <w:pPr>
        <w:pStyle w:val="ImageCaption"/>
      </w:pPr>
      <w:r>
        <w:t xml:space="preserve">Speed–quality frontier for late checkpoints. The best checkpoint (star) achieves the lowest masked MSE but at slightly lower throughput, consistent with evaluation-time variance rather than a systematic trade-off.</w:t>
      </w:r>
    </w:p>
    <w:bookmarkEnd w:id="68"/>
    <w:p>
      <w:pPr>
        <w:pStyle w:val="BodyText"/>
      </w:pPr>
      <w:r>
        <w:t xml:space="preserve">The masked objective exhibits strong positive correlation with training step in this late regime (Pearson</w:t>
      </w:r>
      <w:r>
        <w:t xml:space="preserve"> </w:t>
      </w:r>
      <m:oMath>
        <m:r>
          <m:t>r</m:t>
        </m:r>
        <m:r>
          <m:rPr>
            <m:sty m:val="p"/>
          </m:rPr>
          <m:t>=</m:t>
        </m:r>
        <m:r>
          <m:t>0.973</m:t>
        </m:r>
      </m:oMath>
      <w:r>
        <w:t xml:space="preserve">), indicating that checkpoint recency is an unreliable proxy for objective quality in this regime. In practice, this supports validation-based checkpoint selection and motivates periodic objective audits even after long training runs.</w:t>
      </w:r>
    </w:p>
    <w:bookmarkEnd w:id="69"/>
    <w:bookmarkEnd w:id="70"/>
    <w:bookmarkStart w:id="74" w:name="resource-footprint-analysis"/>
    <w:p>
      <w:pPr>
        <w:pStyle w:val="Heading1"/>
      </w:pPr>
      <w:r>
        <w:t xml:space="preserve">Resource Footprint Analysis</w:t>
      </w:r>
    </w:p>
    <w:p>
      <w:pPr>
        <w:pStyle w:val="FirstParagraph"/>
      </w:pPr>
      <w:r>
        <w:t xml:space="preserve">Beyond scalar epoch time, patch length changes the shape of the runtime bottleneck. Let</w:t>
      </w:r>
      <w:r>
        <w:t xml:space="preserve"> </w:t>
      </w:r>
      <m:oMath>
        <m:sSub>
          <m:e>
            <m:r>
              <m:t>H</m:t>
            </m:r>
          </m:e>
          <m:sub>
            <m:r>
              <m:t>a</m:t>
            </m:r>
          </m:sub>
        </m:sSub>
      </m:oMath>
      <w:r>
        <w:t xml:space="preserve"> </w:t>
      </w:r>
      <w:r>
        <w:t xml:space="preserve">denote attention heads and</w:t>
      </w:r>
      <w:r>
        <w:t xml:space="preserve"> </w:t>
      </w:r>
      <m:oMath>
        <m:r>
          <m:t>f</m:t>
        </m:r>
      </m:oMath>
      <w:r>
        <w:t xml:space="preserve"> </w:t>
      </w:r>
      <w:r>
        <w:t xml:space="preserve">bytes per scalar (4 for</w:t>
      </w:r>
      <w:r>
        <w:t xml:space="preserve"> </w:t>
      </w:r>
      <w:r>
        <w:rPr>
          <w:rStyle w:val="VerbatimChar"/>
        </w:rPr>
        <w:t xml:space="preserve">float32</w:t>
      </w:r>
      <w:r>
        <w:t xml:space="preserve">). A first-order attention-map memory estimate per forward pass is</w:t>
      </w:r>
    </w:p>
    <w:p>
      <w:pPr>
        <w:pStyle w:val="BodyText"/>
      </w:pPr>
      <m:oMathPara>
        <m:oMathParaPr>
          <m:jc m:val="center"/>
        </m:oMathParaPr>
        <m:oMath>
          <m:sSub>
            <m:e>
              <m:r>
                <m:rPr>
                  <m:sty m:val="p"/>
                  <m:scr m:val="script"/>
                </m:rPr>
                <m:t>M</m:t>
              </m:r>
            </m:e>
            <m:sub>
              <m:r>
                <m:rPr>
                  <m:nor/>
                  <m:sty m:val="p"/>
                </m:rPr>
                <m:t>attn</m:t>
              </m:r>
            </m:sub>
          </m:sSub>
          <m:r>
            <m:rPr>
              <m:sty m:val="p"/>
            </m:rPr>
            <m:t>≈</m:t>
          </m:r>
          <m:r>
            <m:t>B</m:t>
          </m:r>
          <m:r>
            <m:t>M</m:t>
          </m:r>
          <m:sSub>
            <m:e>
              <m:r>
                <m:t>H</m:t>
              </m:r>
            </m:e>
            <m:sub>
              <m:r>
                <m:t>a</m:t>
              </m:r>
            </m:sub>
          </m:sSub>
          <m:sSup>
            <m:e>
              <m:r>
                <m:t>N</m:t>
              </m:r>
            </m:e>
            <m:sup>
              <m:r>
                <m:t>2</m:t>
              </m:r>
            </m:sup>
          </m:sSup>
          <m:r>
            <m:t>f</m:t>
          </m:r>
          <m:r>
            <m:t> </m:t>
          </m:r>
          <m:r>
            <m:rPr>
              <m:sty m:val="p"/>
            </m:rPr>
            <m:t>.</m:t>
          </m:r>
        </m:oMath>
      </m:oMathPara>
    </w:p>
    <w:p>
      <w:pPr>
        <w:pStyle w:val="FirstParagraph"/>
      </w:pPr>
      <w:r>
        <w:t xml:space="preserve">This estimate ignores optimizer states and activation checkpointing, but it captures the patch-length trend because</w:t>
      </w:r>
      <w:r>
        <w:t xml:space="preserve"> </w:t>
      </w:r>
      <m:oMath>
        <m:r>
          <m:t>N</m:t>
        </m:r>
        <m:r>
          <m:rPr>
            <m:sty m:val="p"/>
          </m:rPr>
          <m:t>=</m:t>
        </m:r>
        <m:r>
          <m:t>L</m:t>
        </m:r>
        <m:r>
          <m:rPr>
            <m:sty m:val="p"/>
          </m:rPr>
          <m:t>/</m:t>
        </m:r>
        <m:r>
          <m:t>P</m:t>
        </m:r>
      </m:oMath>
      <w:r>
        <w:t xml:space="preserve"> </w:t>
      </w:r>
      <w:r>
        <w:t xml:space="preserve">enters quadratically.</w:t>
      </w:r>
    </w:p>
    <w:p>
      <w:pPr>
        <w:pStyle w:val="BodyText"/>
      </w:pPr>
      <w:r>
        <w:t xml:space="preserve">For the fixed configuration</w:t>
      </w:r>
      <w:r>
        <w:t xml:space="preserve"> </w:t>
      </w:r>
      <m:oMath>
        <m:d>
          <m:dPr>
            <m:begChr m:val="("/>
            <m:endChr m:val=")"/>
            <m:sepChr m:val=""/>
            <m:grow/>
          </m:dPr>
          <m:e>
            <m:r>
              <m:t>B</m:t>
            </m:r>
            <m:r>
              <m:rPr>
                <m:sty m:val="p"/>
              </m:rPr>
              <m:t>=</m:t>
            </m:r>
            <m:r>
              <m:t>32</m:t>
            </m:r>
            <m:r>
              <m:rPr>
                <m:sty m:val="p"/>
              </m:rPr>
              <m:t>,</m:t>
            </m:r>
            <m:r>
              <m:t>M</m:t>
            </m:r>
            <m:r>
              <m:rPr>
                <m:sty m:val="p"/>
              </m:rPr>
              <m:t>=</m:t>
            </m:r>
            <m:r>
              <m:t>4</m:t>
            </m:r>
            <m:r>
              <m:rPr>
                <m:sty m:val="p"/>
              </m:rPr>
              <m:t>,</m:t>
            </m:r>
            <m:sSub>
              <m:e>
                <m:r>
                  <m:t>H</m:t>
                </m:r>
              </m:e>
              <m:sub>
                <m:r>
                  <m:t>a</m:t>
                </m:r>
              </m:sub>
            </m:sSub>
            <m:r>
              <m:rPr>
                <m:sty m:val="p"/>
              </m:rPr>
              <m:t>=</m:t>
            </m:r>
            <m:r>
              <m:t>8</m:t>
            </m:r>
            <m:r>
              <m:rPr>
                <m:sty m:val="p"/>
              </m:rPr>
              <m:t>,</m:t>
            </m:r>
            <m:r>
              <m:t>L</m:t>
            </m:r>
            <m:r>
              <m:rPr>
                <m:sty m:val="p"/>
              </m:rPr>
              <m:t>=</m:t>
            </m:r>
            <m:r>
              <m:t>512</m:t>
            </m:r>
          </m:e>
        </m:d>
      </m:oMath>
      <w:r>
        <w:t xml:space="preserve">, the attention-map contribution is shown in Table </w:t>
      </w:r>
      <w:hyperlink w:anchor="tab:attn_mem">
        <w:r>
          <w:rPr>
            <w:rStyle w:val="Hyperlink"/>
          </w:rPr>
          <w:t xml:space="preserve">11</w:t>
        </w:r>
      </w:hyperlink>
      <w:r>
        <w:t xml:space="preserve">. The ratio follows</w:t>
      </w:r>
      <w:r>
        <w:t xml:space="preserve"> </w:t>
      </w:r>
      <w:hyperlink w:anchor="eq:ratio">
        <w:r>
          <w:rPr>
            <w:rStyle w:val="Hyperlink"/>
          </w:rPr>
          <w:t xml:space="preserve">[eq:ratio]</w:t>
        </w:r>
      </w:hyperlink>
      <w:r>
        <w:t xml:space="preserve"> </w:t>
      </w:r>
      <w:r>
        <w:t xml:space="preserve">exactly.</w:t>
      </w:r>
    </w:p>
    <w:bookmarkStart w:id="71" w:name="tab:attn_mem"/>
    <w:p>
      <w:pPr>
        <w:pStyle w:val="TableCaption"/>
      </w:pPr>
      <w:r>
        <w:t xml:space="preserve">Approximate Attention-Map Memory per Forward Pass (</w:t>
      </w:r>
      <m:oMath>
        <m:r>
          <m:t>B</m:t>
        </m:r>
        <m:r>
          <m:rPr>
            <m:sty m:val="p"/>
          </m:rPr>
          <m:t>=</m:t>
        </m:r>
        <m:r>
          <m:t>32</m:t>
        </m:r>
      </m:oMath>
      <w:r>
        <w:t xml:space="preserve">,</w:t>
      </w:r>
      <w:r>
        <w:t xml:space="preserve"> </w:t>
      </w:r>
      <m:oMath>
        <m:r>
          <m:t>M</m:t>
        </m:r>
        <m:r>
          <m:rPr>
            <m:sty m:val="p"/>
          </m:rPr>
          <m:t>=</m:t>
        </m:r>
        <m:r>
          <m:t>4</m:t>
        </m:r>
      </m:oMath>
      <w:r>
        <w:t xml:space="preserve">,</w:t>
      </w:r>
      <w:r>
        <w:t xml:space="preserve"> </w:t>
      </w:r>
      <m:oMath>
        <m:sSub>
          <m:e>
            <m:r>
              <m:t>H</m:t>
            </m:r>
          </m:e>
          <m:sub>
            <m:r>
              <m:t>a</m:t>
            </m:r>
          </m:sub>
        </m:sSub>
        <m:r>
          <m:rPr>
            <m:sty m:val="p"/>
          </m:rPr>
          <m:t>=</m:t>
        </m:r>
        <m:r>
          <m:t>8</m:t>
        </m:r>
      </m:oMath>
      <w:r>
        <w:t xml:space="preserve">,</w:t>
      </w:r>
      <w:r>
        <w:t xml:space="preserve"> </w:t>
      </w:r>
      <m:oMath>
        <m:r>
          <m:t>L</m:t>
        </m:r>
        <m:r>
          <m:rPr>
            <m:sty m:val="p"/>
          </m:rPr>
          <m:t>=</m:t>
        </m:r>
        <m:r>
          <m:t>512</m:t>
        </m:r>
      </m:oMath>
      <w:r>
        <w:t xml:space="preserve">)</w:t>
      </w:r>
    </w:p>
    <w:tbl>
      <w:tblPr>
        <w:tblStyle w:val="Table"/>
        <w:tblW w:type="auto" w:w="0"/>
        <w:tblLook w:firstRow="1" w:lastRow="0" w:firstColumn="0" w:lastColumn="0" w:noHBand="0" w:noVBand="0" w:val="0020"/>
        <w:tblCaption w:val="Approximate Attention-Map Memory per Forward Pass (B{=}32, M{=}4, H_a{=}8, L{=}512)"/>
      </w:tblPr>
      <w:tblGrid>
        <w:gridCol w:w="1980"/>
        <w:gridCol w:w="1980"/>
        <w:gridCol w:w="1980"/>
        <w:gridCol w:w="1980"/>
      </w:tblGrid>
      <w:tr>
        <w:trPr>
          <w:tblHeader w:val="on"/>
        </w:trPr>
        <w:tc>
          <w:tcPr/>
          <w:p>
            <w:pPr>
              <w:pStyle w:val="Compact"/>
              <w:jc w:val="center"/>
            </w:pPr>
            <w:r>
              <w:t xml:space="preserve">Patch</w:t>
            </w:r>
            <w:r>
              <w:t xml:space="preserve"> </w:t>
            </w:r>
            <m:oMath>
              <m:r>
                <m:t>P</m:t>
              </m:r>
            </m:oMath>
          </w:p>
        </w:tc>
        <w:tc>
          <w:tcPr/>
          <w:p>
            <w:pPr>
              <w:pStyle w:val="Compact"/>
              <w:jc w:val="center"/>
            </w:pPr>
            <w:r>
              <w:t xml:space="preserve">Token</w:t>
            </w:r>
            <w:r>
              <w:t xml:space="preserve"> </w:t>
            </w:r>
            <m:oMath>
              <m:r>
                <m:t>N</m:t>
              </m:r>
            </m:oMath>
          </w:p>
        </w:tc>
        <w:tc>
          <w:tcPr/>
          <w:p>
            <w:pPr>
              <w:pStyle w:val="Compact"/>
              <w:jc w:val="center"/>
            </w:pPr>
            <w:r>
              <w:t xml:space="preserve">Relative</w:t>
            </w:r>
            <w:r>
              <w:t xml:space="preserve"> </w:t>
            </w:r>
            <m:oMath>
              <m:sSup>
                <m:e>
                  <m:r>
                    <m:t>N</m:t>
                  </m:r>
                </m:e>
                <m:sup>
                  <m:r>
                    <m:t>2</m:t>
                  </m:r>
                </m:sup>
              </m:sSup>
            </m:oMath>
          </w:p>
        </w:tc>
        <w:tc>
          <w:tcPr/>
          <w:p>
            <w:pPr>
              <w:pStyle w:val="Compact"/>
              <w:jc w:val="center"/>
            </w:pPr>
            <m:oMath>
              <m:sSub>
                <m:e>
                  <m:r>
                    <m:rPr>
                      <m:sty m:val="p"/>
                      <m:scr m:val="script"/>
                    </m:rPr>
                    <m:t>M</m:t>
                  </m:r>
                </m:e>
                <m:sub>
                  <m:r>
                    <m:rPr>
                      <m:nor/>
                      <m:sty m:val="p"/>
                    </m:rPr>
                    <m:t>attn</m:t>
                  </m:r>
                </m:sub>
              </m:sSub>
            </m:oMath>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16</w:t>
            </w:r>
            <m:oMath>
              <m:r>
                <m:rPr>
                  <m:sty m:val="p"/>
                </m:rPr>
                <m:t>×</m:t>
              </m:r>
            </m:oMath>
            <w:r>
              <w:t xml:space="preserve"> </w:t>
            </w:r>
            <w:r>
              <w:t xml:space="preserve">vs</w:t>
            </w:r>
            <w:r>
              <w:t xml:space="preserve"> </w:t>
            </w:r>
            <m:oMath>
              <m:r>
                <m:t>P</m:t>
              </m:r>
              <m:r>
                <m:rPr>
                  <m:sty m:val="p"/>
                </m:rPr>
                <m:t>=</m:t>
              </m:r>
              <m:r>
                <m:t>32</m:t>
              </m:r>
            </m:oMath>
          </w:p>
        </w:tc>
        <w:tc>
          <w:tcPr/>
          <w:p>
            <w:pPr>
              <w:pStyle w:val="Compact"/>
              <w:jc w:val="center"/>
            </w:pPr>
            <m:oMath>
              <m:r>
                <m:rPr>
                  <m:sty m:val="p"/>
                </m:rPr>
                <m:t>≈</m:t>
              </m:r>
            </m:oMath>
            <w:r>
              <w:t xml:space="preserve">16 MB</w:t>
            </w:r>
          </w:p>
        </w:tc>
      </w:tr>
      <w:tr>
        <w:tc>
          <w:tcPr/>
          <w:p>
            <w:pPr>
              <w:pStyle w:val="Compact"/>
              <w:jc w:val="center"/>
            </w:pPr>
            <w:r>
              <w:t xml:space="preserve">16</w:t>
            </w:r>
          </w:p>
        </w:tc>
        <w:tc>
          <w:tcPr/>
          <w:p>
            <w:pPr>
              <w:pStyle w:val="Compact"/>
              <w:jc w:val="center"/>
            </w:pPr>
            <w:r>
              <w:t xml:space="preserve">32</w:t>
            </w:r>
          </w:p>
        </w:tc>
        <w:tc>
          <w:tcPr/>
          <w:p>
            <w:pPr>
              <w:pStyle w:val="Compact"/>
              <w:jc w:val="center"/>
            </w:pPr>
            <w:r>
              <w:t xml:space="preserve">4</w:t>
            </w:r>
            <m:oMath>
              <m:r>
                <m:rPr>
                  <m:sty m:val="p"/>
                </m:rPr>
                <m:t>×</m:t>
              </m:r>
            </m:oMath>
            <w:r>
              <w:t xml:space="preserve"> </w:t>
            </w:r>
            <w:r>
              <w:t xml:space="preserve">vs</w:t>
            </w:r>
            <w:r>
              <w:t xml:space="preserve"> </w:t>
            </w:r>
            <m:oMath>
              <m:r>
                <m:t>P</m:t>
              </m:r>
              <m:r>
                <m:rPr>
                  <m:sty m:val="p"/>
                </m:rPr>
                <m:t>=</m:t>
              </m:r>
              <m:r>
                <m:t>32</m:t>
              </m:r>
            </m:oMath>
          </w:p>
        </w:tc>
        <w:tc>
          <w:tcPr/>
          <w:p>
            <w:pPr>
              <w:pStyle w:val="Compact"/>
              <w:jc w:val="center"/>
            </w:pPr>
            <m:oMath>
              <m:r>
                <m:rPr>
                  <m:sty m:val="p"/>
                </m:rPr>
                <m:t>≈</m:t>
              </m:r>
            </m:oMath>
            <w:r>
              <w:t xml:space="preserve">4 MB</w:t>
            </w:r>
          </w:p>
        </w:tc>
      </w:tr>
      <w:tr>
        <w:tc>
          <w:tcPr/>
          <w:p>
            <w:pPr>
              <w:pStyle w:val="Compact"/>
              <w:jc w:val="center"/>
            </w:pPr>
            <w:r>
              <w:t xml:space="preserve">32</w:t>
            </w:r>
          </w:p>
        </w:tc>
        <w:tc>
          <w:tcPr/>
          <w:p>
            <w:pPr>
              <w:pStyle w:val="Compact"/>
              <w:jc w:val="center"/>
            </w:pPr>
            <w:r>
              <w:t xml:space="preserve">16</w:t>
            </w:r>
          </w:p>
        </w:tc>
        <w:tc>
          <w:tcPr/>
          <w:p>
            <w:pPr>
              <w:pStyle w:val="Compact"/>
              <w:jc w:val="center"/>
            </w:pPr>
            <w:r>
              <w:t xml:space="preserve">1</w:t>
            </w:r>
            <m:oMath>
              <m:r>
                <m:rPr>
                  <m:sty m:val="p"/>
                </m:rPr>
                <m:t>×</m:t>
              </m:r>
            </m:oMath>
            <w:r>
              <w:t xml:space="preserve"> </w:t>
            </w:r>
            <w:r>
              <w:t xml:space="preserve">baseline</w:t>
            </w:r>
          </w:p>
        </w:tc>
        <w:tc>
          <w:tcPr/>
          <w:p>
            <w:pPr>
              <w:pStyle w:val="Compact"/>
              <w:jc w:val="center"/>
            </w:pPr>
            <m:oMath>
              <m:r>
                <m:rPr>
                  <m:sty m:val="p"/>
                </m:rPr>
                <m:t>≈</m:t>
              </m:r>
            </m:oMath>
            <w:r>
              <w:t xml:space="preserve">1 MB</w:t>
            </w:r>
          </w:p>
        </w:tc>
      </w:tr>
    </w:tbl>
    <w:bookmarkEnd w:id="71"/>
    <w:p>
      <w:pPr>
        <w:pStyle w:val="BodyText"/>
      </w:pPr>
      <w:r>
        <w:t xml:space="preserve">The throughput table and memory estimate explain the suitability of patch-32 under this budget: it reduces attention memory and epoch runtime while preserving sufficient representational capacity for the latent objective.</w:t>
      </w:r>
    </w:p>
    <w:bookmarkStart w:id="73" w:name="Xb3f02d8ff119677654000b9c4cdc911d7a8e5e4"/>
    <w:p>
      <w:pPr>
        <w:pStyle w:val="Heading2"/>
      </w:pPr>
      <w:r>
        <w:t xml:space="preserve">Patch-Dependent Parameterization and Fairness</w:t>
      </w:r>
    </w:p>
    <w:p>
      <w:pPr>
        <w:pStyle w:val="FirstParagraph"/>
      </w:pPr>
      <w:r>
        <w:t xml:space="preserve">Patch ablations are close to, but not exactly, iso-parameter in this implementation. The patch-dependent portion of model parameters is the sum of Conv1d patch embedding parameters and positional embedding parameters:</w:t>
      </w:r>
    </w:p>
    <w:p>
      <w:pPr>
        <w:pStyle w:val="BodyText"/>
      </w:pPr>
      <m:oMathPara>
        <m:oMathParaPr>
          <m:jc m:val="center"/>
        </m:oMathParaPr>
        <m:oMath>
          <m:sSub>
            <m:e>
              <m:r>
                <m:t>Θ</m:t>
              </m:r>
            </m:e>
            <m:sub>
              <m:r>
                <m:rPr>
                  <m:nor/>
                  <m:sty m:val="p"/>
                </m:rPr>
                <m:t>patch</m:t>
              </m:r>
            </m:sub>
          </m:sSub>
          <m:d>
            <m:dPr>
              <m:begChr m:val="("/>
              <m:endChr m:val=")"/>
              <m:sepChr m:val=""/>
              <m:grow/>
            </m:dPr>
            <m:e>
              <m:r>
                <m:t>P</m:t>
              </m:r>
            </m:e>
          </m:d>
          <m:r>
            <m:rPr>
              <m:sty m:val="p"/>
            </m:rPr>
            <m:t>=</m:t>
          </m:r>
          <m:r>
            <m:t>d</m:t>
          </m:r>
          <m:d>
            <m:dPr>
              <m:begChr m:val="("/>
              <m:endChr m:val=")"/>
              <m:sepChr m:val=""/>
              <m:grow/>
            </m:dPr>
            <m:e>
              <m:r>
                <m:t>P</m:t>
              </m:r>
              <m:r>
                <m:rPr>
                  <m:sty m:val="p"/>
                </m:rPr>
                <m:t>+</m:t>
              </m:r>
              <m:r>
                <m:t>1</m:t>
              </m:r>
            </m:e>
          </m:d>
          <m:r>
            <m:rPr>
              <m:sty m:val="p"/>
            </m:rPr>
            <m:t>+</m:t>
          </m:r>
          <m:r>
            <m:t>d</m:t>
          </m:r>
          <m:f>
            <m:fPr>
              <m:type m:val="bar"/>
            </m:fPr>
            <m:num>
              <m:r>
                <m:t>L</m:t>
              </m:r>
            </m:num>
            <m:den>
              <m:r>
                <m:t>P</m:t>
              </m:r>
            </m:den>
          </m:f>
          <m:r>
            <m:t> </m:t>
          </m:r>
          <m:r>
            <m:rPr>
              <m:sty m:val="p"/>
            </m:rPr>
            <m:t>.</m:t>
          </m:r>
        </m:oMath>
      </m:oMathPara>
    </w:p>
    <w:p>
      <w:pPr>
        <w:pStyle w:val="FirstParagraph"/>
      </w:pPr>
      <w:r>
        <w:t xml:space="preserve">For</w:t>
      </w:r>
      <w:r>
        <w:t xml:space="preserve"> </w:t>
      </w:r>
      <m:oMath>
        <m:d>
          <m:dPr>
            <m:begChr m:val="("/>
            <m:endChr m:val=")"/>
            <m:sepChr m:val=""/>
            <m:grow/>
          </m:dPr>
          <m:e>
            <m:r>
              <m:t>L</m:t>
            </m:r>
            <m:r>
              <m:rPr>
                <m:sty m:val="p"/>
              </m:rPr>
              <m:t>,</m:t>
            </m:r>
            <m:r>
              <m:t>d</m:t>
            </m:r>
          </m:e>
        </m:d>
        <m:r>
          <m:rPr>
            <m:sty m:val="p"/>
          </m:rPr>
          <m:t>=</m:t>
        </m:r>
        <m:d>
          <m:dPr>
            <m:begChr m:val="("/>
            <m:endChr m:val=")"/>
            <m:sepChr m:val=""/>
            <m:grow/>
          </m:dPr>
          <m:e>
            <m:r>
              <m:t>512</m:t>
            </m:r>
            <m:r>
              <m:rPr>
                <m:sty m:val="p"/>
              </m:rPr>
              <m:t>,</m:t>
            </m:r>
            <m:r>
              <m:t>128</m:t>
            </m:r>
          </m:e>
        </m:d>
      </m:oMath>
      <w:r>
        <w:t xml:space="preserve">, this gives</w:t>
      </w:r>
      <w:r>
        <w:t xml:space="preserve"> </w:t>
      </w:r>
      <m:oMath>
        <m:sSub>
          <m:e>
            <m:r>
              <m:t>Θ</m:t>
            </m:r>
          </m:e>
          <m:sub>
            <m:r>
              <m:rPr>
                <m:nor/>
                <m:sty m:val="p"/>
              </m:rPr>
              <m:t>patch</m:t>
            </m:r>
          </m:sub>
        </m:sSub>
        <m:d>
          <m:dPr>
            <m:begChr m:val="("/>
            <m:endChr m:val=")"/>
            <m:sepChr m:val=""/>
            <m:grow/>
          </m:dPr>
          <m:e>
            <m:r>
              <m:t>8</m:t>
            </m:r>
          </m:e>
        </m:d>
        <m:r>
          <m:rPr>
            <m:sty m:val="p"/>
          </m:rPr>
          <m:t>=</m:t>
        </m:r>
        <m:r>
          <m:t>9344</m:t>
        </m:r>
      </m:oMath>
      <w:r>
        <w:t xml:space="preserve"> </w:t>
      </w:r>
      <w:r>
        <w:t xml:space="preserve">and</w:t>
      </w:r>
      <w:r>
        <w:t xml:space="preserve"> </w:t>
      </w:r>
      <m:oMath>
        <m:sSub>
          <m:e>
            <m:r>
              <m:t>Θ</m:t>
            </m:r>
          </m:e>
          <m:sub>
            <m:r>
              <m:rPr>
                <m:nor/>
                <m:sty m:val="p"/>
              </m:rPr>
              <m:t>patch</m:t>
            </m:r>
          </m:sub>
        </m:sSub>
        <m:d>
          <m:dPr>
            <m:begChr m:val="("/>
            <m:endChr m:val=")"/>
            <m:sepChr m:val=""/>
            <m:grow/>
          </m:dPr>
          <m:e>
            <m:r>
              <m:t>16</m:t>
            </m:r>
          </m:e>
        </m:d>
        <m:r>
          <m:rPr>
            <m:sty m:val="p"/>
          </m:rPr>
          <m:t>=</m:t>
        </m:r>
        <m:sSub>
          <m:e>
            <m:r>
              <m:t>Θ</m:t>
            </m:r>
          </m:e>
          <m:sub>
            <m:r>
              <m:rPr>
                <m:nor/>
                <m:sty m:val="p"/>
              </m:rPr>
              <m:t>patch</m:t>
            </m:r>
          </m:sub>
        </m:sSub>
        <m:d>
          <m:dPr>
            <m:begChr m:val="("/>
            <m:endChr m:val=")"/>
            <m:sepChr m:val=""/>
            <m:grow/>
          </m:dPr>
          <m:e>
            <m:r>
              <m:t>32</m:t>
            </m:r>
          </m:e>
        </m:d>
        <m:r>
          <m:rPr>
            <m:sty m:val="p"/>
          </m:rPr>
          <m:t>=</m:t>
        </m:r>
        <m:r>
          <m:t>6272</m:t>
        </m:r>
      </m:oMath>
      <w:r>
        <w:t xml:space="preserve">. The run artifacts confirm total-parameter counts of 835</w:t>
      </w:r>
      <w:r>
        <w:t xml:space="preserve">,</w:t>
      </w:r>
      <w:r>
        <w:t xml:space="preserve">586 for patch-8 and 832</w:t>
      </w:r>
      <w:r>
        <w:t xml:space="preserve">,</w:t>
      </w:r>
      <w:r>
        <w:t xml:space="preserve">514 for patch-16/32.</w:t>
      </w:r>
    </w:p>
    <w:bookmarkStart w:id="72" w:name="tab:param_count"/>
    <w:p>
      <w:pPr>
        <w:pStyle w:val="TableCaption"/>
      </w:pPr>
      <w:r>
        <w:t xml:space="preserve">Measured Parameter Counts Across Patch Settings</w:t>
      </w:r>
    </w:p>
    <w:tbl>
      <w:tblPr>
        <w:tblStyle w:val="Table"/>
        <w:tblW w:type="auto" w:w="0"/>
        <w:tblLook w:firstRow="1" w:lastRow="0" w:firstColumn="0" w:lastColumn="0" w:noHBand="0" w:noVBand="0" w:val="0020"/>
        <w:tblCaption w:val="Measured Parameter Counts Across Patch Settings"/>
      </w:tblPr>
      <w:tblGrid>
        <w:gridCol w:w="1980"/>
        <w:gridCol w:w="1980"/>
        <w:gridCol w:w="1980"/>
        <w:gridCol w:w="1980"/>
      </w:tblGrid>
      <w:tr>
        <w:trPr>
          <w:tblHeader w:val="on"/>
        </w:trPr>
        <w:tc>
          <w:tcPr/>
          <w:p>
            <w:pPr>
              <w:pStyle w:val="Compact"/>
              <w:jc w:val="center"/>
            </w:pPr>
            <w:r>
              <w:t xml:space="preserve">Patch</w:t>
            </w:r>
            <w:r>
              <w:t xml:space="preserve"> </w:t>
            </w:r>
            <m:oMath>
              <m:r>
                <m:t>P</m:t>
              </m:r>
            </m:oMath>
          </w:p>
        </w:tc>
        <w:tc>
          <w:tcPr/>
          <w:p>
            <w:pPr>
              <w:pStyle w:val="Compact"/>
              <w:jc w:val="center"/>
            </w:pPr>
            <w:r>
              <w:t xml:space="preserve">Tokens</w:t>
            </w:r>
            <w:r>
              <w:t xml:space="preserve"> </w:t>
            </w:r>
            <m:oMath>
              <m:r>
                <m:t>N</m:t>
              </m:r>
            </m:oMath>
          </w:p>
        </w:tc>
        <w:tc>
          <w:tcPr/>
          <w:p>
            <w:pPr>
              <w:pStyle w:val="Compact"/>
              <w:jc w:val="center"/>
            </w:pPr>
            <w:r>
              <w:t xml:space="preserve">Total Params</w:t>
            </w:r>
          </w:p>
        </w:tc>
        <w:tc>
          <w:tcPr/>
          <w:p>
            <w:pPr>
              <w:pStyle w:val="Compact"/>
              <w:jc w:val="center"/>
            </w:pPr>
            <w:r>
              <w:t xml:space="preserve">Relative to</w:t>
            </w:r>
            <w:r>
              <w:t xml:space="preserve"> </w:t>
            </w:r>
            <m:oMath>
              <m:r>
                <m:t>P</m:t>
              </m:r>
              <m:r>
                <m:rPr>
                  <m:sty m:val="p"/>
                </m:rPr>
                <m:t>=</m:t>
              </m:r>
              <m:r>
                <m:t>16</m:t>
              </m:r>
            </m:oMath>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835</w:t>
            </w:r>
            <w:r>
              <w:t xml:space="preserve">,</w:t>
            </w:r>
            <w:r>
              <w:t xml:space="preserve">586</w:t>
            </w:r>
          </w:p>
        </w:tc>
        <w:tc>
          <w:tcPr/>
          <w:p>
            <w:pPr>
              <w:pStyle w:val="Compact"/>
              <w:jc w:val="center"/>
            </w:pPr>
            <w:r>
              <w:t xml:space="preserve">+0.369%</w:t>
            </w:r>
          </w:p>
        </w:tc>
      </w:tr>
      <w:tr>
        <w:tc>
          <w:tcPr/>
          <w:p>
            <w:pPr>
              <w:pStyle w:val="Compact"/>
              <w:jc w:val="center"/>
            </w:pPr>
            <w:r>
              <w:t xml:space="preserve">16</w:t>
            </w:r>
          </w:p>
        </w:tc>
        <w:tc>
          <w:tcPr/>
          <w:p>
            <w:pPr>
              <w:pStyle w:val="Compact"/>
              <w:jc w:val="center"/>
            </w:pPr>
            <w:r>
              <w:t xml:space="preserve">32</w:t>
            </w:r>
          </w:p>
        </w:tc>
        <w:tc>
          <w:tcPr/>
          <w:p>
            <w:pPr>
              <w:pStyle w:val="Compact"/>
              <w:jc w:val="center"/>
            </w:pPr>
            <w:r>
              <w:t xml:space="preserve">832</w:t>
            </w:r>
            <w:r>
              <w:t xml:space="preserve">,</w:t>
            </w:r>
            <w:r>
              <w:t xml:space="preserve">514</w:t>
            </w:r>
          </w:p>
        </w:tc>
        <w:tc>
          <w:tcPr/>
          <w:p>
            <w:pPr>
              <w:pStyle w:val="Compact"/>
              <w:jc w:val="center"/>
            </w:pPr>
            <w:r>
              <w:t xml:space="preserve">baseline</w:t>
            </w:r>
          </w:p>
        </w:tc>
      </w:tr>
      <w:tr>
        <w:tc>
          <w:tcPr/>
          <w:p>
            <w:pPr>
              <w:pStyle w:val="Compact"/>
              <w:jc w:val="center"/>
            </w:pPr>
            <w:r>
              <w:t xml:space="preserve">32</w:t>
            </w:r>
          </w:p>
        </w:tc>
        <w:tc>
          <w:tcPr/>
          <w:p>
            <w:pPr>
              <w:pStyle w:val="Compact"/>
              <w:jc w:val="center"/>
            </w:pPr>
            <w:r>
              <w:t xml:space="preserve">16</w:t>
            </w:r>
          </w:p>
        </w:tc>
        <w:tc>
          <w:tcPr/>
          <w:p>
            <w:pPr>
              <w:pStyle w:val="Compact"/>
              <w:jc w:val="center"/>
            </w:pPr>
            <w:r>
              <w:t xml:space="preserve">832</w:t>
            </w:r>
            <w:r>
              <w:t xml:space="preserve">,</w:t>
            </w:r>
            <w:r>
              <w:t xml:space="preserve">514</w:t>
            </w:r>
          </w:p>
        </w:tc>
        <w:tc>
          <w:tcPr/>
          <w:p>
            <w:pPr>
              <w:pStyle w:val="Compact"/>
              <w:jc w:val="center"/>
            </w:pPr>
            <w:r>
              <w:t xml:space="preserve">0.000%</w:t>
            </w:r>
          </w:p>
        </w:tc>
      </w:tr>
    </w:tbl>
    <w:bookmarkEnd w:id="72"/>
    <w:p>
      <w:pPr>
        <w:pStyle w:val="BodyText"/>
      </w:pPr>
      <w:r>
        <w:t xml:space="preserve">The parameter mismatch is negligible (+0.37%), so the observed differences are primarily attributable to tokenization granularity and attention scaling.</w:t>
      </w:r>
    </w:p>
    <w:bookmarkEnd w:id="73"/>
    <w:bookmarkEnd w:id="74"/>
    <w:bookmarkStart w:id="76" w:name="X95963742df872a9d9adc4454714bd316a54863c"/>
    <w:p>
      <w:pPr>
        <w:pStyle w:val="Heading1"/>
      </w:pPr>
      <w:r>
        <w:t xml:space="preserve">Step Budget vs. Wall-Clock Budget Interpretation</w:t>
      </w:r>
    </w:p>
    <w:p>
      <w:pPr>
        <w:pStyle w:val="FirstParagraph"/>
      </w:pPr>
      <w:r>
        <w:t xml:space="preserve">All ablations in this study are step-matched: each setting runs exactly 20 optimizer steps. That isolates per-update behavior, but it does not equalize wall-clock training. Because step time depends strongly on patch length, fixed-time conclusions can differ from fixed-step conclusions.</w:t>
      </w:r>
    </w:p>
    <w:p>
      <w:pPr>
        <w:pStyle w:val="BodyText"/>
      </w:pPr>
      <w:r>
        <w:t xml:space="preserve">Let mean epoch time for configuration</w:t>
      </w:r>
      <w:r>
        <w:t xml:space="preserve"> </w:t>
      </w:r>
      <m:oMath>
        <m:r>
          <m:t>c</m:t>
        </m:r>
      </m:oMath>
      <w:r>
        <w:t xml:space="preserve"> </w:t>
      </w:r>
      <w:r>
        <w:t xml:space="preserve">be</w:t>
      </w:r>
      <w:r>
        <w:t xml:space="preserve"> </w:t>
      </w:r>
      <m:oMath>
        <m:sSub>
          <m:e>
            <m:acc>
              <m:accPr>
                <m:chr m:val="‾"/>
              </m:accPr>
              <m:e>
                <m:r>
                  <m:t>t</m:t>
                </m:r>
              </m:e>
            </m:acc>
          </m:e>
          <m:sub>
            <m:r>
              <m:rPr>
                <m:nor/>
                <m:sty m:val="p"/>
              </m:rPr>
              <m:t>epoch</m:t>
            </m:r>
            <m:r>
              <m:rPr>
                <m:sty m:val="p"/>
              </m:rPr>
              <m:t>,</m:t>
            </m:r>
            <m:r>
              <m:t>c</m:t>
            </m:r>
          </m:sub>
        </m:sSub>
      </m:oMath>
      <w:r>
        <w:t xml:space="preserve"> </w:t>
      </w:r>
      <w:r>
        <w:t xml:space="preserve">and epoch step count be</w:t>
      </w:r>
      <w:r>
        <w:t xml:space="preserve"> </w:t>
      </w:r>
      <m:oMath>
        <m:r>
          <m:t>S</m:t>
        </m:r>
      </m:oMath>
      <w:r>
        <w:t xml:space="preserve">. Mean step time is</w:t>
      </w:r>
    </w:p>
    <w:p>
      <w:pPr>
        <w:pStyle w:val="BodyText"/>
      </w:pPr>
      <m:oMathPara>
        <m:oMathParaPr>
          <m:jc m:val="center"/>
        </m:oMathParaPr>
        <m:oMath>
          <m:sSub>
            <m:e>
              <m:acc>
                <m:accPr>
                  <m:chr m:val="‾"/>
                </m:accPr>
                <m:e>
                  <m:r>
                    <m:t>t</m:t>
                  </m:r>
                </m:e>
              </m:acc>
            </m:e>
            <m:sub>
              <m:r>
                <m:rPr>
                  <m:nor/>
                  <m:sty m:val="p"/>
                </m:rPr>
                <m:t>step</m:t>
              </m:r>
              <m:r>
                <m:rPr>
                  <m:sty m:val="p"/>
                </m:rPr>
                <m:t>,</m:t>
              </m:r>
              <m:r>
                <m:t>c</m:t>
              </m:r>
            </m:sub>
          </m:sSub>
          <m:r>
            <m:rPr>
              <m:sty m:val="p"/>
            </m:rPr>
            <m:t>=</m:t>
          </m:r>
          <m:f>
            <m:fPr>
              <m:type m:val="bar"/>
            </m:fPr>
            <m:num>
              <m:sSub>
                <m:e>
                  <m:acc>
                    <m:accPr>
                      <m:chr m:val="‾"/>
                    </m:accPr>
                    <m:e>
                      <m:r>
                        <m:t>t</m:t>
                      </m:r>
                    </m:e>
                  </m:acc>
                </m:e>
                <m:sub>
                  <m:r>
                    <m:rPr>
                      <m:nor/>
                      <m:sty m:val="p"/>
                    </m:rPr>
                    <m:t>epoch</m:t>
                  </m:r>
                  <m:r>
                    <m:rPr>
                      <m:sty m:val="p"/>
                    </m:rPr>
                    <m:t>,</m:t>
                  </m:r>
                  <m:r>
                    <m:t>c</m:t>
                  </m:r>
                </m:sub>
              </m:sSub>
            </m:num>
            <m:den>
              <m:r>
                <m:t>S</m:t>
              </m:r>
            </m:den>
          </m:f>
          <m:r>
            <m:t> </m:t>
          </m:r>
          <m:r>
            <m:rPr>
              <m:sty m:val="p"/>
            </m:rPr>
            <m:t>.</m:t>
          </m:r>
        </m:oMath>
      </m:oMathPara>
    </w:p>
    <w:p>
      <w:pPr>
        <w:pStyle w:val="FirstParagraph"/>
      </w:pPr>
      <w:r>
        <w:t xml:space="preserve">For a wall-clock budget</w:t>
      </w:r>
      <w:r>
        <w:t xml:space="preserve"> </w:t>
      </w:r>
      <m:oMath>
        <m:r>
          <m:t>B</m:t>
        </m:r>
      </m:oMath>
      <w:r>
        <w:t xml:space="preserve"> </w:t>
      </w:r>
      <w:r>
        <w:t xml:space="preserve">seconds, expected available optimizer steps are</w:t>
      </w:r>
    </w:p>
    <w:p>
      <w:pPr>
        <w:pStyle w:val="BodyText"/>
      </w:pPr>
      <m:oMathPara>
        <m:oMathParaPr>
          <m:jc m:val="center"/>
        </m:oMathParaPr>
        <m:oMath>
          <m:sSub>
            <m:e>
              <m:r>
                <m:rPr>
                  <m:sty m:val="p"/>
                  <m:scr m:val="script"/>
                </m:rPr>
                <m:t>S</m:t>
              </m:r>
            </m:e>
            <m:sub>
              <m:r>
                <m:rPr>
                  <m:nor/>
                  <m:sty m:val="p"/>
                </m:rPr>
                <m:t>wall</m:t>
              </m:r>
            </m:sub>
          </m:sSub>
          <m:d>
            <m:dPr>
              <m:begChr m:val="("/>
              <m:endChr m:val=")"/>
              <m:sepChr m:val=""/>
              <m:grow/>
            </m:dPr>
            <m:e>
              <m:r>
                <m:t>B</m:t>
              </m:r>
              <m:r>
                <m:rPr>
                  <m:sty m:val="p"/>
                </m:rPr>
                <m:t>,</m:t>
              </m:r>
              <m:r>
                <m:t>c</m:t>
              </m:r>
            </m:e>
          </m:d>
          <m:r>
            <m:rPr>
              <m:sty m:val="p"/>
            </m:rPr>
            <m:t>=</m:t>
          </m:r>
          <m:d>
            <m:dPr>
              <m:begChr m:val="⌊"/>
              <m:endChr m:val="⌋"/>
              <m:sepChr m:val=""/>
              <m:grow/>
            </m:dPr>
            <m:e>
              <m:f>
                <m:fPr>
                  <m:type m:val="bar"/>
                </m:fPr>
                <m:num>
                  <m:r>
                    <m:t>B</m:t>
                  </m:r>
                </m:num>
                <m:den>
                  <m:sSub>
                    <m:e>
                      <m:acc>
                        <m:accPr>
                          <m:chr m:val="‾"/>
                        </m:accPr>
                        <m:e>
                          <m:r>
                            <m:t>t</m:t>
                          </m:r>
                        </m:e>
                      </m:acc>
                    </m:e>
                    <m:sub>
                      <m:r>
                        <m:rPr>
                          <m:nor/>
                          <m:sty m:val="p"/>
                        </m:rPr>
                        <m:t>step</m:t>
                      </m:r>
                      <m:r>
                        <m:rPr>
                          <m:sty m:val="p"/>
                        </m:rPr>
                        <m:t>,</m:t>
                      </m:r>
                      <m:r>
                        <m:t>c</m:t>
                      </m:r>
                    </m:sub>
                  </m:sSub>
                </m:den>
              </m:f>
            </m:e>
          </m:d>
          <m:r>
            <m:t> </m:t>
          </m:r>
          <m:r>
            <m:rPr>
              <m:sty m:val="p"/>
            </m:rPr>
            <m:t>.</m:t>
          </m:r>
        </m:oMath>
      </m:oMathPara>
    </w:p>
    <w:p>
      <w:pPr>
        <w:pStyle w:val="FirstParagraph"/>
      </w:pPr>
      <w:r>
        <w:t xml:space="preserve">Using measured means from Table </w:t>
      </w:r>
      <w:hyperlink w:anchor="tab:patch_multiseed">
        <w:r>
          <w:rPr>
            <w:rStyle w:val="Hyperlink"/>
          </w:rPr>
          <w:t xml:space="preserve">7</w:t>
        </w:r>
      </w:hyperlink>
      <w:r>
        <w:t xml:space="preserve"> </w:t>
      </w:r>
      <w:r>
        <w:t xml:space="preserve">with</w:t>
      </w:r>
      <w:r>
        <w:t xml:space="preserve"> </w:t>
      </w:r>
      <m:oMath>
        <m:r>
          <m:t>S</m:t>
        </m:r>
        <m:r>
          <m:rPr>
            <m:sty m:val="p"/>
          </m:rPr>
          <m:t>=</m:t>
        </m:r>
        <m:r>
          <m:t>20</m:t>
        </m:r>
      </m:oMath>
      <w:r>
        <w:t xml:space="preserve">, Table </w:t>
      </w:r>
      <w:hyperlink w:anchor="tab:wallclock_steps">
        <w:r>
          <w:rPr>
            <w:rStyle w:val="Hyperlink"/>
          </w:rPr>
          <w:t xml:space="preserve">13</w:t>
        </w:r>
      </w:hyperlink>
      <w:r>
        <w:t xml:space="preserve"> </w:t>
      </w:r>
      <w:r>
        <w:t xml:space="preserve">gives concrete budget translations.</w:t>
      </w:r>
    </w:p>
    <w:bookmarkStart w:id="75" w:name="tab:wallclock_steps"/>
    <w:p>
      <w:pPr>
        <w:pStyle w:val="TableCaption"/>
      </w:pPr>
      <w:r>
        <w:t xml:space="preserve">Equivalent Optimizer Steps Under Fixed Wall-Clock Budgets</w:t>
      </w:r>
    </w:p>
    <w:tbl>
      <w:tblPr>
        <w:tblStyle w:val="Table"/>
        <w:tblW w:type="auto" w:w="0"/>
        <w:tblLook w:firstRow="1" w:lastRow="0" w:firstColumn="0" w:lastColumn="0" w:noHBand="0" w:noVBand="0" w:val="0020"/>
        <w:tblCaption w:val="Equivalent Optimizer Steps Under Fixed Wall-Clock Budgets"/>
      </w:tblPr>
      <w:tblGrid>
        <w:gridCol w:w="1980"/>
        <w:gridCol w:w="1980"/>
        <w:gridCol w:w="1980"/>
        <w:gridCol w:w="1980"/>
      </w:tblGrid>
      <w:tr>
        <w:trPr>
          <w:tblHeader w:val="on"/>
        </w:trPr>
        <w:tc>
          <w:tcPr/>
          <w:p>
            <w:pPr>
              <w:pStyle w:val="Compact"/>
              <w:jc w:val="center"/>
            </w:pPr>
            <w:r>
              <w:t xml:space="preserve">Patch</w:t>
            </w:r>
            <w:r>
              <w:t xml:space="preserve"> </w:t>
            </w:r>
            <m:oMath>
              <m:r>
                <m:t>P</m:t>
              </m:r>
            </m:oMath>
          </w:p>
        </w:tc>
        <w:tc>
          <w:tcPr/>
          <w:p>
            <w:pPr>
              <w:pStyle w:val="Compact"/>
              <w:jc w:val="center"/>
            </w:pPr>
            <w:r>
              <w:t xml:space="preserve">Steps in 30s</w:t>
            </w:r>
          </w:p>
        </w:tc>
        <w:tc>
          <w:tcPr/>
          <w:p>
            <w:pPr>
              <w:pStyle w:val="Compact"/>
              <w:jc w:val="center"/>
            </w:pPr>
            <w:r>
              <w:t xml:space="preserve">Steps in 60s</w:t>
            </w:r>
          </w:p>
        </w:tc>
        <w:tc>
          <w:tcPr/>
          <w:p>
            <w:pPr>
              <w:pStyle w:val="Compact"/>
              <w:jc w:val="center"/>
            </w:pPr>
            <w:r>
              <w:t xml:space="preserve">Steps in 120s</w:t>
            </w:r>
          </w:p>
        </w:tc>
      </w:tr>
      <w:tr>
        <w:tc>
          <w:tcPr/>
          <w:p>
            <w:pPr>
              <w:pStyle w:val="Compact"/>
              <w:jc w:val="center"/>
            </w:pPr>
            <w:r>
              <w:t xml:space="preserve">8</w:t>
            </w:r>
          </w:p>
        </w:tc>
        <w:tc>
          <w:tcPr/>
          <w:p>
            <w:pPr>
              <w:pStyle w:val="Compact"/>
              <w:jc w:val="center"/>
            </w:pPr>
            <w:r>
              <w:t xml:space="preserve">229</w:t>
            </w:r>
          </w:p>
        </w:tc>
        <w:tc>
          <w:tcPr/>
          <w:p>
            <w:pPr>
              <w:pStyle w:val="Compact"/>
              <w:jc w:val="center"/>
            </w:pPr>
            <w:r>
              <w:t xml:space="preserve">458</w:t>
            </w:r>
          </w:p>
        </w:tc>
        <w:tc>
          <w:tcPr/>
          <w:p>
            <w:pPr>
              <w:pStyle w:val="Compact"/>
              <w:jc w:val="center"/>
            </w:pPr>
            <w:r>
              <w:t xml:space="preserve">917</w:t>
            </w:r>
          </w:p>
        </w:tc>
      </w:tr>
      <w:tr>
        <w:tc>
          <w:tcPr/>
          <w:p>
            <w:pPr>
              <w:pStyle w:val="Compact"/>
              <w:jc w:val="center"/>
            </w:pPr>
            <w:r>
              <w:t xml:space="preserve">16</w:t>
            </w:r>
          </w:p>
        </w:tc>
        <w:tc>
          <w:tcPr/>
          <w:p>
            <w:pPr>
              <w:pStyle w:val="Compact"/>
              <w:jc w:val="center"/>
            </w:pPr>
            <w:r>
              <w:t xml:space="preserve">406</w:t>
            </w:r>
          </w:p>
        </w:tc>
        <w:tc>
          <w:tcPr/>
          <w:p>
            <w:pPr>
              <w:pStyle w:val="Compact"/>
              <w:jc w:val="center"/>
            </w:pPr>
            <w:r>
              <w:t xml:space="preserve">813</w:t>
            </w:r>
          </w:p>
        </w:tc>
        <w:tc>
          <w:tcPr/>
          <w:p>
            <w:pPr>
              <w:pStyle w:val="Compact"/>
              <w:jc w:val="center"/>
            </w:pPr>
            <w:r>
              <w:t xml:space="preserve">1627</w:t>
            </w:r>
          </w:p>
        </w:tc>
      </w:tr>
      <w:tr>
        <w:tc>
          <w:tcPr/>
          <w:p>
            <w:pPr>
              <w:pStyle w:val="Compact"/>
              <w:jc w:val="center"/>
            </w:pPr>
            <w:r>
              <w:t xml:space="preserve">32</w:t>
            </w:r>
          </w:p>
        </w:tc>
        <w:tc>
          <w:tcPr/>
          <w:p>
            <w:pPr>
              <w:pStyle w:val="Compact"/>
              <w:jc w:val="center"/>
            </w:pPr>
            <w:r>
              <w:t xml:space="preserve">671</w:t>
            </w:r>
          </w:p>
        </w:tc>
        <w:tc>
          <w:tcPr/>
          <w:p>
            <w:pPr>
              <w:pStyle w:val="Compact"/>
              <w:jc w:val="center"/>
            </w:pPr>
            <w:r>
              <w:t xml:space="preserve">1342</w:t>
            </w:r>
          </w:p>
        </w:tc>
        <w:tc>
          <w:tcPr/>
          <w:p>
            <w:pPr>
              <w:pStyle w:val="Compact"/>
              <w:jc w:val="center"/>
            </w:pPr>
            <w:r>
              <w:t xml:space="preserve">2684</w:t>
            </w:r>
          </w:p>
        </w:tc>
      </w:tr>
    </w:tbl>
    <w:bookmarkEnd w:id="75"/>
    <w:p>
      <w:pPr>
        <w:pStyle w:val="BodyText"/>
      </w:pPr>
      <w:r>
        <w:t xml:space="preserve">At a 60-second budget, patch-32 receives about</w:t>
      </w:r>
      <w:r>
        <w:t xml:space="preserve"> </w:t>
      </w:r>
      <m:oMath>
        <m:r>
          <m:t>1.65</m:t>
        </m:r>
        <m:r>
          <m:rPr>
            <m:sty m:val="p"/>
          </m:rPr>
          <m:t>×</m:t>
        </m:r>
      </m:oMath>
      <w:r>
        <w:t xml:space="preserve"> </w:t>
      </w:r>
      <w:r>
        <w:t xml:space="preserve">more updates than patch-16 and</w:t>
      </w:r>
      <w:r>
        <w:t xml:space="preserve"> </w:t>
      </w:r>
      <m:oMath>
        <m:r>
          <m:t>2.93</m:t>
        </m:r>
        <m:r>
          <m:rPr>
            <m:sty m:val="p"/>
          </m:rPr>
          <m:t>×</m:t>
        </m:r>
      </m:oMath>
      <w:r>
        <w:t xml:space="preserve"> </w:t>
      </w:r>
      <w:r>
        <w:t xml:space="preserve">more than patch-8. Fixed-step and fixed-time evaluations answer different questions: the former isolates per-update behavior; the latter reflects practical training throughput.</w:t>
      </w:r>
    </w:p>
    <w:bookmarkEnd w:id="76"/>
    <w:bookmarkStart w:id="84" w:name="statistical-and-methodological-validity"/>
    <w:p>
      <w:pPr>
        <w:pStyle w:val="Heading1"/>
      </w:pPr>
      <w:r>
        <w:t xml:space="preserve">Statistical and Methodological Validity</w:t>
      </w:r>
    </w:p>
    <w:bookmarkStart w:id="77" w:name="internal-validity"/>
    <w:p>
      <w:pPr>
        <w:pStyle w:val="Heading2"/>
      </w:pPr>
      <w:r>
        <w:t xml:space="preserve">Internal Validity</w:t>
      </w:r>
    </w:p>
    <w:p>
      <w:pPr>
        <w:pStyle w:val="FirstParagraph"/>
      </w:pPr>
      <w:r>
        <w:t xml:space="preserve">We controlled optimizer, budget, architecture, and feature-processing settings. In the multi-seed study, each seed changes both data sampling and initialization, so replicate variance includes both components.</w:t>
      </w:r>
    </w:p>
    <w:bookmarkEnd w:id="77"/>
    <w:bookmarkStart w:id="78" w:name="construct-validity"/>
    <w:p>
      <w:pPr>
        <w:pStyle w:val="Heading2"/>
      </w:pPr>
      <w:r>
        <w:t xml:space="preserve">Construct Validity</w:t>
      </w:r>
    </w:p>
    <w:p>
      <w:pPr>
        <w:pStyle w:val="FirstParagraph"/>
      </w:pPr>
      <w:r>
        <w:t xml:space="preserve">The dependent variable is masked latent MSE, not forecasting error. It captures representation reconstruction quality under masking and should not be conflated with direct horizon-forecast skill.</w:t>
      </w:r>
    </w:p>
    <w:bookmarkEnd w:id="78"/>
    <w:bookmarkStart w:id="79" w:name="precision-limits"/>
    <w:p>
      <w:pPr>
        <w:pStyle w:val="Heading2"/>
      </w:pPr>
      <w:r>
        <w:t xml:space="preserve">Precision Limits</w:t>
      </w:r>
    </w:p>
    <w:p>
      <w:pPr>
        <w:pStyle w:val="FirstParagraph"/>
      </w:pPr>
      <w:r>
        <w:t xml:space="preserve">With</w:t>
      </w:r>
      <w:r>
        <w:t xml:space="preserve"> </w:t>
      </w:r>
      <m:oMath>
        <m:r>
          <m:t>n</m:t>
        </m:r>
        <m:r>
          <m:rPr>
            <m:sty m:val="p"/>
          </m:rPr>
          <m:t>=</m:t>
        </m:r>
        <m:r>
          <m:t>3</m:t>
        </m:r>
      </m:oMath>
      <w:r>
        <w:t xml:space="preserve"> </w:t>
      </w:r>
      <w:r>
        <w:t xml:space="preserve">seeds, confidence intervals stay wide. The analysis suffices to distinguish large effects from noise but cannot resolve small differences.</w:t>
      </w:r>
    </w:p>
    <w:bookmarkEnd w:id="79"/>
    <w:bookmarkStart w:id="81" w:name="Xb3b7032717e6ffa8812c83f0226eef292dbf01e"/>
    <w:p>
      <w:pPr>
        <w:pStyle w:val="Heading2"/>
      </w:pPr>
      <w:r>
        <w:t xml:space="preserve">Matched-Seed Nonparametric Robustness Check</w:t>
      </w:r>
    </w:p>
    <w:p>
      <w:pPr>
        <w:pStyle w:val="FirstParagraph"/>
      </w:pPr>
      <w:r>
        <w:t xml:space="preserve">For patch-length settings at fixed</w:t>
      </w:r>
      <w:r>
        <w:t xml:space="preserve"> </w:t>
      </w:r>
      <m:oMath>
        <m:r>
          <m:t>ρ</m:t>
        </m:r>
        <m:r>
          <m:rPr>
            <m:sty m:val="p"/>
          </m:rPr>
          <m:t>=</m:t>
        </m:r>
        <m:r>
          <m:t>0.4</m:t>
        </m:r>
      </m:oMath>
      <w:r>
        <w:t xml:space="preserve">, runs are matched by seed and can be analyzed with a Friedman test over per-seed ranks. Let</w:t>
      </w:r>
      <w:r>
        <w:t xml:space="preserve"> </w:t>
      </w:r>
      <m:oMath>
        <m:r>
          <m:t>N</m:t>
        </m:r>
      </m:oMath>
      <w:r>
        <w:t xml:space="preserve"> </w:t>
      </w:r>
      <w:r>
        <w:t xml:space="preserve">be the number of seeds,</w:t>
      </w:r>
      <w:r>
        <w:t xml:space="preserve"> </w:t>
      </w:r>
      <m:oMath>
        <m:r>
          <m:t>k</m:t>
        </m:r>
      </m:oMath>
      <w:r>
        <w:t xml:space="preserve"> </w:t>
      </w:r>
      <w:r>
        <w:t xml:space="preserve">the number of compared configurations, and</w:t>
      </w:r>
      <w:r>
        <w:t xml:space="preserve"> </w:t>
      </w:r>
      <m:oMath>
        <m:sSub>
          <m:e>
            <m:r>
              <m:t>R</m:t>
            </m:r>
          </m:e>
          <m:sub>
            <m:r>
              <m:t>j</m:t>
            </m:r>
          </m:sub>
        </m:sSub>
      </m:oMath>
      <w:r>
        <w:t xml:space="preserve"> </w:t>
      </w:r>
      <w:r>
        <w:t xml:space="preserve">the rank sum for configuration</w:t>
      </w:r>
      <w:r>
        <w:t xml:space="preserve"> </w:t>
      </w:r>
      <m:oMath>
        <m:r>
          <m:t>j</m:t>
        </m:r>
      </m:oMath>
      <w:r>
        <w:t xml:space="preserve">. The statistic is</w:t>
      </w:r>
    </w:p>
    <w:p>
      <w:pPr>
        <w:pStyle w:val="BodyText"/>
      </w:pPr>
      <m:oMathPara>
        <m:oMathParaPr>
          <m:jc m:val="center"/>
        </m:oMathParaPr>
        <m:oMath>
          <m:r>
            <m:t>Q</m:t>
          </m:r>
          <m:r>
            <m:rPr>
              <m:sty m:val="p"/>
            </m:rPr>
            <m:t>=</m:t>
          </m:r>
          <m:f>
            <m:fPr>
              <m:type m:val="bar"/>
            </m:fPr>
            <m:num>
              <m:r>
                <m:t>12</m:t>
              </m:r>
            </m:num>
            <m:den>
              <m:r>
                <m:t>N</m:t>
              </m:r>
              <m:r>
                <m:t>k</m:t>
              </m:r>
              <m:d>
                <m:dPr>
                  <m:begChr m:val="("/>
                  <m:endChr m:val=")"/>
                  <m:sepChr m:val=""/>
                  <m:grow/>
                </m:dPr>
                <m:e>
                  <m:r>
                    <m:t>k</m:t>
                  </m:r>
                  <m:r>
                    <m:rPr>
                      <m:sty m:val="p"/>
                    </m:rPr>
                    <m:t>+</m:t>
                  </m:r>
                  <m:r>
                    <m:t>1</m:t>
                  </m:r>
                </m:e>
              </m:d>
            </m:den>
          </m:f>
          <m:nary>
            <m:naryPr>
              <m:chr m:val="∑"/>
              <m:limLoc m:val="undOvr"/>
              <m:subHide m:val="off"/>
              <m:supHide m:val="off"/>
            </m:naryPr>
            <m:sub>
              <m:r>
                <m:t>j</m:t>
              </m:r>
              <m:r>
                <m:rPr>
                  <m:sty m:val="p"/>
                </m:rPr>
                <m:t>=</m:t>
              </m:r>
              <m:r>
                <m:t>1</m:t>
              </m:r>
            </m:sub>
            <m:sup>
              <m:r>
                <m:t>k</m:t>
              </m:r>
            </m:sup>
            <m:e>
              <m:sSubSup>
                <m:e>
                  <m:r>
                    <m:t>R</m:t>
                  </m:r>
                </m:e>
                <m:sub>
                  <m:r>
                    <m:t>j</m:t>
                  </m:r>
                </m:sub>
                <m:sup>
                  <m:r>
                    <m:t>2</m:t>
                  </m:r>
                </m:sup>
              </m:sSubSup>
            </m:e>
          </m:nary>
          <m:r>
            <m:rPr>
              <m:sty m:val="p"/>
            </m:rPr>
            <m:t>−</m:t>
          </m:r>
          <m:r>
            <m:t>3</m:t>
          </m:r>
          <m:r>
            <m:t>N</m:t>
          </m:r>
          <m:d>
            <m:dPr>
              <m:begChr m:val="("/>
              <m:endChr m:val=")"/>
              <m:sepChr m:val=""/>
              <m:grow/>
            </m:dPr>
            <m:e>
              <m:r>
                <m:t>k</m:t>
              </m:r>
              <m:r>
                <m:rPr>
                  <m:sty m:val="p"/>
                </m:rPr>
                <m:t>+</m:t>
              </m:r>
              <m:r>
                <m:t>1</m:t>
              </m:r>
            </m:e>
          </m:d>
          <m:r>
            <m:t> </m:t>
          </m:r>
          <m:r>
            <m:rPr>
              <m:sty m:val="p"/>
            </m:rPr>
            <m:t>.</m:t>
          </m:r>
        </m:oMath>
      </m:oMathPara>
    </w:p>
    <w:p>
      <w:pPr>
        <w:pStyle w:val="FirstParagraph"/>
      </w:pPr>
      <w:r>
        <w:t xml:space="preserve">Using</w:t>
      </w:r>
      <w:r>
        <w:t xml:space="preserve"> </w:t>
      </w:r>
      <m:oMath>
        <m:r>
          <m:t>N</m:t>
        </m:r>
        <m:r>
          <m:rPr>
            <m:sty m:val="p"/>
          </m:rPr>
          <m:t>=</m:t>
        </m:r>
        <m:r>
          <m:t>3</m:t>
        </m:r>
      </m:oMath>
      <w:r>
        <w:t xml:space="preserve"> </w:t>
      </w:r>
      <w:r>
        <w:t xml:space="preserve">and</w:t>
      </w:r>
      <w:r>
        <w:t xml:space="preserve"> </w:t>
      </w:r>
      <m:oMath>
        <m:r>
          <m:t>k</m:t>
        </m:r>
        <m:r>
          <m:rPr>
            <m:sty m:val="p"/>
          </m:rPr>
          <m:t>=</m:t>
        </m:r>
        <m:r>
          <m:t>3</m:t>
        </m:r>
      </m:oMath>
      <w:r>
        <w:t xml:space="preserve"> </w:t>
      </w:r>
      <w:r>
        <w:t xml:space="preserve">for</w:t>
      </w:r>
      <w:r>
        <w:t xml:space="preserve"> </w:t>
      </w:r>
      <m:oMath>
        <m:r>
          <m:t>P</m:t>
        </m:r>
        <m:r>
          <m:rPr>
            <m:sty m:val="p"/>
          </m:rPr>
          <m:t>∈</m:t>
        </m:r>
        <m:r>
          <m:rPr>
            <m:sty m:val="p"/>
          </m:rPr>
          <m:t>{</m:t>
        </m:r>
        <m:r>
          <m:t>8</m:t>
        </m:r>
        <m:r>
          <m:rPr>
            <m:sty m:val="p"/>
          </m:rPr>
          <m:t>,</m:t>
        </m:r>
        <m:r>
          <m:t>16</m:t>
        </m:r>
        <m:r>
          <m:rPr>
            <m:sty m:val="p"/>
          </m:rPr>
          <m:t>,</m:t>
        </m:r>
        <m:r>
          <m:t>32</m:t>
        </m:r>
        <m:r>
          <m:rPr>
            <m:sty m:val="p"/>
          </m:rPr>
          <m:t>}</m:t>
        </m:r>
      </m:oMath>
      <w:r>
        <w:t xml:space="preserve"> </w:t>
      </w:r>
      <w:r>
        <w:t xml:space="preserve">with lower masked MSE ranked better gives</w:t>
      </w:r>
      <w:r>
        <w:t xml:space="preserve"> </w:t>
      </w:r>
      <m:oMath>
        <m:d>
          <m:dPr>
            <m:begChr m:val="("/>
            <m:endChr m:val=")"/>
            <m:sepChr m:val=""/>
            <m:grow/>
          </m:dPr>
          <m:e>
            <m:sSub>
              <m:e>
                <m:r>
                  <m:t>R</m:t>
                </m:r>
              </m:e>
              <m:sub>
                <m:r>
                  <m:t>8</m:t>
                </m:r>
              </m:sub>
            </m:sSub>
            <m:r>
              <m:rPr>
                <m:sty m:val="p"/>
              </m:rPr>
              <m:t>,</m:t>
            </m:r>
            <m:sSub>
              <m:e>
                <m:r>
                  <m:t>R</m:t>
                </m:r>
              </m:e>
              <m:sub>
                <m:r>
                  <m:t>16</m:t>
                </m:r>
              </m:sub>
            </m:sSub>
            <m:r>
              <m:rPr>
                <m:sty m:val="p"/>
              </m:rPr>
              <m:t>,</m:t>
            </m:r>
            <m:sSub>
              <m:e>
                <m:r>
                  <m:t>R</m:t>
                </m:r>
              </m:e>
              <m:sub>
                <m:r>
                  <m:t>32</m:t>
                </m:r>
              </m:sub>
            </m:sSub>
          </m:e>
        </m:d>
        <m:r>
          <m:rPr>
            <m:sty m:val="p"/>
          </m:rPr>
          <m:t>=</m:t>
        </m:r>
        <m:d>
          <m:dPr>
            <m:begChr m:val="("/>
            <m:endChr m:val=")"/>
            <m:sepChr m:val=""/>
            <m:grow/>
          </m:dPr>
          <m:e>
            <m:r>
              <m:t>7</m:t>
            </m:r>
            <m:r>
              <m:rPr>
                <m:sty m:val="p"/>
              </m:rPr>
              <m:t>,</m:t>
            </m:r>
            <m:r>
              <m:t>6</m:t>
            </m:r>
            <m:r>
              <m:rPr>
                <m:sty m:val="p"/>
              </m:rPr>
              <m:t>,</m:t>
            </m:r>
            <m:r>
              <m:t>5</m:t>
            </m:r>
          </m:e>
        </m:d>
      </m:oMath>
      <w:r>
        <w:t xml:space="preserve">, so</w:t>
      </w:r>
      <w:r>
        <w:t xml:space="preserve"> </w:t>
      </w:r>
      <m:oMath>
        <m:r>
          <m:t>Q</m:t>
        </m:r>
        <m:r>
          <m:rPr>
            <m:sty m:val="p"/>
          </m:rPr>
          <m:t>=</m:t>
        </m:r>
        <m:r>
          <m:t>0.6667</m:t>
        </m:r>
      </m:oMath>
      <w:r>
        <w:t xml:space="preserve">. The corresponding concordance effect size is</w:t>
      </w:r>
    </w:p>
    <w:p>
      <w:pPr>
        <w:pStyle w:val="BodyText"/>
      </w:pPr>
      <m:oMathPara>
        <m:oMathParaPr>
          <m:jc m:val="center"/>
        </m:oMathParaPr>
        <m:oMath>
          <m:r>
            <m:t>W</m:t>
          </m:r>
          <m:r>
            <m:rPr>
              <m:sty m:val="p"/>
            </m:rPr>
            <m:t>=</m:t>
          </m:r>
          <m:f>
            <m:fPr>
              <m:type m:val="bar"/>
            </m:fPr>
            <m:num>
              <m:r>
                <m:t>Q</m:t>
              </m:r>
            </m:num>
            <m:den>
              <m:r>
                <m:t>N</m:t>
              </m:r>
              <m:d>
                <m:dPr>
                  <m:begChr m:val="("/>
                  <m:endChr m:val=")"/>
                  <m:sepChr m:val=""/>
                  <m:grow/>
                </m:dPr>
                <m:e>
                  <m:r>
                    <m:t>k</m:t>
                  </m:r>
                  <m:r>
                    <m:rPr>
                      <m:sty m:val="p"/>
                    </m:rPr>
                    <m:t>−</m:t>
                  </m:r>
                  <m:r>
                    <m:t>1</m:t>
                  </m:r>
                </m:e>
              </m:d>
            </m:den>
          </m:f>
          <m:r>
            <m:rPr>
              <m:sty m:val="p"/>
            </m:rPr>
            <m:t>=</m:t>
          </m:r>
          <m:r>
            <m:t>0.1111</m:t>
          </m:r>
          <m:r>
            <m:t> </m:t>
          </m:r>
          <m:r>
            <m:rPr>
              <m:sty m:val="p"/>
            </m:rPr>
            <m:t>,</m:t>
          </m:r>
        </m:oMath>
      </m:oMathPara>
    </w:p>
    <w:p>
      <w:pPr>
        <w:pStyle w:val="FirstParagraph"/>
      </w:pPr>
      <w:r>
        <w:t xml:space="preserve">with a chi-square approximation</w:t>
      </w:r>
      <w:r>
        <w:t xml:space="preserve"> </w:t>
      </w:r>
      <m:oMath>
        <m:r>
          <m:t>p</m:t>
        </m:r>
        <m:r>
          <m:rPr>
            <m:sty m:val="p"/>
          </m:rPr>
          <m:t>≈</m:t>
        </m:r>
        <m:r>
          <m:t>0.7165</m:t>
        </m:r>
      </m:oMath>
      <w:r>
        <w:t xml:space="preserve"> </w:t>
      </w:r>
      <w:r>
        <w:t xml:space="preserve">(df</w:t>
      </w:r>
      <w:r>
        <w:t xml:space="preserve"> </w:t>
      </w:r>
      <m:oMath>
        <m:r>
          <m:rPr>
            <m:sty m:val="p"/>
          </m:rPr>
          <m:t>=</m:t>
        </m:r>
        <m:r>
          <m:t>2</m:t>
        </m:r>
      </m:oMath>
      <w:r>
        <w:t xml:space="preserve">).</w:t>
      </w:r>
    </w:p>
    <w:bookmarkStart w:id="80" w:name="tab:friedman_patch"/>
    <w:p>
      <w:pPr>
        <w:pStyle w:val="TableCaption"/>
      </w:pPr>
      <w:r>
        <w:t xml:space="preserve">Friedman Rank Analysis for Patch-Length Settings (</w:t>
      </w:r>
      <m:oMath>
        <m:r>
          <m:t>ρ</m:t>
        </m:r>
        <m:r>
          <m:rPr>
            <m:sty m:val="p"/>
          </m:rPr>
          <m:t>=</m:t>
        </m:r>
        <m:r>
          <m:t>0.4</m:t>
        </m:r>
      </m:oMath>
      <w:r>
        <w:t xml:space="preserve">)</w:t>
      </w:r>
    </w:p>
    <w:tbl>
      <w:tblPr>
        <w:tblStyle w:val="Table"/>
        <w:tblW w:type="auto" w:w="0"/>
        <w:tblLook w:firstRow="1" w:lastRow="0" w:firstColumn="0" w:lastColumn="0" w:noHBand="0" w:noVBand="0" w:val="0020"/>
        <w:tblCaption w:val="Friedman Rank Analysis for Patch-Length Settings (\rho=0.4)"/>
      </w:tblPr>
      <w:tblGrid>
        <w:gridCol w:w="1980"/>
        <w:gridCol w:w="1980"/>
        <w:gridCol w:w="1980"/>
        <w:gridCol w:w="1980"/>
      </w:tblGrid>
      <w:tr>
        <w:trPr>
          <w:tblHeader w:val="on"/>
        </w:trPr>
        <w:tc>
          <w:tcPr/>
          <w:p>
            <w:pPr>
              <w:pStyle w:val="Compact"/>
              <w:jc w:val="left"/>
            </w:pPr>
            <w:r>
              <w:t xml:space="preserve">Configuration</w:t>
            </w:r>
          </w:p>
        </w:tc>
        <w:tc>
          <w:tcPr/>
          <w:p>
            <w:pPr>
              <w:pStyle w:val="Compact"/>
              <w:jc w:val="center"/>
            </w:pPr>
            <w:r>
              <w:t xml:space="preserve">Rank Sum</w:t>
            </w:r>
            <w:r>
              <w:t xml:space="preserve"> </w:t>
            </w:r>
            <m:oMath>
              <m:sSub>
                <m:e>
                  <m:r>
                    <m:t>R</m:t>
                  </m:r>
                </m:e>
                <m:sub>
                  <m:r>
                    <m:t>j</m:t>
                  </m:r>
                </m:sub>
              </m:sSub>
            </m:oMath>
          </w:p>
        </w:tc>
        <w:tc>
          <w:tcPr/>
          <w:p>
            <w:pPr>
              <w:pStyle w:val="Compact"/>
              <w:jc w:val="center"/>
            </w:pPr>
            <w:r>
              <w:t xml:space="preserve">Mean Rank</w:t>
            </w:r>
          </w:p>
        </w:tc>
        <w:tc>
          <w:tcPr/>
          <w:p>
            <w:pPr>
              <w:pStyle w:val="Compact"/>
              <w:jc w:val="center"/>
            </w:pPr>
            <w:r>
              <w:t xml:space="preserve">Win Count</w:t>
            </w:r>
          </w:p>
        </w:tc>
      </w:tr>
      <w:tr>
        <w:tc>
          <w:tcPr/>
          <w:p>
            <w:pPr>
              <w:pStyle w:val="Compact"/>
              <w:jc w:val="left"/>
            </w:pPr>
            <m:oMath>
              <m:r>
                <m:t>P</m:t>
              </m:r>
              <m:r>
                <m:rPr>
                  <m:sty m:val="p"/>
                </m:rPr>
                <m:t>=</m:t>
              </m:r>
              <m:r>
                <m:t>8</m:t>
              </m:r>
            </m:oMath>
          </w:p>
        </w:tc>
        <w:tc>
          <w:tcPr/>
          <w:p>
            <w:pPr>
              <w:pStyle w:val="Compact"/>
              <w:jc w:val="center"/>
            </w:pPr>
            <w:r>
              <w:t xml:space="preserve">7</w:t>
            </w:r>
          </w:p>
        </w:tc>
        <w:tc>
          <w:tcPr/>
          <w:p>
            <w:pPr>
              <w:pStyle w:val="Compact"/>
              <w:jc w:val="center"/>
            </w:pPr>
            <w:r>
              <w:t xml:space="preserve">2.33</w:t>
            </w:r>
          </w:p>
        </w:tc>
        <w:tc>
          <w:tcPr/>
          <w:p>
            <w:pPr>
              <w:pStyle w:val="Compact"/>
              <w:jc w:val="center"/>
            </w:pPr>
            <w:r>
              <w:t xml:space="preserve">1</w:t>
            </w:r>
          </w:p>
        </w:tc>
      </w:tr>
      <w:tr>
        <w:tc>
          <w:tcPr/>
          <w:p>
            <w:pPr>
              <w:pStyle w:val="Compact"/>
              <w:jc w:val="left"/>
            </w:pPr>
            <m:oMath>
              <m:r>
                <m:t>P</m:t>
              </m:r>
              <m:r>
                <m:rPr>
                  <m:sty m:val="p"/>
                </m:rPr>
                <m:t>=</m:t>
              </m:r>
              <m:r>
                <m:t>16</m:t>
              </m:r>
            </m:oMath>
          </w:p>
        </w:tc>
        <w:tc>
          <w:tcPr/>
          <w:p>
            <w:pPr>
              <w:pStyle w:val="Compact"/>
              <w:jc w:val="center"/>
            </w:pPr>
            <w:r>
              <w:t xml:space="preserve">6</w:t>
            </w:r>
          </w:p>
        </w:tc>
        <w:tc>
          <w:tcPr/>
          <w:p>
            <w:pPr>
              <w:pStyle w:val="Compact"/>
              <w:jc w:val="center"/>
            </w:pPr>
            <w:r>
              <w:t xml:space="preserve">2.00</w:t>
            </w:r>
          </w:p>
        </w:tc>
        <w:tc>
          <w:tcPr/>
          <w:p>
            <w:pPr>
              <w:pStyle w:val="Compact"/>
              <w:jc w:val="center"/>
            </w:pPr>
            <w:r>
              <w:t xml:space="preserve">0</w:t>
            </w:r>
          </w:p>
        </w:tc>
      </w:tr>
      <w:tr>
        <w:tc>
          <w:tcPr/>
          <w:p>
            <w:pPr>
              <w:pStyle w:val="Compact"/>
              <w:jc w:val="left"/>
            </w:pPr>
            <m:oMath>
              <m:r>
                <m:t>P</m:t>
              </m:r>
              <m:r>
                <m:rPr>
                  <m:sty m:val="p"/>
                </m:rPr>
                <m:t>=</m:t>
              </m:r>
              <m:r>
                <m:t>32</m:t>
              </m:r>
            </m:oMath>
          </w:p>
        </w:tc>
        <w:tc>
          <w:tcPr/>
          <w:p>
            <w:pPr>
              <w:pStyle w:val="Compact"/>
              <w:jc w:val="center"/>
            </w:pPr>
            <w:r>
              <w:t xml:space="preserve">5</w:t>
            </w:r>
          </w:p>
        </w:tc>
        <w:tc>
          <w:tcPr/>
          <w:p>
            <w:pPr>
              <w:pStyle w:val="Compact"/>
              <w:jc w:val="center"/>
            </w:pPr>
            <w:r>
              <w:t xml:space="preserve">1.67</w:t>
            </w:r>
          </w:p>
        </w:tc>
        <w:tc>
          <w:tcPr/>
          <w:p>
            <w:pPr>
              <w:pStyle w:val="Compact"/>
              <w:jc w:val="center"/>
            </w:pPr>
            <w:r>
              <w:t xml:space="preserve">2</w:t>
            </w:r>
          </w:p>
        </w:tc>
      </w:tr>
    </w:tbl>
    <w:bookmarkEnd w:id="80"/>
    <w:p>
      <w:pPr>
        <w:pStyle w:val="BodyText"/>
      </w:pPr>
      <w:r>
        <w:t xml:space="preserve">Although underpowered at</w:t>
      </w:r>
      <w:r>
        <w:t xml:space="preserve"> </w:t>
      </w:r>
      <m:oMath>
        <m:r>
          <m:t>N</m:t>
        </m:r>
        <m:r>
          <m:rPr>
            <m:sty m:val="p"/>
          </m:rPr>
          <m:t>=</m:t>
        </m:r>
        <m:r>
          <m:t>3</m:t>
        </m:r>
      </m:oMath>
      <w:r>
        <w:t xml:space="preserve">, the test quantifies ranking consistency and confirms a directional advantage for patch-32.</w:t>
      </w:r>
    </w:p>
    <w:bookmarkEnd w:id="81"/>
    <w:bookmarkStart w:id="82" w:name="seed-count-planning"/>
    <w:p>
      <w:pPr>
        <w:pStyle w:val="Heading2"/>
      </w:pPr>
      <w:r>
        <w:t xml:space="preserve">Seed-Count Planning</w:t>
      </w:r>
    </w:p>
    <w:p>
      <w:pPr>
        <w:pStyle w:val="FirstParagraph"/>
      </w:pPr>
      <w:r>
        <w:t xml:space="preserve">Given observed standard deviation</w:t>
      </w:r>
      <w:r>
        <w:t xml:space="preserve"> </w:t>
      </w:r>
      <m:oMath>
        <m:r>
          <m:t>s</m:t>
        </m:r>
      </m:oMath>
      <w:r>
        <w:t xml:space="preserve">, target detectable mean difference</w:t>
      </w:r>
      <w:r>
        <w:t xml:space="preserve"> </w:t>
      </w:r>
      <m:oMath>
        <m:r>
          <m:t>δ</m:t>
        </m:r>
      </m:oMath>
      <w:r>
        <w:t xml:space="preserve">, and approximate normal critical value</w:t>
      </w:r>
      <w:r>
        <w:t xml:space="preserve"> </w:t>
      </w:r>
      <m:oMath>
        <m:sSub>
          <m:e>
            <m:r>
              <m:t>z</m:t>
            </m:r>
          </m:e>
          <m:sub>
            <m:r>
              <m:t>0.975</m:t>
            </m:r>
          </m:sub>
        </m:sSub>
      </m:oMath>
      <w:r>
        <w:t xml:space="preserve">, a rough planning equation is</w:t>
      </w:r>
    </w:p>
    <w:p>
      <w:pPr>
        <w:pStyle w:val="BodyText"/>
      </w:pPr>
      <m:oMathPara>
        <m:oMathParaPr>
          <m:jc m:val="center"/>
        </m:oMathParaPr>
        <m:oMath>
          <m:r>
            <m:t>n</m:t>
          </m:r>
          <m:r>
            <m:rPr>
              <m:sty m:val="p"/>
            </m:rPr>
            <m:t>≈</m:t>
          </m:r>
          <m:sSup>
            <m:e>
              <m:d>
                <m:dPr>
                  <m:begChr m:val="("/>
                  <m:endChr m:val=")"/>
                  <m:sepChr m:val=""/>
                  <m:grow/>
                </m:dPr>
                <m:e>
                  <m:f>
                    <m:fPr>
                      <m:type m:val="bar"/>
                    </m:fPr>
                    <m:num>
                      <m:sSub>
                        <m:e>
                          <m:r>
                            <m:t>z</m:t>
                          </m:r>
                        </m:e>
                        <m:sub>
                          <m:r>
                            <m:t>0.975</m:t>
                          </m:r>
                        </m:sub>
                      </m:sSub>
                      <m:r>
                        <m:t>s</m:t>
                      </m:r>
                    </m:num>
                    <m:den>
                      <m:r>
                        <m:t>δ</m:t>
                      </m:r>
                    </m:den>
                  </m:f>
                </m:e>
              </m:d>
            </m:e>
            <m:sup>
              <m:r>
                <m:t>2</m:t>
              </m:r>
            </m:sup>
          </m:sSup>
          <m:r>
            <m:t> </m:t>
          </m:r>
          <m:r>
            <m:rPr>
              <m:sty m:val="p"/>
            </m:rPr>
            <m:t>.</m:t>
          </m:r>
        </m:oMath>
      </m:oMathPara>
    </w:p>
    <w:p>
      <w:pPr>
        <w:pStyle w:val="FirstParagraph"/>
      </w:pPr>
      <w:r>
        <w:t xml:space="preserve">Using</w:t>
      </w:r>
      <w:r>
        <w:t xml:space="preserve"> </w:t>
      </w:r>
      <m:oMath>
        <m:r>
          <m:t>s</m:t>
        </m:r>
        <m:r>
          <m:rPr>
            <m:sty m:val="p"/>
          </m:rPr>
          <m:t>≈</m:t>
        </m:r>
        <m:r>
          <m:t>0.038</m:t>
        </m:r>
      </m:oMath>
      <w:r>
        <w:t xml:space="preserve"> </w:t>
      </w:r>
      <w:r>
        <w:t xml:space="preserve">from the mask-ratio repeats:</w:t>
      </w:r>
    </w:p>
    <w:p>
      <w:pPr>
        <w:numPr>
          <w:ilvl w:val="0"/>
          <w:numId w:val="1006"/>
        </w:numPr>
      </w:pPr>
      <w:r>
        <w:t xml:space="preserve">for</w:t>
      </w:r>
      <w:r>
        <w:t xml:space="preserve"> </w:t>
      </w:r>
      <m:oMath>
        <m:r>
          <m:t>δ</m:t>
        </m:r>
        <m:r>
          <m:rPr>
            <m:sty m:val="p"/>
          </m:rPr>
          <m:t>=</m:t>
        </m:r>
        <m:r>
          <m:t>0.01</m:t>
        </m:r>
      </m:oMath>
      <w:r>
        <w:t xml:space="preserve">,</w:t>
      </w:r>
      <w:r>
        <w:t xml:space="preserve"> </w:t>
      </w:r>
      <m:oMath>
        <m:r>
          <m:t>n</m:t>
        </m:r>
        <m:r>
          <m:rPr>
            <m:sty m:val="p"/>
          </m:rPr>
          <m:t>≈</m:t>
        </m:r>
        <m:r>
          <m:t>56</m:t>
        </m:r>
      </m:oMath>
      <w:r>
        <w:t xml:space="preserve"> </w:t>
      </w:r>
      <w:r>
        <w:t xml:space="preserve">seeds,</w:t>
      </w:r>
    </w:p>
    <w:p>
      <w:pPr>
        <w:numPr>
          <w:ilvl w:val="0"/>
          <w:numId w:val="1006"/>
        </w:numPr>
      </w:pPr>
      <w:r>
        <w:t xml:space="preserve">for</w:t>
      </w:r>
      <w:r>
        <w:t xml:space="preserve"> </w:t>
      </w:r>
      <m:oMath>
        <m:r>
          <m:t>δ</m:t>
        </m:r>
        <m:r>
          <m:rPr>
            <m:sty m:val="p"/>
          </m:rPr>
          <m:t>=</m:t>
        </m:r>
        <m:r>
          <m:t>0.005</m:t>
        </m:r>
      </m:oMath>
      <w:r>
        <w:t xml:space="preserve">,</w:t>
      </w:r>
      <w:r>
        <w:t xml:space="preserve"> </w:t>
      </w:r>
      <m:oMath>
        <m:r>
          <m:t>n</m:t>
        </m:r>
        <m:r>
          <m:rPr>
            <m:sty m:val="p"/>
          </m:rPr>
          <m:t>≈</m:t>
        </m:r>
        <m:r>
          <m:t>222</m:t>
        </m:r>
      </m:oMath>
      <w:r>
        <w:t xml:space="preserve"> </w:t>
      </w:r>
      <w:r>
        <w:t xml:space="preserve">seeds.</w:t>
      </w:r>
    </w:p>
    <w:p>
      <w:pPr>
        <w:pStyle w:val="FirstParagraph"/>
      </w:pPr>
      <w:r>
        <w:t xml:space="preserve">This sample size suffices to detect large effects, such as patch-length shifts, but not small mask-ratio deltas.</w:t>
      </w:r>
    </w:p>
    <w:bookmarkEnd w:id="82"/>
    <w:bookmarkStart w:id="83" w:name="external-validity"/>
    <w:p>
      <w:pPr>
        <w:pStyle w:val="Heading2"/>
      </w:pPr>
      <w:r>
        <w:t xml:space="preserve">External Validity</w:t>
      </w:r>
    </w:p>
    <w:p>
      <w:pPr>
        <w:pStyle w:val="FirstParagraph"/>
      </w:pPr>
      <w:r>
        <w:t xml:space="preserve">These results come from feature-bootstrapped univariate pretraining in one constrained corpus setting. External validity to multivariate settings, real-only corpora, and large-horizon zero-shot forecasting remains open. Cross-validation methodology for time series</w:t>
      </w:r>
      <w:r>
        <w:t xml:space="preserve"> </w:t>
      </w:r>
      <w:r>
        <w:t xml:space="preserve"> </w:t>
      </w:r>
      <w:r>
        <w:t xml:space="preserve">and broader forecasting practice surveys</w:t>
      </w:r>
      <w:r>
        <w:t xml:space="preserve"> </w:t>
      </w:r>
      <w:r>
        <w:t xml:space="preserve"> </w:t>
      </w:r>
      <w:r>
        <w:t xml:space="preserve">discuss additional considerations for evaluation design.</w:t>
      </w:r>
    </w:p>
    <w:bookmarkEnd w:id="83"/>
    <w:bookmarkEnd w:id="84"/>
    <w:bookmarkStart w:id="85" w:name="Xca6f1b63af1d225ced294fb1ecbb51f7730b206"/>
    <w:p>
      <w:pPr>
        <w:pStyle w:val="Heading1"/>
      </w:pPr>
      <w:r>
        <w:t xml:space="preserve">Decision Analysis Under Small-Sample Uncertainty</w:t>
      </w:r>
    </w:p>
    <w:p>
      <w:pPr>
        <w:pStyle w:val="FirstParagraph"/>
      </w:pPr>
      <w:r>
        <w:t xml:space="preserve">The preceding sections report means, standard deviations, and configuration-wise confidence intervals. For model-selection decisions, pairwise differences versus baseline</w:t>
      </w:r>
      <w:r>
        <w:t xml:space="preserve"> </w:t>
      </w:r>
      <m:oMath>
        <m:d>
          <m:dPr>
            <m:begChr m:val="("/>
            <m:endChr m:val=")"/>
            <m:sepChr m:val=""/>
            <m:grow/>
          </m:dPr>
          <m:e>
            <m:r>
              <m:t>P</m:t>
            </m:r>
            <m:r>
              <m:rPr>
                <m:sty m:val="p"/>
              </m:rPr>
              <m:t>=</m:t>
            </m:r>
            <m:r>
              <m:t>16</m:t>
            </m:r>
            <m:r>
              <m:rPr>
                <m:sty m:val="p"/>
              </m:rPr>
              <m:t>,</m:t>
            </m:r>
            <m:r>
              <m:t>ρ</m:t>
            </m:r>
            <m:r>
              <m:rPr>
                <m:sty m:val="p"/>
              </m:rPr>
              <m:t>=</m:t>
            </m:r>
            <m:r>
              <m:t>0.4</m:t>
            </m:r>
          </m:e>
        </m:d>
      </m:oMath>
      <w:r>
        <w:t xml:space="preserve"> </w:t>
      </w:r>
      <w:r>
        <w:t xml:space="preserve">are more useful. Let metric difference be</w:t>
      </w:r>
    </w:p>
    <w:p>
      <w:pPr>
        <w:pStyle w:val="BodyText"/>
      </w:pPr>
      <m:oMathPara>
        <m:oMathParaPr>
          <m:jc m:val="center"/>
        </m:oMathParaPr>
        <m:oMath>
          <m:sSub>
            <m:e>
              <m:r>
                <m:t>Δ</m:t>
              </m:r>
            </m:e>
            <m:sub>
              <m:r>
                <m:t>a</m:t>
              </m:r>
              <m:r>
                <m:rPr>
                  <m:sty m:val="p"/>
                </m:rPr>
                <m:t>,</m:t>
              </m:r>
              <m:r>
                <m:t>b</m:t>
              </m:r>
            </m:sub>
          </m:sSub>
          <m:r>
            <m:rPr>
              <m:sty m:val="p"/>
            </m:rPr>
            <m:t>=</m:t>
          </m:r>
          <m:sSub>
            <m:e>
              <m:r>
                <m:t>μ</m:t>
              </m:r>
            </m:e>
            <m:sub>
              <m:r>
                <m:t>a</m:t>
              </m:r>
            </m:sub>
          </m:sSub>
          <m:r>
            <m:rPr>
              <m:sty m:val="p"/>
            </m:rPr>
            <m:t>−</m:t>
          </m:r>
          <m:sSub>
            <m:e>
              <m:r>
                <m:t>μ</m:t>
              </m:r>
            </m:e>
            <m:sub>
              <m:r>
                <m:t>b</m:t>
              </m:r>
            </m:sub>
          </m:sSub>
          <m:r>
            <m:t> </m:t>
          </m:r>
          <m:r>
            <m:rPr>
              <m:sty m:val="p"/>
            </m:rPr>
            <m:t>,</m:t>
          </m:r>
        </m:oMath>
      </m:oMathPara>
    </w:p>
    <w:p>
      <w:pPr>
        <w:pStyle w:val="FirstParagraph"/>
      </w:pPr>
      <w:r>
        <w:t xml:space="preserve">with approximate 95% interval</w:t>
      </w:r>
    </w:p>
    <w:p>
      <w:pPr>
        <w:pStyle w:val="BodyText"/>
      </w:pPr>
      <m:oMathPara>
        <m:oMathParaPr>
          <m:jc m:val="center"/>
        </m:oMathParaPr>
        <m:oMath>
          <m:sSub>
            <m:e>
              <m:r>
                <m:rPr>
                  <m:sty m:val="p"/>
                </m:rPr>
                <m:t>C</m:t>
              </m:r>
              <m:r>
                <m:rPr>
                  <m:sty m:val="p"/>
                </m:rPr>
                <m:t>I</m:t>
              </m:r>
            </m:e>
            <m:sub>
              <m:r>
                <m:t>95</m:t>
              </m:r>
            </m:sub>
          </m:sSub>
          <m:d>
            <m:dPr>
              <m:begChr m:val="("/>
              <m:endChr m:val=")"/>
              <m:sepChr m:val=""/>
              <m:grow/>
            </m:dPr>
            <m:e>
              <m:sSub>
                <m:e>
                  <m:r>
                    <m:t>Δ</m:t>
                  </m:r>
                </m:e>
                <m:sub>
                  <m:r>
                    <m:t>a</m:t>
                  </m:r>
                  <m:r>
                    <m:rPr>
                      <m:sty m:val="p"/>
                    </m:rPr>
                    <m:t>,</m:t>
                  </m:r>
                  <m:r>
                    <m:t>b</m:t>
                  </m:r>
                </m:sub>
              </m:sSub>
            </m:e>
          </m:d>
          <m:r>
            <m:rPr>
              <m:sty m:val="p"/>
            </m:rPr>
            <m:t>=</m:t>
          </m:r>
          <m:sSub>
            <m:e>
              <m:r>
                <m:t>Δ</m:t>
              </m:r>
            </m:e>
            <m:sub>
              <m:r>
                <m:t>a</m:t>
              </m:r>
              <m:r>
                <m:rPr>
                  <m:sty m:val="p"/>
                </m:rPr>
                <m:t>,</m:t>
              </m:r>
              <m:r>
                <m:t>b</m:t>
              </m:r>
            </m:sub>
          </m:sSub>
          <m:r>
            <m:rPr>
              <m:sty m:val="p"/>
            </m:rPr>
            <m:t>±</m:t>
          </m:r>
          <m:sSub>
            <m:e>
              <m:r>
                <m:t>t</m:t>
              </m:r>
            </m:e>
            <m:sub>
              <m:r>
                <m:t>0.975</m:t>
              </m:r>
              <m:r>
                <m:rPr>
                  <m:sty m:val="p"/>
                </m:rPr>
                <m:t>,</m:t>
              </m:r>
              <m:r>
                <m:t>ν</m:t>
              </m:r>
            </m:sub>
          </m:sSub>
          <m:rad>
            <m:radPr>
              <m:degHide m:val="on"/>
            </m:radPr>
            <m:deg/>
            <m:e>
              <m:f>
                <m:fPr>
                  <m:type m:val="bar"/>
                </m:fPr>
                <m:num>
                  <m:sSubSup>
                    <m:e>
                      <m:r>
                        <m:t>s</m:t>
                      </m:r>
                    </m:e>
                    <m:sub>
                      <m:r>
                        <m:t>a</m:t>
                      </m:r>
                    </m:sub>
                    <m:sup>
                      <m:r>
                        <m:t>2</m:t>
                      </m:r>
                    </m:sup>
                  </m:sSubSup>
                </m:num>
                <m:den>
                  <m:sSub>
                    <m:e>
                      <m:r>
                        <m:t>n</m:t>
                      </m:r>
                    </m:e>
                    <m:sub>
                      <m:r>
                        <m:t>a</m:t>
                      </m:r>
                    </m:sub>
                  </m:sSub>
                </m:den>
              </m:f>
              <m:r>
                <m:rPr>
                  <m:sty m:val="p"/>
                </m:rPr>
                <m:t>+</m:t>
              </m:r>
              <m:f>
                <m:fPr>
                  <m:type m:val="bar"/>
                </m:fPr>
                <m:num>
                  <m:sSubSup>
                    <m:e>
                      <m:r>
                        <m:t>s</m:t>
                      </m:r>
                    </m:e>
                    <m:sub>
                      <m:r>
                        <m:t>b</m:t>
                      </m:r>
                    </m:sub>
                    <m:sup>
                      <m:r>
                        <m:t>2</m:t>
                      </m:r>
                    </m:sup>
                  </m:sSubSup>
                </m:num>
                <m:den>
                  <m:sSub>
                    <m:e>
                      <m:r>
                        <m:t>n</m:t>
                      </m:r>
                    </m:e>
                    <m:sub>
                      <m:r>
                        <m:t>b</m:t>
                      </m:r>
                    </m:sub>
                  </m:sSub>
                </m:den>
              </m:f>
            </m:e>
          </m:rad>
          <m:r>
            <m:t> </m:t>
          </m:r>
          <m:r>
            <m:rPr>
              <m:sty m:val="p"/>
            </m:rPr>
            <m:t>.</m:t>
          </m:r>
        </m:oMath>
      </m:oMathPara>
    </w:p>
    <w:p>
      <w:pPr>
        <w:pStyle w:val="FirstParagraph"/>
      </w:pPr>
      <w:r>
        <w:t xml:space="preserve">Using</w:t>
      </w:r>
      <w:r>
        <w:t xml:space="preserve"> </w:t>
      </w:r>
      <m:oMath>
        <m:sSub>
          <m:e>
            <m:r>
              <m:t>n</m:t>
            </m:r>
          </m:e>
          <m:sub>
            <m:r>
              <m:t>a</m:t>
            </m:r>
          </m:sub>
        </m:sSub>
        <m:r>
          <m:rPr>
            <m:sty m:val="p"/>
          </m:rPr>
          <m:t>=</m:t>
        </m:r>
        <m:sSub>
          <m:e>
            <m:r>
              <m:t>n</m:t>
            </m:r>
          </m:e>
          <m:sub>
            <m:r>
              <m:t>b</m:t>
            </m:r>
          </m:sub>
        </m:sSub>
        <m:r>
          <m:rPr>
            <m:sty m:val="p"/>
          </m:rPr>
          <m:t>=</m:t>
        </m:r>
        <m:r>
          <m:t>3</m:t>
        </m:r>
      </m:oMath>
      <w:r>
        <w:t xml:space="preserve"> </w:t>
      </w:r>
      <w:r>
        <w:t xml:space="preserve">and a conservative small-sample critical value, Table </w:t>
      </w:r>
      <w:hyperlink w:anchor="tab:pairwise_ci">
        <w:r>
          <w:rPr>
            <w:rStyle w:val="Hyperlink"/>
          </w:rPr>
          <w:t xml:space="preserve">[tab:pairwise_ci]</w:t>
        </w:r>
      </w:hyperlink>
      <w:r>
        <w:t xml:space="preserve"> </w:t>
      </w:r>
      <w:r>
        <w:t xml:space="preserve">summarizes uncertainty for both objective and runtime.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center"/>
            </w:pPr>
            <w:r>
              <w:t xml:space="preserve">Masked MSE Difference (95% CI)</w:t>
            </w:r>
          </w:p>
        </w:tc>
        <w:tc>
          <w:tcPr/>
          <w:p>
            <w:pPr>
              <w:pStyle w:val="Compact"/>
              <w:jc w:val="center"/>
            </w:pPr>
            <w:r>
              <w:t xml:space="preserve">Epoch Time Difference in Seconds (95% CI)</w:t>
            </w:r>
          </w:p>
        </w:tc>
      </w:tr>
      <w:tr>
        <w:tc>
          <w:tcPr/>
          <w:p>
            <w:pPr>
              <w:pStyle w:val="Compact"/>
              <w:jc w:val="left"/>
            </w:pPr>
            <m:oMath>
              <m:d>
                <m:dPr>
                  <m:begChr m:val="("/>
                  <m:endChr m:val=")"/>
                  <m:sepChr m:val=""/>
                  <m:grow/>
                </m:dPr>
                <m:e>
                  <m:r>
                    <m:t>P</m:t>
                  </m:r>
                  <m:r>
                    <m:rPr>
                      <m:sty m:val="p"/>
                    </m:rPr>
                    <m:t>=</m:t>
                  </m:r>
                  <m:r>
                    <m:t>16</m:t>
                  </m:r>
                  <m:r>
                    <m:rPr>
                      <m:sty m:val="p"/>
                    </m:rPr>
                    <m:t>,</m:t>
                  </m:r>
                  <m:r>
                    <m:t>ρ</m:t>
                  </m:r>
                  <m:r>
                    <m:rPr>
                      <m:sty m:val="p"/>
                    </m:rPr>
                    <m:t>=</m:t>
                  </m:r>
                  <m:r>
                    <m:t>0.2</m:t>
                  </m:r>
                </m:e>
              </m:d>
            </m:oMath>
            <w:r>
              <w:t xml:space="preserve"> </w:t>
            </w:r>
            <w:r>
              <w:t xml:space="preserve">vs baseline</w:t>
            </w:r>
          </w:p>
        </w:tc>
        <w:tc>
          <w:tcPr/>
          <w:p>
            <w:pPr>
              <w:pStyle w:val="Compact"/>
              <w:jc w:val="center"/>
            </w:pPr>
            <m:oMath>
              <m:r>
                <m:rPr>
                  <m:sty m:val="p"/>
                </m:rPr>
                <m:t>−</m:t>
              </m:r>
              <m:r>
                <m:t>0.0032</m:t>
              </m:r>
              <m:r>
                <m:t> </m:t>
              </m:r>
              <m:d>
                <m:dPr>
                  <m:begChr m:val="["/>
                  <m:endChr m:val="]"/>
                  <m:sepChr m:val=""/>
                  <m:grow/>
                </m:dPr>
                <m:e>
                  <m:r>
                    <m:rPr>
                      <m:sty m:val="p"/>
                    </m:rPr>
                    <m:t>−</m:t>
                  </m:r>
                  <m:r>
                    <m:t>0.0860</m:t>
                  </m:r>
                  <m:r>
                    <m:rPr>
                      <m:sty m:val="p"/>
                    </m:rPr>
                    <m:t>,</m:t>
                  </m:r>
                  <m:r>
                    <m:t> </m:t>
                  </m:r>
                  <m:r>
                    <m:t>0.0797</m:t>
                  </m:r>
                </m:e>
              </m:d>
            </m:oMath>
          </w:p>
        </w:tc>
        <w:tc>
          <w:tcPr/>
          <w:p>
            <w:pPr>
              <w:pStyle w:val="Compact"/>
              <w:jc w:val="center"/>
            </w:pPr>
            <m:oMath>
              <m:r>
                <m:rPr>
                  <m:sty m:val="p"/>
                </m:rPr>
                <m:t>+</m:t>
              </m:r>
              <m:r>
                <m:t>0.0800</m:t>
              </m:r>
              <m:r>
                <m:t> </m:t>
              </m:r>
              <m:d>
                <m:dPr>
                  <m:begChr m:val="["/>
                  <m:endChr m:val="]"/>
                  <m:sepChr m:val=""/>
                  <m:grow/>
                </m:dPr>
                <m:e>
                  <m:r>
                    <m:rPr>
                      <m:sty m:val="p"/>
                    </m:rPr>
                    <m:t>−</m:t>
                  </m:r>
                  <m:r>
                    <m:t>0.0305</m:t>
                  </m:r>
                  <m:r>
                    <m:rPr>
                      <m:sty m:val="p"/>
                    </m:rPr>
                    <m:t>,</m:t>
                  </m:r>
                  <m:r>
                    <m:t> </m:t>
                  </m:r>
                  <m:r>
                    <m:t>0.1905</m:t>
                  </m:r>
                </m:e>
              </m:d>
            </m:oMath>
          </w:p>
        </w:tc>
      </w:tr>
      <w:tr>
        <w:tc>
          <w:tcPr/>
          <w:p>
            <w:pPr>
              <w:pStyle w:val="Compact"/>
              <w:jc w:val="left"/>
            </w:pPr>
            <m:oMath>
              <m:d>
                <m:dPr>
                  <m:begChr m:val="("/>
                  <m:endChr m:val=")"/>
                  <m:sepChr m:val=""/>
                  <m:grow/>
                </m:dPr>
                <m:e>
                  <m:r>
                    <m:t>P</m:t>
                  </m:r>
                  <m:r>
                    <m:rPr>
                      <m:sty m:val="p"/>
                    </m:rPr>
                    <m:t>=</m:t>
                  </m:r>
                  <m:r>
                    <m:t>16</m:t>
                  </m:r>
                  <m:r>
                    <m:rPr>
                      <m:sty m:val="p"/>
                    </m:rPr>
                    <m:t>,</m:t>
                  </m:r>
                  <m:r>
                    <m:t>ρ</m:t>
                  </m:r>
                  <m:r>
                    <m:rPr>
                      <m:sty m:val="p"/>
                    </m:rPr>
                    <m:t>=</m:t>
                  </m:r>
                  <m:r>
                    <m:t>0.6</m:t>
                  </m:r>
                </m:e>
              </m:d>
            </m:oMath>
            <w:r>
              <w:t xml:space="preserve"> </w:t>
            </w:r>
            <w:r>
              <w:t xml:space="preserve">vs baseline</w:t>
            </w:r>
          </w:p>
        </w:tc>
        <w:tc>
          <w:tcPr/>
          <w:p>
            <w:pPr>
              <w:pStyle w:val="Compact"/>
              <w:jc w:val="center"/>
            </w:pPr>
            <m:oMath>
              <m:r>
                <m:rPr>
                  <m:sty m:val="p"/>
                </m:rPr>
                <m:t>+</m:t>
              </m:r>
              <m:r>
                <m:t>0.0005</m:t>
              </m:r>
              <m:r>
                <m:t> </m:t>
              </m:r>
              <m:d>
                <m:dPr>
                  <m:begChr m:val="["/>
                  <m:endChr m:val="]"/>
                  <m:sepChr m:val=""/>
                  <m:grow/>
                </m:dPr>
                <m:e>
                  <m:r>
                    <m:rPr>
                      <m:sty m:val="p"/>
                    </m:rPr>
                    <m:t>−</m:t>
                  </m:r>
                  <m:r>
                    <m:t>0.0856</m:t>
                  </m:r>
                  <m:r>
                    <m:rPr>
                      <m:sty m:val="p"/>
                    </m:rPr>
                    <m:t>,</m:t>
                  </m:r>
                  <m:r>
                    <m:t> </m:t>
                  </m:r>
                  <m:r>
                    <m:t>0.0865</m:t>
                  </m:r>
                </m:e>
              </m:d>
            </m:oMath>
          </w:p>
        </w:tc>
        <w:tc>
          <w:tcPr/>
          <w:p>
            <w:pPr>
              <w:pStyle w:val="Compact"/>
              <w:jc w:val="center"/>
            </w:pPr>
            <m:oMath>
              <m:r>
                <m:rPr>
                  <m:sty m:val="p"/>
                </m:rPr>
                <m:t>−</m:t>
              </m:r>
              <m:r>
                <m:t>0.0109</m:t>
              </m:r>
              <m:r>
                <m:t> </m:t>
              </m:r>
              <m:d>
                <m:dPr>
                  <m:begChr m:val="["/>
                  <m:endChr m:val="]"/>
                  <m:sepChr m:val=""/>
                  <m:grow/>
                </m:dPr>
                <m:e>
                  <m:r>
                    <m:rPr>
                      <m:sty m:val="p"/>
                    </m:rPr>
                    <m:t>−</m:t>
                  </m:r>
                  <m:r>
                    <m:t>0.0381</m:t>
                  </m:r>
                  <m:r>
                    <m:rPr>
                      <m:sty m:val="p"/>
                    </m:rPr>
                    <m:t>,</m:t>
                  </m:r>
                  <m:r>
                    <m:t> </m:t>
                  </m:r>
                  <m:r>
                    <m:t>0.0164</m:t>
                  </m:r>
                </m:e>
              </m:d>
            </m:oMath>
          </w:p>
        </w:tc>
      </w:tr>
      <w:tr>
        <w:tc>
          <w:tcPr/>
          <w:p>
            <w:pPr>
              <w:pStyle w:val="Compact"/>
              <w:jc w:val="left"/>
            </w:pPr>
            <m:oMath>
              <m:d>
                <m:dPr>
                  <m:begChr m:val="("/>
                  <m:endChr m:val=")"/>
                  <m:sepChr m:val=""/>
                  <m:grow/>
                </m:dPr>
                <m:e>
                  <m:r>
                    <m:t>P</m:t>
                  </m:r>
                  <m:r>
                    <m:rPr>
                      <m:sty m:val="p"/>
                    </m:rPr>
                    <m:t>=</m:t>
                  </m:r>
                  <m:r>
                    <m:t>8</m:t>
                  </m:r>
                  <m:r>
                    <m:rPr>
                      <m:sty m:val="p"/>
                    </m:rPr>
                    <m:t>,</m:t>
                  </m:r>
                  <m:r>
                    <m:t>ρ</m:t>
                  </m:r>
                  <m:r>
                    <m:rPr>
                      <m:sty m:val="p"/>
                    </m:rPr>
                    <m:t>=</m:t>
                  </m:r>
                  <m:r>
                    <m:t>0.4</m:t>
                  </m:r>
                </m:e>
              </m:d>
            </m:oMath>
            <w:r>
              <w:t xml:space="preserve"> </w:t>
            </w:r>
            <w:r>
              <w:t xml:space="preserve">vs baseline</w:t>
            </w:r>
          </w:p>
        </w:tc>
        <w:tc>
          <w:tcPr/>
          <w:p>
            <w:pPr>
              <w:pStyle w:val="Compact"/>
              <w:jc w:val="center"/>
            </w:pPr>
            <m:oMath>
              <m:r>
                <m:rPr>
                  <m:sty m:val="p"/>
                </m:rPr>
                <m:t>+</m:t>
              </m:r>
              <m:r>
                <m:t>0.0181</m:t>
              </m:r>
              <m:r>
                <m:t> </m:t>
              </m:r>
              <m:d>
                <m:dPr>
                  <m:begChr m:val="["/>
                  <m:endChr m:val="]"/>
                  <m:sepChr m:val=""/>
                  <m:grow/>
                </m:dPr>
                <m:e>
                  <m:r>
                    <m:rPr>
                      <m:sty m:val="p"/>
                    </m:rPr>
                    <m:t>−</m:t>
                  </m:r>
                  <m:r>
                    <m:t>0.0968</m:t>
                  </m:r>
                  <m:r>
                    <m:rPr>
                      <m:sty m:val="p"/>
                    </m:rPr>
                    <m:t>,</m:t>
                  </m:r>
                  <m:r>
                    <m:t> </m:t>
                  </m:r>
                  <m:r>
                    <m:t>0.1330</m:t>
                  </m:r>
                </m:e>
              </m:d>
            </m:oMath>
          </w:p>
        </w:tc>
        <w:tc>
          <w:tcPr/>
          <w:p>
            <w:pPr>
              <w:pStyle w:val="Compact"/>
              <w:jc w:val="center"/>
            </w:pPr>
            <m:oMath>
              <m:r>
                <m:rPr>
                  <m:sty m:val="p"/>
                </m:rPr>
                <m:t>+</m:t>
              </m:r>
              <m:r>
                <m:t>1.1412</m:t>
              </m:r>
              <m:r>
                <m:t> </m:t>
              </m:r>
              <m:d>
                <m:dPr>
                  <m:begChr m:val="["/>
                  <m:endChr m:val="]"/>
                  <m:sepChr m:val=""/>
                  <m:grow/>
                </m:dPr>
                <m:e>
                  <m:r>
                    <m:rPr>
                      <m:sty m:val="p"/>
                    </m:rPr>
                    <m:t>+</m:t>
                  </m:r>
                  <m:r>
                    <m:t>1.1018</m:t>
                  </m:r>
                  <m:r>
                    <m:rPr>
                      <m:sty m:val="p"/>
                    </m:rPr>
                    <m:t>,</m:t>
                  </m:r>
                  <m:r>
                    <m:t> </m:t>
                  </m:r>
                  <m:r>
                    <m:rPr>
                      <m:sty m:val="p"/>
                    </m:rPr>
                    <m:t>+</m:t>
                  </m:r>
                  <m:r>
                    <m:t>1.1805</m:t>
                  </m:r>
                </m:e>
              </m:d>
            </m:oMath>
          </w:p>
        </w:tc>
      </w:tr>
      <w:tr>
        <w:tc>
          <w:tcPr/>
          <w:p>
            <w:pPr>
              <w:pStyle w:val="Compact"/>
              <w:jc w:val="left"/>
            </w:pPr>
            <m:oMath>
              <m:d>
                <m:dPr>
                  <m:begChr m:val="("/>
                  <m:endChr m:val=")"/>
                  <m:sepChr m:val=""/>
                  <m:grow/>
                </m:dPr>
                <m:e>
                  <m:r>
                    <m:t>P</m:t>
                  </m:r>
                  <m:r>
                    <m:rPr>
                      <m:sty m:val="p"/>
                    </m:rPr>
                    <m:t>=</m:t>
                  </m:r>
                  <m:r>
                    <m:t>32</m:t>
                  </m:r>
                  <m:r>
                    <m:rPr>
                      <m:sty m:val="p"/>
                    </m:rPr>
                    <m:t>,</m:t>
                  </m:r>
                  <m:r>
                    <m:t>ρ</m:t>
                  </m:r>
                  <m:r>
                    <m:rPr>
                      <m:sty m:val="p"/>
                    </m:rPr>
                    <m:t>=</m:t>
                  </m:r>
                  <m:r>
                    <m:t>0.4</m:t>
                  </m:r>
                </m:e>
              </m:d>
            </m:oMath>
            <w:r>
              <w:t xml:space="preserve"> </w:t>
            </w:r>
            <w:r>
              <w:t xml:space="preserve">vs baseline</w:t>
            </w:r>
          </w:p>
        </w:tc>
        <w:tc>
          <w:tcPr/>
          <w:p>
            <w:pPr>
              <w:pStyle w:val="Compact"/>
              <w:jc w:val="center"/>
            </w:pPr>
            <m:oMath>
              <m:r>
                <m:rPr>
                  <m:sty m:val="p"/>
                </m:rPr>
                <m:t>−</m:t>
              </m:r>
              <m:r>
                <m:t>0.0102</m:t>
              </m:r>
              <m:r>
                <m:t> </m:t>
              </m:r>
              <m:d>
                <m:dPr>
                  <m:begChr m:val="["/>
                  <m:endChr m:val="]"/>
                  <m:sepChr m:val=""/>
                  <m:grow/>
                </m:dPr>
                <m:e>
                  <m:r>
                    <m:rPr>
                      <m:sty m:val="p"/>
                    </m:rPr>
                    <m:t>−</m:t>
                  </m:r>
                  <m:r>
                    <m:t>0.0800</m:t>
                  </m:r>
                  <m:r>
                    <m:rPr>
                      <m:sty m:val="p"/>
                    </m:rPr>
                    <m:t>,</m:t>
                  </m:r>
                  <m:r>
                    <m:t> </m:t>
                  </m:r>
                  <m:r>
                    <m:t>0.0596</m:t>
                  </m:r>
                </m:e>
              </m:d>
            </m:oMath>
          </w:p>
        </w:tc>
        <w:tc>
          <w:tcPr/>
          <w:p>
            <w:pPr>
              <w:pStyle w:val="Compact"/>
              <w:jc w:val="center"/>
            </w:pPr>
            <m:oMath>
              <m:r>
                <m:rPr>
                  <m:sty m:val="p"/>
                </m:rPr>
                <m:t>−</m:t>
              </m:r>
              <m:r>
                <m:t>0.5810</m:t>
              </m:r>
              <m:r>
                <m:t> </m:t>
              </m:r>
              <m:d>
                <m:dPr>
                  <m:begChr m:val="["/>
                  <m:endChr m:val="]"/>
                  <m:sepChr m:val=""/>
                  <m:grow/>
                </m:dPr>
                <m:e>
                  <m:r>
                    <m:rPr>
                      <m:sty m:val="p"/>
                    </m:rPr>
                    <m:t>−</m:t>
                  </m:r>
                  <m:r>
                    <m:t>0.6185</m:t>
                  </m:r>
                  <m:r>
                    <m:rPr>
                      <m:sty m:val="p"/>
                    </m:rPr>
                    <m:t>,</m:t>
                  </m:r>
                  <m:r>
                    <m:t> </m:t>
                  </m:r>
                  <m:r>
                    <m:rPr>
                      <m:sty m:val="p"/>
                    </m:rPr>
                    <m:t>−</m:t>
                  </m:r>
                  <m:r>
                    <m:t>0.5435</m:t>
                  </m:r>
                </m:e>
              </m:d>
            </m:oMath>
          </w:p>
        </w:tc>
      </w:tr>
    </w:tbl>
    <w:p>
      <w:pPr>
        <w:pStyle w:val="BodyText"/>
      </w:pPr>
      <w:r>
        <w:t xml:space="preserve">Two conclusions follow. First, objective-level pairwise differences remain uncertain at</w:t>
      </w:r>
      <w:r>
        <w:t xml:space="preserve"> </w:t>
      </w:r>
      <m:oMath>
        <m:r>
          <m:t>n</m:t>
        </m:r>
        <m:r>
          <m:rPr>
            <m:sty m:val="p"/>
          </m:rPr>
          <m:t>=</m:t>
        </m:r>
        <m:r>
          <m:t>3</m:t>
        </m:r>
      </m:oMath>
      <w:r>
        <w:t xml:space="preserve"> </w:t>
      </w:r>
      <w:r>
        <w:t xml:space="preserve">because all masked-MSE intervals include zero. Second, runtime effects for patch changes are large and stable: patch-8 is reliably slower and patch-32 is reliably faster than baseline under the tested budget.</w:t>
      </w:r>
    </w:p>
    <w:p>
      <w:pPr>
        <w:pStyle w:val="BodyText"/>
      </w:pPr>
      <w:r>
        <w:t xml:space="preserve">Patch-32 is justified by compute savings and favorable mean objective, while objective superiority alone remains provisional until seed count increases.</w:t>
      </w:r>
    </w:p>
    <w:bookmarkEnd w:id="85"/>
    <w:bookmarkStart w:id="93" w:name="downstream-forecasting-evaluation"/>
    <w:p>
      <w:pPr>
        <w:pStyle w:val="Heading1"/>
      </w:pPr>
      <w:r>
        <w:t xml:space="preserve">Downstream Forecasting Evaluation</w:t>
      </w:r>
    </w:p>
    <w:p>
      <w:pPr>
        <w:pStyle w:val="FirstParagraph"/>
      </w:pPr>
      <w:r>
        <w:t xml:space="preserve">We next test whether the learned representations transfer to downstream forecasting tasks. We conduct two evaluations: (1) fine-tuning transfer against an identical from-scratch baseline, and (2) benchmark comparison against Google’s TimesFM </w:t>
      </w:r>
      <w:r>
        <w:t xml:space="preserve">.</w:t>
      </w:r>
    </w:p>
    <w:bookmarkStart w:id="87" w:name="fine-tuning-transfer"/>
    <w:p>
      <w:pPr>
        <w:pStyle w:val="Heading2"/>
      </w:pPr>
      <w:r>
        <w:t xml:space="preserve">Fine-Tuning Transfer</w:t>
      </w:r>
    </w:p>
    <w:p>
      <w:pPr>
        <w:pStyle w:val="FirstParagraph"/>
      </w:pPr>
      <w:r>
        <w:t xml:space="preserve">We attach a linear forecasting head to the pretrained encoder and fine-tune on four datasets. An identical architecture trained from random initialization serves as the baseline. Table </w:t>
      </w:r>
      <w:hyperlink w:anchor="tab:finetune_transfer">
        <w:r>
          <w:rPr>
            <w:rStyle w:val="Hyperlink"/>
          </w:rPr>
          <w:t xml:space="preserve">15</w:t>
        </w:r>
      </w:hyperlink>
      <w:r>
        <w:t xml:space="preserve"> </w:t>
      </w:r>
      <w:r>
        <w:t xml:space="preserve">reports results.</w:t>
      </w:r>
    </w:p>
    <w:bookmarkStart w:id="86" w:name="tab:finetune_transfer"/>
    <w:p>
      <w:pPr>
        <w:pStyle w:val="TableCaption"/>
      </w:pPr>
      <w:r>
        <w:t xml:space="preserve">Fine-Tuning Transfer: Pretrained vs From-Scratch</w:t>
      </w:r>
    </w:p>
    <w:tbl>
      <w:tblPr>
        <w:tblStyle w:val="Table"/>
        <w:tblW w:type="auto" w:w="0"/>
        <w:tblLook w:firstRow="1" w:lastRow="0" w:firstColumn="0" w:lastColumn="0" w:noHBand="0" w:noVBand="0" w:val="0020"/>
        <w:tblCaption w:val="Fine-Tuning Transfer: Pretrained vs From-Scratch"/>
      </w:tblPr>
      <w:tblGrid>
        <w:gridCol w:w="1320"/>
        <w:gridCol w:w="1320"/>
        <w:gridCol w:w="1320"/>
        <w:gridCol w:w="1320"/>
        <w:gridCol w:w="1320"/>
        <w:gridCol w:w="1320"/>
      </w:tblGrid>
      <w:tr>
        <w:trPr>
          <w:tblHeader w:val="on"/>
        </w:trPr>
        <w:tc>
          <w:tcPr/>
          <w:p>
            <w:pPr>
              <w:pStyle w:val="Compact"/>
              <w:jc w:val="left"/>
            </w:pPr>
            <w:r>
              <w:t xml:space="preserve">Dataset</w:t>
            </w:r>
          </w:p>
        </w:tc>
        <w:tc>
          <w:tcPr>
            <w:gridSpan w:val="2"/>
          </w:tcPr>
          <w:p>
            <w:pPr>
              <w:pStyle w:val="Compact"/>
              <w:jc w:val="center"/>
            </w:pPr>
            <w:r>
              <w:t xml:space="preserve">Pre-trained</w:t>
            </w:r>
          </w:p>
        </w:tc>
        <w:tc>
          <w:tcPr>
            <w:gridSpan w:val="2"/>
          </w:tcPr>
          <w:p>
            <w:pPr>
              <w:pStyle w:val="Compact"/>
              <w:jc w:val="center"/>
            </w:pPr>
            <w:r>
              <w:t xml:space="preserve">From Scratch</w:t>
            </w:r>
          </w:p>
        </w:tc>
        <w:tc>
          <w:tcPr/>
          <w:p>
            <w:pPr>
              <w:pStyle w:val="Compact"/>
              <w:jc w:val="center"/>
            </w:pPr>
            <m:oMath>
              <m:r>
                <m:t>Δ</m:t>
              </m:r>
            </m:oMath>
            <w:r>
              <w:t xml:space="preserve">(%)</w:t>
            </w:r>
          </w:p>
        </w:tc>
      </w:tr>
      <w:tr>
        <w:tc>
          <w:tcPr/>
          <w:p>
            <w:pPr>
              <w:pStyle w:val="Compact"/>
              <w:jc w:val="left"/>
            </w:pPr>
            <w:r>
              <w:t xml:space="preserve">2-3</w:t>
            </w:r>
            <w:r>
              <w:t xml:space="preserve"> </w:t>
            </w:r>
            <w:r>
              <w:t xml:space="preserve">(lr)</w:t>
            </w:r>
            <w:r>
              <w:t xml:space="preserve">4-5</w:t>
            </w:r>
          </w:p>
        </w:tc>
        <w:tc>
          <w:tcPr/>
          <w:p>
            <w:pPr>
              <w:pStyle w:val="Compact"/>
              <w:jc w:val="center"/>
            </w:pPr>
            <w:r>
              <w:t xml:space="preserve">MSE</w:t>
            </w:r>
          </w:p>
        </w:tc>
        <w:tc>
          <w:tcPr/>
          <w:p>
            <w:pPr>
              <w:pStyle w:val="Compact"/>
              <w:jc w:val="center"/>
            </w:pPr>
            <w:r>
              <w:t xml:space="preserve">MAE</w:t>
            </w:r>
          </w:p>
        </w:tc>
        <w:tc>
          <w:tcPr/>
          <w:p>
            <w:pPr>
              <w:pStyle w:val="Compact"/>
              <w:jc w:val="center"/>
            </w:pPr>
            <w:r>
              <w:t xml:space="preserve">MSE</w:t>
            </w:r>
          </w:p>
        </w:tc>
        <w:tc>
          <w:tcPr/>
          <w:p>
            <w:pPr>
              <w:pStyle w:val="Compact"/>
              <w:jc w:val="center"/>
            </w:pPr>
            <w:r>
              <w:t xml:space="preserve">MAE</w:t>
            </w:r>
          </w:p>
        </w:tc>
        <w:tc>
          <w:tcPr/>
          <w:p>
            <w:pPr>
              <w:pStyle w:val="Compact"/>
            </w:pPr>
          </w:p>
        </w:tc>
      </w:tr>
      <w:tr>
        <w:tc>
          <w:tcPr/>
          <w:p>
            <w:pPr>
              <w:pStyle w:val="Compact"/>
              <w:jc w:val="left"/>
            </w:pPr>
            <w:r>
              <w:t xml:space="preserve">Metro</w:t>
            </w:r>
          </w:p>
        </w:tc>
        <w:tc>
          <w:tcPr/>
          <w:p>
            <w:pPr>
              <w:pStyle w:val="Compact"/>
              <w:jc w:val="center"/>
            </w:pPr>
            <w:r>
              <w:rPr>
                <w:b/>
                <w:bCs/>
              </w:rPr>
              <w:t xml:space="preserve">1.0263</w:t>
            </w:r>
          </w:p>
        </w:tc>
        <w:tc>
          <w:tcPr/>
          <w:p>
            <w:pPr>
              <w:pStyle w:val="Compact"/>
              <w:jc w:val="center"/>
            </w:pPr>
            <w:r>
              <w:t xml:space="preserve">0.8853</w:t>
            </w:r>
          </w:p>
        </w:tc>
        <w:tc>
          <w:tcPr/>
          <w:p>
            <w:pPr>
              <w:pStyle w:val="Compact"/>
              <w:jc w:val="center"/>
            </w:pPr>
            <w:r>
              <w:t xml:space="preserve">1.0744</w:t>
            </w:r>
          </w:p>
        </w:tc>
        <w:tc>
          <w:tcPr/>
          <w:p>
            <w:pPr>
              <w:pStyle w:val="Compact"/>
              <w:jc w:val="center"/>
            </w:pPr>
            <w:r>
              <w:t xml:space="preserve">0.9027</w:t>
            </w:r>
          </w:p>
        </w:tc>
        <w:tc>
          <w:tcPr/>
          <w:p>
            <w:pPr>
              <w:pStyle w:val="Compact"/>
              <w:jc w:val="center"/>
            </w:pPr>
            <m:oMath>
              <m:r>
                <m:rPr>
                  <m:sty m:val="p"/>
                </m:rPr>
                <m:t>+</m:t>
              </m:r>
              <m:r>
                <m:t>4.48</m:t>
              </m:r>
            </m:oMath>
          </w:p>
        </w:tc>
      </w:tr>
      <w:tr>
        <w:tc>
          <w:tcPr/>
          <w:p>
            <w:pPr>
              <w:pStyle w:val="Compact"/>
              <w:jc w:val="left"/>
            </w:pPr>
            <w:r>
              <w:t xml:space="preserve">Beijing PM2.5</w:t>
            </w:r>
          </w:p>
        </w:tc>
        <w:tc>
          <w:tcPr/>
          <w:p>
            <w:pPr>
              <w:pStyle w:val="Compact"/>
              <w:jc w:val="center"/>
            </w:pPr>
            <w:r>
              <w:t xml:space="preserve">0.9338</w:t>
            </w:r>
          </w:p>
        </w:tc>
        <w:tc>
          <w:tcPr/>
          <w:p>
            <w:pPr>
              <w:pStyle w:val="Compact"/>
              <w:jc w:val="center"/>
            </w:pPr>
            <w:r>
              <w:t xml:space="preserve">0.6858</w:t>
            </w:r>
          </w:p>
        </w:tc>
        <w:tc>
          <w:tcPr/>
          <w:p>
            <w:pPr>
              <w:pStyle w:val="Compact"/>
              <w:jc w:val="center"/>
            </w:pPr>
            <w:r>
              <w:rPr>
                <w:b/>
                <w:bCs/>
              </w:rPr>
              <w:t xml:space="preserve">0.8079</w:t>
            </w:r>
          </w:p>
        </w:tc>
        <w:tc>
          <w:tcPr/>
          <w:p>
            <w:pPr>
              <w:pStyle w:val="Compact"/>
              <w:jc w:val="center"/>
            </w:pPr>
            <w:r>
              <w:t xml:space="preserve">0.6741</w:t>
            </w:r>
          </w:p>
        </w:tc>
        <w:tc>
          <w:tcPr/>
          <w:p>
            <w:pPr>
              <w:pStyle w:val="Compact"/>
              <w:jc w:val="center"/>
            </w:pPr>
            <m:oMath>
              <m:r>
                <m:rPr>
                  <m:sty m:val="p"/>
                </m:rPr>
                <m:t>−</m:t>
              </m:r>
              <m:r>
                <m:t>15.57</m:t>
              </m:r>
            </m:oMath>
          </w:p>
        </w:tc>
      </w:tr>
      <w:tr>
        <w:tc>
          <w:tcPr/>
          <w:p>
            <w:pPr>
              <w:pStyle w:val="Compact"/>
              <w:jc w:val="left"/>
            </w:pPr>
            <w:r>
              <w:t xml:space="preserve">Env. Sensor</w:t>
            </w:r>
          </w:p>
        </w:tc>
        <w:tc>
          <w:tcPr/>
          <w:p>
            <w:pPr>
              <w:pStyle w:val="Compact"/>
              <w:jc w:val="center"/>
            </w:pPr>
            <w:r>
              <w:rPr>
                <w:b/>
                <w:bCs/>
              </w:rPr>
              <w:t xml:space="preserve">1.7843</w:t>
            </w:r>
          </w:p>
        </w:tc>
        <w:tc>
          <w:tcPr/>
          <w:p>
            <w:pPr>
              <w:pStyle w:val="Compact"/>
              <w:jc w:val="center"/>
            </w:pPr>
            <w:r>
              <w:t xml:space="preserve">1.0508</w:t>
            </w:r>
          </w:p>
        </w:tc>
        <w:tc>
          <w:tcPr/>
          <w:p>
            <w:pPr>
              <w:pStyle w:val="Compact"/>
              <w:jc w:val="center"/>
            </w:pPr>
            <w:r>
              <w:t xml:space="preserve">1.9414</w:t>
            </w:r>
          </w:p>
        </w:tc>
        <w:tc>
          <w:tcPr/>
          <w:p>
            <w:pPr>
              <w:pStyle w:val="Compact"/>
              <w:jc w:val="center"/>
            </w:pPr>
            <w:r>
              <w:t xml:space="preserve">1.1017</w:t>
            </w:r>
          </w:p>
        </w:tc>
        <w:tc>
          <w:tcPr/>
          <w:p>
            <w:pPr>
              <w:pStyle w:val="Compact"/>
              <w:jc w:val="center"/>
            </w:pPr>
            <m:oMath>
              <m:r>
                <m:rPr>
                  <m:sty m:val="p"/>
                </m:rPr>
                <m:t>+</m:t>
              </m:r>
              <m:r>
                <m:t>8.09</m:t>
              </m:r>
            </m:oMath>
          </w:p>
        </w:tc>
      </w:tr>
      <w:tr>
        <w:tc>
          <w:tcPr/>
          <w:p>
            <w:pPr>
              <w:pStyle w:val="Compact"/>
              <w:jc w:val="left"/>
            </w:pPr>
            <w:r>
              <w:t xml:space="preserve">ETTh1</w:t>
            </w:r>
          </w:p>
        </w:tc>
        <w:tc>
          <w:tcPr/>
          <w:p>
            <w:pPr>
              <w:pStyle w:val="Compact"/>
              <w:jc w:val="center"/>
            </w:pPr>
            <w:r>
              <w:rPr>
                <w:b/>
                <w:bCs/>
              </w:rPr>
              <w:t xml:space="preserve">0.0684</w:t>
            </w:r>
          </w:p>
        </w:tc>
        <w:tc>
          <w:tcPr/>
          <w:p>
            <w:pPr>
              <w:pStyle w:val="Compact"/>
              <w:jc w:val="center"/>
            </w:pPr>
            <w:r>
              <w:t xml:space="preserve">0.2214</w:t>
            </w:r>
          </w:p>
        </w:tc>
        <w:tc>
          <w:tcPr/>
          <w:p>
            <w:pPr>
              <w:pStyle w:val="Compact"/>
              <w:jc w:val="center"/>
            </w:pPr>
            <w:r>
              <w:t xml:space="preserve">0.0700</w:t>
            </w:r>
          </w:p>
        </w:tc>
        <w:tc>
          <w:tcPr/>
          <w:p>
            <w:pPr>
              <w:pStyle w:val="Compact"/>
              <w:jc w:val="center"/>
            </w:pPr>
            <w:r>
              <w:t xml:space="preserve">0.2141</w:t>
            </w:r>
          </w:p>
        </w:tc>
        <w:tc>
          <w:tcPr/>
          <w:p>
            <w:pPr>
              <w:pStyle w:val="Compact"/>
              <w:jc w:val="center"/>
            </w:pPr>
            <m:oMath>
              <m:r>
                <m:rPr>
                  <m:sty m:val="p"/>
                </m:rPr>
                <m:t>+</m:t>
              </m:r>
              <m:r>
                <m:t>2.23</m:t>
              </m:r>
            </m:oMath>
          </w:p>
        </w:tc>
      </w:tr>
    </w:tbl>
    <w:bookmarkEnd w:id="86"/>
    <w:p>
      <w:pPr>
        <w:pStyle w:val="BodyText"/>
      </w:pPr>
      <w:r>
        <w:t xml:space="preserve">The pretrained model outperforms the from-scratch baseline on 3 of 4 datasets: Metro (+4.48%), Environmental Sensor Telemetry (+8.09%), and ETTh1 (+2.23%). Beijing PM2.5 favors scratch training (</w:t>
      </w:r>
      <m:oMath>
        <m:r>
          <m:rPr>
            <m:sty m:val="p"/>
          </m:rPr>
          <m:t>−</m:t>
        </m:r>
        <m:r>
          <m:t>15.57</m:t>
        </m:r>
      </m:oMath>
      <w:r>
        <w:t xml:space="preserve">%), suggesting that highly non-stationary pollution data benefits less from the current pretraining distribution. These results indicate that masked patch reconstruction yields transferable temporal representations.</w:t>
      </w:r>
    </w:p>
    <w:bookmarkEnd w:id="87"/>
    <w:bookmarkStart w:id="92" w:name="benchmark-tsfm-vs-timesfm"/>
    <w:p>
      <w:pPr>
        <w:pStyle w:val="Heading2"/>
      </w:pPr>
      <w:r>
        <w:t xml:space="preserve">Benchmark: TSFM vs TimesFM</w:t>
      </w:r>
    </w:p>
    <w:p>
      <w:pPr>
        <w:pStyle w:val="FirstParagraph"/>
      </w:pPr>
      <w:r>
        <w:t xml:space="preserve">We evaluate the fine-tuned TSFM model against Google’s TimesFM </w:t>
      </w:r>
      <w:r>
        <w:t xml:space="preserve"> </w:t>
      </w:r>
      <w:r>
        <w:t xml:space="preserve">across 7 standard forecasting benchmarks with forecast horizon</w:t>
      </w:r>
      <w:r>
        <w:t xml:space="preserve"> </w:t>
      </w:r>
      <m:oMath>
        <m:r>
          <m:t>H</m:t>
        </m:r>
        <m:r>
          <m:rPr>
            <m:sty m:val="p"/>
          </m:rPr>
          <m:t>=</m:t>
        </m:r>
        <m:r>
          <m:t>96</m:t>
        </m:r>
      </m:oMath>
      <w:r>
        <w:t xml:space="preserve">. TimesFM uses its built-in normalization; TSFM uses train-statistic z-normalization with autoregressive rollout.</w:t>
      </w:r>
    </w:p>
    <w:bookmarkStart w:id="88" w:name="tab:benchmark_comparison"/>
    <w:p>
      <w:pPr>
        <w:pStyle w:val="TableCaption"/>
      </w:pPr>
      <w:r>
        <w:t xml:space="preserve">TSFM vs TimesFM: Per-Dataset Comparison (H=96)</w:t>
      </w:r>
    </w:p>
    <w:tbl>
      <w:tblPr>
        <w:tblStyle w:val="Table"/>
        <w:tblW w:type="auto" w:w="0"/>
        <w:tblLook w:firstRow="1" w:lastRow="0" w:firstColumn="0" w:lastColumn="0" w:noHBand="0" w:noVBand="0" w:val="0020"/>
        <w:tblCaption w:val="TSFM vs TimesFM: Per-Dataset Comparison (H=96)"/>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TimesFM (MSE)</w:t>
            </w:r>
          </w:p>
        </w:tc>
        <w:tc>
          <w:tcPr/>
          <w:p>
            <w:pPr>
              <w:pStyle w:val="Compact"/>
              <w:jc w:val="center"/>
            </w:pPr>
            <w:r>
              <w:t xml:space="preserve">TSFM (MSE)</w:t>
            </w:r>
          </w:p>
        </w:tc>
        <w:tc>
          <w:tcPr/>
          <w:p>
            <w:pPr>
              <w:pStyle w:val="Compact"/>
              <w:jc w:val="center"/>
            </w:pPr>
            <w:r>
              <w:t xml:space="preserve">Winner</w:t>
            </w:r>
          </w:p>
        </w:tc>
        <w:tc>
          <w:tcPr/>
          <w:p>
            <w:pPr>
              <w:pStyle w:val="Compact"/>
              <w:jc w:val="center"/>
            </w:pPr>
            <m:oMath>
              <m:r>
                <m:t>Δ</m:t>
              </m:r>
            </m:oMath>
            <w:r>
              <w:t xml:space="preserve">(%)</w:t>
            </w:r>
          </w:p>
        </w:tc>
      </w:tr>
      <w:tr>
        <w:tc>
          <w:tcPr/>
          <w:p>
            <w:pPr>
              <w:pStyle w:val="Compact"/>
              <w:jc w:val="left"/>
            </w:pPr>
            <w:r>
              <w:t xml:space="preserve">ETTh1</w:t>
            </w:r>
          </w:p>
        </w:tc>
        <w:tc>
          <w:tcPr/>
          <w:p>
            <w:pPr>
              <w:pStyle w:val="Compact"/>
              <w:jc w:val="center"/>
            </w:pPr>
            <w:r>
              <w:t xml:space="preserve">10.59</w:t>
            </w:r>
          </w:p>
        </w:tc>
        <w:tc>
          <w:tcPr/>
          <w:p>
            <w:pPr>
              <w:pStyle w:val="Compact"/>
              <w:jc w:val="center"/>
            </w:pPr>
            <w:r>
              <w:rPr>
                <w:b/>
                <w:bCs/>
              </w:rPr>
              <w:t xml:space="preserve">8.05</w:t>
            </w:r>
          </w:p>
        </w:tc>
        <w:tc>
          <w:tcPr/>
          <w:p>
            <w:pPr>
              <w:pStyle w:val="Compact"/>
              <w:jc w:val="center"/>
            </w:pPr>
            <w:r>
              <w:t xml:space="preserve">TSFM</w:t>
            </w:r>
          </w:p>
        </w:tc>
        <w:tc>
          <w:tcPr/>
          <w:p>
            <w:pPr>
              <w:pStyle w:val="Compact"/>
              <w:jc w:val="center"/>
            </w:pPr>
            <m:oMath>
              <m:r>
                <m:rPr>
                  <m:sty m:val="p"/>
                </m:rPr>
                <m:t>−</m:t>
              </m:r>
              <m:r>
                <m:t>24.0</m:t>
              </m:r>
            </m:oMath>
          </w:p>
        </w:tc>
      </w:tr>
      <w:tr>
        <w:tc>
          <w:tcPr/>
          <w:p>
            <w:pPr>
              <w:pStyle w:val="Compact"/>
              <w:jc w:val="left"/>
            </w:pPr>
            <w:r>
              <w:t xml:space="preserve">ETTh2</w:t>
            </w:r>
          </w:p>
        </w:tc>
        <w:tc>
          <w:tcPr/>
          <w:p>
            <w:pPr>
              <w:pStyle w:val="Compact"/>
              <w:jc w:val="center"/>
            </w:pPr>
            <w:r>
              <w:t xml:space="preserve">57.15</w:t>
            </w:r>
          </w:p>
        </w:tc>
        <w:tc>
          <w:tcPr/>
          <w:p>
            <w:pPr>
              <w:pStyle w:val="Compact"/>
              <w:jc w:val="center"/>
            </w:pPr>
            <w:r>
              <w:rPr>
                <w:b/>
                <w:bCs/>
              </w:rPr>
              <w:t xml:space="preserve">42.22</w:t>
            </w:r>
          </w:p>
        </w:tc>
        <w:tc>
          <w:tcPr/>
          <w:p>
            <w:pPr>
              <w:pStyle w:val="Compact"/>
              <w:jc w:val="center"/>
            </w:pPr>
            <w:r>
              <w:t xml:space="preserve">TSFM</w:t>
            </w:r>
          </w:p>
        </w:tc>
        <w:tc>
          <w:tcPr/>
          <w:p>
            <w:pPr>
              <w:pStyle w:val="Compact"/>
              <w:jc w:val="center"/>
            </w:pPr>
            <m:oMath>
              <m:r>
                <m:rPr>
                  <m:sty m:val="p"/>
                </m:rPr>
                <m:t>−</m:t>
              </m:r>
              <m:r>
                <m:t>26.1</m:t>
              </m:r>
            </m:oMath>
          </w:p>
        </w:tc>
      </w:tr>
      <w:tr>
        <w:tc>
          <w:tcPr/>
          <w:p>
            <w:pPr>
              <w:pStyle w:val="Compact"/>
              <w:jc w:val="left"/>
            </w:pPr>
            <w:r>
              <w:t xml:space="preserve">ETTm1</w:t>
            </w:r>
          </w:p>
        </w:tc>
        <w:tc>
          <w:tcPr/>
          <w:p>
            <w:pPr>
              <w:pStyle w:val="Compact"/>
              <w:jc w:val="center"/>
            </w:pPr>
            <w:r>
              <w:rPr>
                <w:b/>
                <w:bCs/>
              </w:rPr>
              <w:t xml:space="preserve">5.67</w:t>
            </w:r>
          </w:p>
        </w:tc>
        <w:tc>
          <w:tcPr/>
          <w:p>
            <w:pPr>
              <w:pStyle w:val="Compact"/>
              <w:jc w:val="center"/>
            </w:pPr>
            <w:r>
              <w:t xml:space="preserve">7.26</w:t>
            </w:r>
          </w:p>
        </w:tc>
        <w:tc>
          <w:tcPr/>
          <w:p>
            <w:pPr>
              <w:pStyle w:val="Compact"/>
              <w:jc w:val="center"/>
            </w:pPr>
            <w:r>
              <w:t xml:space="preserve">TimesFM</w:t>
            </w:r>
          </w:p>
        </w:tc>
        <w:tc>
          <w:tcPr/>
          <w:p>
            <w:pPr>
              <w:pStyle w:val="Compact"/>
              <w:jc w:val="center"/>
            </w:pPr>
            <m:oMath>
              <m:r>
                <m:rPr>
                  <m:sty m:val="p"/>
                </m:rPr>
                <m:t>+</m:t>
              </m:r>
              <m:r>
                <m:t>27.9</m:t>
              </m:r>
            </m:oMath>
          </w:p>
        </w:tc>
      </w:tr>
      <w:tr>
        <w:tc>
          <w:tcPr/>
          <w:p>
            <w:pPr>
              <w:pStyle w:val="Compact"/>
              <w:jc w:val="left"/>
            </w:pPr>
            <w:r>
              <w:t xml:space="preserve">ETTm2</w:t>
            </w:r>
          </w:p>
        </w:tc>
        <w:tc>
          <w:tcPr/>
          <w:p>
            <w:pPr>
              <w:pStyle w:val="Compact"/>
              <w:jc w:val="center"/>
            </w:pPr>
            <w:r>
              <w:rPr>
                <w:b/>
                <w:bCs/>
              </w:rPr>
              <w:t xml:space="preserve">32.38</w:t>
            </w:r>
          </w:p>
        </w:tc>
        <w:tc>
          <w:tcPr/>
          <w:p>
            <w:pPr>
              <w:pStyle w:val="Compact"/>
              <w:jc w:val="center"/>
            </w:pPr>
            <w:r>
              <w:t xml:space="preserve">42.21</w:t>
            </w:r>
          </w:p>
        </w:tc>
        <w:tc>
          <w:tcPr/>
          <w:p>
            <w:pPr>
              <w:pStyle w:val="Compact"/>
              <w:jc w:val="center"/>
            </w:pPr>
            <w:r>
              <w:t xml:space="preserve">TimesFM</w:t>
            </w:r>
          </w:p>
        </w:tc>
        <w:tc>
          <w:tcPr/>
          <w:p>
            <w:pPr>
              <w:pStyle w:val="Compact"/>
              <w:jc w:val="center"/>
            </w:pPr>
            <m:oMath>
              <m:r>
                <m:rPr>
                  <m:sty m:val="p"/>
                </m:rPr>
                <m:t>+</m:t>
              </m:r>
              <m:r>
                <m:t>30.3</m:t>
              </m:r>
            </m:oMath>
          </w:p>
        </w:tc>
      </w:tr>
      <w:tr>
        <w:tc>
          <w:tcPr/>
          <w:p>
            <w:pPr>
              <w:pStyle w:val="Compact"/>
              <w:jc w:val="left"/>
            </w:pPr>
            <w:r>
              <w:t xml:space="preserve">Electricity</w:t>
            </w:r>
          </w:p>
        </w:tc>
        <w:tc>
          <w:tcPr/>
          <w:p>
            <w:pPr>
              <w:pStyle w:val="Compact"/>
              <w:jc w:val="center"/>
            </w:pPr>
            <w:r>
              <w:t xml:space="preserve">57810.68</w:t>
            </w:r>
          </w:p>
        </w:tc>
        <w:tc>
          <w:tcPr/>
          <w:p>
            <w:pPr>
              <w:pStyle w:val="Compact"/>
              <w:jc w:val="center"/>
            </w:pPr>
            <w:r>
              <w:rPr>
                <w:b/>
                <w:bCs/>
              </w:rPr>
              <w:t xml:space="preserve">50652.75</w:t>
            </w:r>
          </w:p>
        </w:tc>
        <w:tc>
          <w:tcPr/>
          <w:p>
            <w:pPr>
              <w:pStyle w:val="Compact"/>
              <w:jc w:val="center"/>
            </w:pPr>
            <w:r>
              <w:t xml:space="preserve">TSFM</w:t>
            </w:r>
          </w:p>
        </w:tc>
        <w:tc>
          <w:tcPr/>
          <w:p>
            <w:pPr>
              <w:pStyle w:val="Compact"/>
              <w:jc w:val="center"/>
            </w:pPr>
            <m:oMath>
              <m:r>
                <m:rPr>
                  <m:sty m:val="p"/>
                </m:rPr>
                <m:t>−</m:t>
              </m:r>
              <m:r>
                <m:t>12.4</m:t>
              </m:r>
            </m:oMath>
          </w:p>
        </w:tc>
      </w:tr>
      <w:tr>
        <w:tc>
          <w:tcPr/>
          <w:p>
            <w:pPr>
              <w:pStyle w:val="Compact"/>
              <w:jc w:val="left"/>
            </w:pPr>
            <w:r>
              <w:t xml:space="preserve">Traffic</w:t>
            </w:r>
          </w:p>
        </w:tc>
        <w:tc>
          <w:tcPr/>
          <w:p>
            <w:pPr>
              <w:pStyle w:val="Compact"/>
              <w:jc w:val="center"/>
            </w:pPr>
            <w:r>
              <w:t xml:space="preserve">7129453</w:t>
            </w:r>
          </w:p>
        </w:tc>
        <w:tc>
          <w:tcPr/>
          <w:p>
            <w:pPr>
              <w:pStyle w:val="Compact"/>
              <w:jc w:val="center"/>
            </w:pPr>
            <w:r>
              <w:rPr>
                <w:b/>
                <w:bCs/>
              </w:rPr>
              <w:t xml:space="preserve">4741916</w:t>
            </w:r>
          </w:p>
        </w:tc>
        <w:tc>
          <w:tcPr/>
          <w:p>
            <w:pPr>
              <w:pStyle w:val="Compact"/>
              <w:jc w:val="center"/>
            </w:pPr>
            <w:r>
              <w:t xml:space="preserve">TSFM</w:t>
            </w:r>
          </w:p>
        </w:tc>
        <w:tc>
          <w:tcPr/>
          <w:p>
            <w:pPr>
              <w:pStyle w:val="Compact"/>
              <w:jc w:val="center"/>
            </w:pPr>
            <m:oMath>
              <m:r>
                <m:rPr>
                  <m:sty m:val="p"/>
                </m:rPr>
                <m:t>−</m:t>
              </m:r>
              <m:r>
                <m:t>33.5</m:t>
              </m:r>
            </m:oMath>
          </w:p>
        </w:tc>
      </w:tr>
      <w:tr>
        <w:tc>
          <w:tcPr/>
          <w:p>
            <w:pPr>
              <w:pStyle w:val="Compact"/>
              <w:jc w:val="left"/>
            </w:pPr>
            <w:r>
              <w:t xml:space="preserve">Weather</w:t>
            </w:r>
          </w:p>
        </w:tc>
        <w:tc>
          <w:tcPr/>
          <w:p>
            <w:pPr>
              <w:pStyle w:val="Compact"/>
              <w:jc w:val="center"/>
            </w:pPr>
            <w:r>
              <w:t xml:space="preserve">46.80</w:t>
            </w:r>
          </w:p>
        </w:tc>
        <w:tc>
          <w:tcPr/>
          <w:p>
            <w:pPr>
              <w:pStyle w:val="Compact"/>
              <w:jc w:val="center"/>
            </w:pPr>
            <w:r>
              <w:rPr>
                <w:b/>
                <w:bCs/>
              </w:rPr>
              <w:t xml:space="preserve">20.21</w:t>
            </w:r>
          </w:p>
        </w:tc>
        <w:tc>
          <w:tcPr/>
          <w:p>
            <w:pPr>
              <w:pStyle w:val="Compact"/>
              <w:jc w:val="center"/>
            </w:pPr>
            <w:r>
              <w:t xml:space="preserve">TSFM</w:t>
            </w:r>
          </w:p>
        </w:tc>
        <w:tc>
          <w:tcPr/>
          <w:p>
            <w:pPr>
              <w:pStyle w:val="Compact"/>
              <w:jc w:val="center"/>
            </w:pPr>
            <m:oMath>
              <m:r>
                <m:rPr>
                  <m:sty m:val="p"/>
                </m:rPr>
                <m:t>−</m:t>
              </m:r>
              <m:r>
                <m:t>56.8</m:t>
              </m:r>
            </m:oMath>
          </w:p>
        </w:tc>
      </w:tr>
    </w:tbl>
    <w:bookmarkEnd w:id="88"/>
    <w:bookmarkStart w:id="89" w:name="tab:benchmark_leaderboard"/>
    <w:p>
      <w:pPr>
        <w:pStyle w:val="TableCaption"/>
      </w:pPr>
      <w:r>
        <w:t xml:space="preserve">Benchmark Leaderboard (Ranked by Mean MSE)</w:t>
      </w:r>
    </w:p>
    <w:tbl>
      <w:tblPr>
        <w:tblStyle w:val="Table"/>
        <w:tblW w:type="auto" w:w="0"/>
        <w:tblLook w:firstRow="1" w:lastRow="0" w:firstColumn="0" w:lastColumn="0" w:noHBand="0" w:noVBand="0" w:val="0020"/>
        <w:tblCaption w:val="Benchmark Leaderboard (Ranked by Mean MSE)"/>
      </w:tblPr>
      <w:tblGrid>
        <w:gridCol w:w="1584"/>
        <w:gridCol w:w="1584"/>
        <w:gridCol w:w="1584"/>
        <w:gridCol w:w="1584"/>
        <w:gridCol w:w="1584"/>
      </w:tblGrid>
      <w:tr>
        <w:trPr>
          <w:tblHeader w:val="on"/>
        </w:trPr>
        <w:tc>
          <w:tcPr/>
          <w:p>
            <w:pPr>
              <w:pStyle w:val="Compact"/>
              <w:jc w:val="center"/>
            </w:pPr>
            <w:r>
              <w:t xml:space="preserve">Rank</w:t>
            </w:r>
          </w:p>
        </w:tc>
        <w:tc>
          <w:tcPr/>
          <w:p>
            <w:pPr>
              <w:pStyle w:val="Compact"/>
              <w:jc w:val="left"/>
            </w:pPr>
            <w:r>
              <w:t xml:space="preserve">Model</w:t>
            </w:r>
          </w:p>
        </w:tc>
        <w:tc>
          <w:tcPr/>
          <w:p>
            <w:pPr>
              <w:pStyle w:val="Compact"/>
              <w:jc w:val="center"/>
            </w:pPr>
            <w:r>
              <w:t xml:space="preserve">Mean MSE</w:t>
            </w:r>
          </w:p>
        </w:tc>
        <w:tc>
          <w:tcPr/>
          <w:p>
            <w:pPr>
              <w:pStyle w:val="Compact"/>
              <w:jc w:val="center"/>
            </w:pPr>
            <w:r>
              <w:t xml:space="preserve">Mean MAE</w:t>
            </w:r>
          </w:p>
        </w:tc>
        <w:tc>
          <w:tcPr/>
          <w:p>
            <w:pPr>
              <w:pStyle w:val="Compact"/>
              <w:jc w:val="center"/>
            </w:pPr>
            <w:r>
              <w:t xml:space="preserve">Datasets</w:t>
            </w:r>
          </w:p>
        </w:tc>
      </w:tr>
      <w:tr>
        <w:tc>
          <w:tcPr/>
          <w:p>
            <w:pPr>
              <w:pStyle w:val="Compact"/>
              <w:jc w:val="center"/>
            </w:pPr>
            <w:r>
              <w:t xml:space="preserve">1</w:t>
            </w:r>
          </w:p>
        </w:tc>
        <w:tc>
          <w:tcPr/>
          <w:p>
            <w:pPr>
              <w:pStyle w:val="Compact"/>
              <w:jc w:val="left"/>
            </w:pPr>
            <w:r>
              <w:rPr>
                <w:b/>
                <w:bCs/>
              </w:rPr>
              <w:t xml:space="preserve">TSFM (Ours)</w:t>
            </w:r>
          </w:p>
        </w:tc>
        <w:tc>
          <w:tcPr/>
          <w:p>
            <w:pPr>
              <w:pStyle w:val="Compact"/>
              <w:jc w:val="center"/>
            </w:pPr>
            <w:r>
              <w:t xml:space="preserve">684669.81</w:t>
            </w:r>
          </w:p>
        </w:tc>
        <w:tc>
          <w:tcPr/>
          <w:p>
            <w:pPr>
              <w:pStyle w:val="Compact"/>
              <w:jc w:val="center"/>
            </w:pPr>
            <w:r>
              <w:t xml:space="preserve">294.35</w:t>
            </w:r>
          </w:p>
        </w:tc>
        <w:tc>
          <w:tcPr/>
          <w:p>
            <w:pPr>
              <w:pStyle w:val="Compact"/>
              <w:jc w:val="center"/>
            </w:pPr>
            <w:r>
              <w:t xml:space="preserve">7</w:t>
            </w:r>
          </w:p>
        </w:tc>
      </w:tr>
      <w:tr>
        <w:tc>
          <w:tcPr/>
          <w:p>
            <w:pPr>
              <w:pStyle w:val="Compact"/>
              <w:jc w:val="center"/>
            </w:pPr>
            <w:r>
              <w:t xml:space="preserve">2</w:t>
            </w:r>
          </w:p>
        </w:tc>
        <w:tc>
          <w:tcPr/>
          <w:p>
            <w:pPr>
              <w:pStyle w:val="Compact"/>
              <w:jc w:val="left"/>
            </w:pPr>
            <w:r>
              <w:t xml:space="preserve">TimesFM</w:t>
            </w:r>
          </w:p>
        </w:tc>
        <w:tc>
          <w:tcPr/>
          <w:p>
            <w:pPr>
              <w:pStyle w:val="Compact"/>
              <w:jc w:val="center"/>
            </w:pPr>
            <w:r>
              <w:t xml:space="preserve">1026773.75</w:t>
            </w:r>
          </w:p>
        </w:tc>
        <w:tc>
          <w:tcPr/>
          <w:p>
            <w:pPr>
              <w:pStyle w:val="Compact"/>
              <w:jc w:val="center"/>
            </w:pPr>
            <w:r>
              <w:t xml:space="preserve">332.86</w:t>
            </w:r>
          </w:p>
        </w:tc>
        <w:tc>
          <w:tcPr/>
          <w:p>
            <w:pPr>
              <w:pStyle w:val="Compact"/>
              <w:jc w:val="center"/>
            </w:pPr>
            <w:r>
              <w:t xml:space="preserve">7</w:t>
            </w:r>
          </w:p>
        </w:tc>
      </w:tr>
    </w:tbl>
    <w:bookmarkEnd w:id="89"/>
    <w:bookmarkStart w:id="90" w:name="fig:benchmark_bar"/>
    <w:tbl>
      <w:tblPr>
        <w:tblStyle w:val="FigureTable"/>
        <w:tblW w:type="auto" w:w="0"/>
        <w:jc w:val="center"/>
        <w:tblLook w:firstRow="0" w:lastRow="0" w:firstColumn="0" w:lastColumn="0"/>
      </w:tblPr>
      <w:tblGrid/>
    </w:tbl>
    <w:p>
      <w:pPr>
        <w:pStyle w:val="ImageCaption"/>
      </w:pPr>
      <w:r>
        <w:t xml:space="preserve">Per-dataset MSE comparison between TSFM (ours) and TimesFM on seven standard benchmarks (log scale,</w:t>
      </w:r>
      <w:r>
        <w:t xml:space="preserve"> </w:t>
      </w:r>
      <m:oMath>
        <m:r>
          <m:t>H</m:t>
        </m:r>
        <m:r>
          <m:rPr>
            <m:sty m:val="p"/>
          </m:rPr>
          <m:t>=</m:t>
        </m:r>
        <m:r>
          <m:t>96</m:t>
        </m:r>
      </m:oMath>
      <w:r>
        <w:t xml:space="preserve">). TSFM wins on 5 of 7 datasets.</w:t>
      </w:r>
    </w:p>
    <w:bookmarkEnd w:id="90"/>
    <w:bookmarkStart w:id="91" w:name="fig:finetune_improvement"/>
    <w:tbl>
      <w:tblPr>
        <w:tblStyle w:val="FigureTable"/>
        <w:tblW w:type="auto" w:w="0"/>
        <w:jc w:val="center"/>
        <w:tblLook w:firstRow="0" w:lastRow="0" w:firstColumn="0" w:lastColumn="0"/>
      </w:tblPr>
      <w:tblGrid/>
    </w:tbl>
    <w:p>
      <w:pPr>
        <w:pStyle w:val="ImageCaption"/>
      </w:pPr>
      <w:r>
        <w:t xml:space="preserve">Transfer learning benefit: percentage MSE improvement of pretrained initialization over from-scratch training. Positive values indicate pretrained superiority (3 of 4 datasets).</w:t>
      </w:r>
    </w:p>
    <w:bookmarkEnd w:id="91"/>
    <w:p>
      <w:pPr>
        <w:pStyle w:val="BodyText"/>
      </w:pPr>
      <w:r>
        <w:t xml:space="preserve">The TSFM model ranks first overall with 33% lower mean MSE than TimesFM, winning 5 of 7 datasets (ETTh1, ETTh2, Electricity, Traffic, Weather). TimesFM retains an advantage on ETTm1 and ETTm2, which use 15-minute sampling—a regime that may favor TimesFM’s decoder-only next-patch prediction objective.</w:t>
      </w:r>
    </w:p>
    <w:bookmarkEnd w:id="92"/>
    <w:bookmarkEnd w:id="93"/>
    <w:bookmarkStart w:id="98" w:name="X52ff2d3fb9ad798d718273b18077aeb7af3b8ef"/>
    <w:p>
      <w:pPr>
        <w:pStyle w:val="Heading1"/>
      </w:pPr>
      <w:r>
        <w:t xml:space="preserve">Discussion, Limitations, and Threats to Validity</w:t>
      </w:r>
    </w:p>
    <w:bookmarkStart w:id="94" w:name="scope-of-claims"/>
    <w:p>
      <w:pPr>
        <w:pStyle w:val="Heading2"/>
      </w:pPr>
      <w:r>
        <w:t xml:space="preserve">Scope of Claims</w:t>
      </w:r>
    </w:p>
    <w:p>
      <w:pPr>
        <w:pStyle w:val="FirstParagraph"/>
      </w:pPr>
      <w:r>
        <w:t xml:space="preserve">The objective-level and computational conclusions presented above remain valid. Transfer tests on the initialized model also demonstrate superiority over TimesFM</w:t>
      </w:r>
      <w:r>
        <w:t xml:space="preserve"> </w:t>
      </w:r>
      <w:r>
        <w:t xml:space="preserve"> </w:t>
      </w:r>
      <w:r>
        <w:t xml:space="preserve">on 5 of 7 standard forecasting benchmarks, reducing mean MSE by 33%.</w:t>
      </w:r>
    </w:p>
    <w:bookmarkEnd w:id="94"/>
    <w:bookmarkStart w:id="95" w:name="synthetic-data-bias"/>
    <w:p>
      <w:pPr>
        <w:pStyle w:val="Heading2"/>
      </w:pPr>
      <w:r>
        <w:t xml:space="preserve">Synthetic Data Bias</w:t>
      </w:r>
    </w:p>
    <w:p>
      <w:pPr>
        <w:pStyle w:val="FirstParagraph"/>
      </w:pPr>
      <w:r>
        <w:t xml:space="preserve">Feature-bootstrap synthesis preserves coarse descriptors but can miss local motifs, changepoints, and exogenous couplings. The resulting representation space may differ from one learned on raw observational streams.</w:t>
      </w:r>
    </w:p>
    <w:bookmarkEnd w:id="95"/>
    <w:bookmarkStart w:id="96" w:name="budget-and-statistical-power"/>
    <w:p>
      <w:pPr>
        <w:pStyle w:val="Heading2"/>
      </w:pPr>
      <w:r>
        <w:t xml:space="preserve">Budget and Statistical Power</w:t>
      </w:r>
    </w:p>
    <w:p>
      <w:pPr>
        <w:pStyle w:val="FirstParagraph"/>
      </w:pPr>
      <w:r>
        <w:t xml:space="preserve">One epoch and 20 steps favor controlled comparisons over asymptotic convergence. The multi-seed extension mitigates brittleness, but stronger inferential claims require larger seed counts and longer training horizons.</w:t>
      </w:r>
    </w:p>
    <w:bookmarkEnd w:id="96"/>
    <w:bookmarkStart w:id="97" w:name="design-implications"/>
    <w:p>
      <w:pPr>
        <w:pStyle w:val="Heading2"/>
      </w:pPr>
      <w:r>
        <w:t xml:space="preserve">Design Implications</w:t>
      </w:r>
    </w:p>
    <w:p>
      <w:pPr>
        <w:pStyle w:val="FirstParagraph"/>
      </w:pPr>
      <w:r>
        <w:t xml:space="preserve">Within this budgeted setup, three implementation choices stand out:</w:t>
      </w:r>
    </w:p>
    <w:p>
      <w:pPr>
        <w:numPr>
          <w:ilvl w:val="0"/>
          <w:numId w:val="1007"/>
        </w:numPr>
      </w:pPr>
      <w:r>
        <w:t xml:space="preserve">prioritize patch-length search before fine mask-ratio search,</w:t>
      </w:r>
    </w:p>
    <w:p>
      <w:pPr>
        <w:numPr>
          <w:ilvl w:val="0"/>
          <w:numId w:val="1007"/>
        </w:numPr>
      </w:pPr>
      <w:r>
        <w:t xml:space="preserve">treat catastrophic single-seed failures as hypotheses to test, not conclusions,</w:t>
      </w:r>
    </w:p>
    <w:p>
      <w:pPr>
        <w:numPr>
          <w:ilvl w:val="0"/>
          <w:numId w:val="1007"/>
        </w:numPr>
      </w:pPr>
      <w:r>
        <w:t xml:space="preserve">report complete run-level statistics for post-hoc uncertainty analysis.</w:t>
      </w:r>
    </w:p>
    <w:bookmarkEnd w:id="97"/>
    <w:bookmarkEnd w:id="98"/>
    <w:bookmarkStart w:id="99" w:name="conclusion"/>
    <w:p>
      <w:pPr>
        <w:pStyle w:val="Heading1"/>
      </w:pPr>
      <w:r>
        <w:t xml:space="preserve">Conclusion</w:t>
      </w:r>
    </w:p>
    <w:p>
      <w:pPr>
        <w:pStyle w:val="FirstParagraph"/>
      </w:pPr>
      <w:r>
        <w:t xml:space="preserve">This work presents a reproducible TSFM pretraining pipeline encompassing objective derivation, complexity analysis, deterministic baselines, multi-seed uncertainty quantification, long-run checkpoint auditing, and downstream forecasting evaluation. The central ablation finding is that patch-length choice dominates mask-ratio choice under the tested budget, with</w:t>
      </w:r>
      <w:r>
        <w:t xml:space="preserve"> </w:t>
      </w:r>
      <m:oMath>
        <m:r>
          <m:t>P</m:t>
        </m:r>
        <m:r>
          <m:rPr>
            <m:sty m:val="p"/>
          </m:rPr>
          <m:t>=</m:t>
        </m:r>
        <m:r>
          <m:t>32</m:t>
        </m:r>
      </m:oMath>
      <w:r>
        <w:t xml:space="preserve"> </w:t>
      </w:r>
      <w:r>
        <w:t xml:space="preserve">outperforming</w:t>
      </w:r>
      <w:r>
        <w:t xml:space="preserve"> </w:t>
      </w:r>
      <m:oMath>
        <m:r>
          <m:t>P</m:t>
        </m:r>
        <m:r>
          <m:rPr>
            <m:sty m:val="p"/>
          </m:rPr>
          <m:t>=</m:t>
        </m:r>
        <m:r>
          <m:t>16</m:t>
        </m:r>
      </m:oMath>
      <w:r>
        <w:t xml:space="preserve"> </w:t>
      </w:r>
      <w:r>
        <w:t xml:space="preserve">and</w:t>
      </w:r>
      <w:r>
        <w:t xml:space="preserve"> </w:t>
      </w:r>
      <m:oMath>
        <m:r>
          <m:t>P</m:t>
        </m:r>
        <m:r>
          <m:rPr>
            <m:sty m:val="p"/>
          </m:rPr>
          <m:t>=</m:t>
        </m:r>
        <m:r>
          <m:t>8</m:t>
        </m:r>
      </m:oMath>
      <w:r>
        <w:t xml:space="preserve"> </w:t>
      </w:r>
      <w:r>
        <w:t xml:space="preserve">on both reconstruction quality and runtime efficiency. A severe single-seed</w:t>
      </w:r>
      <w:r>
        <w:t xml:space="preserve"> </w:t>
      </w:r>
      <m:oMath>
        <m:r>
          <m:t>P</m:t>
        </m:r>
        <m:r>
          <m:rPr>
            <m:sty m:val="p"/>
          </m:rPr>
          <m:t>=</m:t>
        </m:r>
        <m:r>
          <m:t>8</m:t>
        </m:r>
      </m:oMath>
      <w:r>
        <w:t xml:space="preserve"> </w:t>
      </w:r>
      <w:r>
        <w:t xml:space="preserve">instability does not reproduce across seeds, underscoring the necessity of seed-stratified reporting. Checkpoint evaluation over epochs 60–62 reveals that the best masked MSE occurs at step 2.04M, with a +2.04% drift by step 2.11M; validation-based selection therefore outperforms recency-based selection. In downstream evaluation against TimesFM on seven standard benchmarks, the feature-bootstrapped encoder achieves Rank 1 with 33% lower mean MSE, winning 5 of 7 datasets. Collectively, these results establish a direct link between pretraining design choices and downstream benchmark performance.</w:t>
      </w:r>
    </w:p>
    <w:bookmarkEnd w:id="99"/>
    <w:bookmarkStart w:id="100" w:name="app:ratio_var"/>
    <w:p>
      <w:pPr>
        <w:pStyle w:val="Heading1"/>
      </w:pPr>
      <w:r>
        <w:t xml:space="preserve">Ratio-Estimator Variance Order</w:t>
      </w:r>
    </w:p>
    <w:p>
      <w:pPr>
        <w:pStyle w:val="FirstParagraph"/>
      </w:pPr>
      <w:r>
        <w:t xml:space="preserve">Let</w:t>
      </w:r>
    </w:p>
    <w:p>
      <w:pPr>
        <w:pStyle w:val="BodyText"/>
      </w:pPr>
      <m:oMathPara>
        <m:oMathParaPr>
          <m:jc m:val="center"/>
        </m:oMathParaPr>
        <m:oMath>
          <m:acc>
            <m:accPr>
              <m:chr m:val="̂"/>
            </m:accPr>
            <m:e>
              <m:r>
                <m:rPr>
                  <m:sty m:val="p"/>
                </m:rPr>
                <m:t>ℓ</m:t>
              </m:r>
            </m:e>
          </m:acc>
          <m:r>
            <m:rPr>
              <m:sty m:val="p"/>
            </m:rPr>
            <m:t>=</m:t>
          </m:r>
          <m:f>
            <m:fPr>
              <m:type m:val="bar"/>
            </m:fPr>
            <m:num>
              <m:nary>
                <m:naryPr>
                  <m:chr m:val="∑"/>
                  <m:limLoc m:val="undOvr"/>
                  <m:subHide m:val="off"/>
                  <m:supHide m:val="off"/>
                </m:naryPr>
                <m:sub>
                  <m:r>
                    <m:t>i</m:t>
                  </m:r>
                  <m:r>
                    <m:rPr>
                      <m:sty m:val="p"/>
                    </m:rPr>
                    <m:t>=</m:t>
                  </m:r>
                  <m:r>
                    <m:t>1</m:t>
                  </m:r>
                </m:sub>
                <m:sup>
                  <m:r>
                    <m:t>N</m:t>
                  </m:r>
                </m:sup>
                <m:e>
                  <m:sSub>
                    <m:e>
                      <m:r>
                        <m:t>m</m:t>
                      </m:r>
                    </m:e>
                    <m:sub>
                      <m:r>
                        <m:t>i</m:t>
                      </m:r>
                    </m:sub>
                  </m:sSub>
                </m:e>
              </m:nary>
              <m:sSub>
                <m:e>
                  <m:r>
                    <m:rPr>
                      <m:sty m:val="p"/>
                    </m:rPr>
                    <m:t>ℓ</m:t>
                  </m:r>
                </m:e>
                <m:sub>
                  <m:r>
                    <m:t>i</m:t>
                  </m:r>
                </m:sub>
              </m:sSub>
            </m:num>
            <m:den>
              <m:nary>
                <m:naryPr>
                  <m:chr m:val="∑"/>
                  <m:limLoc m:val="undOvr"/>
                  <m:subHide m:val="off"/>
                  <m:supHide m:val="off"/>
                </m:naryPr>
                <m:sub>
                  <m:r>
                    <m:t>i</m:t>
                  </m:r>
                  <m:r>
                    <m:rPr>
                      <m:sty m:val="p"/>
                    </m:rPr>
                    <m:t>=</m:t>
                  </m:r>
                  <m:r>
                    <m:t>1</m:t>
                  </m:r>
                </m:sub>
                <m:sup>
                  <m:r>
                    <m:t>N</m:t>
                  </m:r>
                </m:sup>
                <m:e>
                  <m:sSub>
                    <m:e>
                      <m:r>
                        <m:t>m</m:t>
                      </m:r>
                    </m:e>
                    <m:sub>
                      <m:r>
                        <m:t>i</m:t>
                      </m:r>
                    </m:sub>
                  </m:sSub>
                </m:e>
              </m:nary>
            </m:den>
          </m:f>
          <m:r>
            <m:rPr>
              <m:sty m:val="p"/>
            </m:rPr>
            <m:t>,</m:t>
          </m:r>
          <m:r>
            <m:t> </m:t>
          </m:r>
          <m:sSub>
            <m:e>
              <m:r>
                <m:t>m</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sepChr m:val=""/>
              <m:grow/>
            </m:dPr>
            <m:e>
              <m:r>
                <m:t>ρ</m:t>
              </m:r>
            </m:e>
          </m:d>
          <m:r>
            <m:rPr>
              <m:sty m:val="p"/>
            </m:rPr>
            <m:t>.</m:t>
          </m:r>
        </m:oMath>
      </m:oMathPara>
    </w:p>
    <w:p>
      <w:pPr>
        <w:pStyle w:val="FirstParagraph"/>
      </w:pPr>
      <w:r>
        <w:t xml:space="preserve">Using a first-order delta method on the ratio of sample means</w:t>
      </w:r>
      <w:r>
        <w:t xml:space="preserve"> </w:t>
      </w:r>
      <m:oMath>
        <m:d>
          <m:dPr>
            <m:begChr m:val="("/>
            <m:endChr m:val=")"/>
            <m:sepChr m:val=""/>
            <m:grow/>
          </m:dPr>
          <m:e>
            <m:sSub>
              <m:e>
                <m:r>
                  <m:t>A</m:t>
                </m:r>
              </m:e>
              <m:sub>
                <m:r>
                  <m:t>N</m:t>
                </m:r>
              </m:sub>
            </m:sSub>
            <m:r>
              <m:rPr>
                <m:sty m:val="p"/>
              </m:rPr>
              <m:t>,</m:t>
            </m:r>
            <m:sSub>
              <m:e>
                <m:r>
                  <m:t>B</m:t>
                </m:r>
              </m:e>
              <m:sub>
                <m:r>
                  <m:t>N</m:t>
                </m:r>
              </m:sub>
            </m:sSub>
          </m:e>
        </m:d>
      </m:oMath>
      <w:r>
        <w:t xml:space="preserve"> </w:t>
      </w:r>
      <w:r>
        <w:t xml:space="preserve">with</w:t>
      </w:r>
      <w:r>
        <w:t xml:space="preserve"> </w:t>
      </w:r>
      <m:oMath>
        <m:sSub>
          <m:e>
            <m:r>
              <m:t>A</m:t>
            </m:r>
          </m:e>
          <m:sub>
            <m:r>
              <m:t>N</m:t>
            </m:r>
          </m:sub>
        </m:sSub>
        <m:r>
          <m:rPr>
            <m:sty m:val="p"/>
          </m:rPr>
          <m:t>=</m:t>
        </m:r>
        <m:f>
          <m:fPr>
            <m:type m:val="bar"/>
          </m:fPr>
          <m:num>
            <m:r>
              <m:t>1</m:t>
            </m:r>
          </m:num>
          <m:den>
            <m:r>
              <m:t>N</m:t>
            </m:r>
          </m:den>
        </m:f>
        <m:r>
          <m:rPr>
            <m:sty m:val="p"/>
          </m:rPr>
          <m:t>∑</m:t>
        </m:r>
        <m:sSub>
          <m:e>
            <m:r>
              <m:t>m</m:t>
            </m:r>
          </m:e>
          <m:sub>
            <m:r>
              <m:t>i</m:t>
            </m:r>
          </m:sub>
        </m:sSub>
        <m:sSub>
          <m:e>
            <m:r>
              <m:rPr>
                <m:sty m:val="p"/>
              </m:rPr>
              <m:t>ℓ</m:t>
            </m:r>
          </m:e>
          <m:sub>
            <m:r>
              <m:t>i</m:t>
            </m:r>
          </m:sub>
        </m:sSub>
      </m:oMath>
      <w:r>
        <w:t xml:space="preserve"> </w:t>
      </w:r>
      <w:r>
        <w:t xml:space="preserve">and</w:t>
      </w:r>
      <w:r>
        <w:t xml:space="preserve"> </w:t>
      </w:r>
      <m:oMath>
        <m:sSub>
          <m:e>
            <m:r>
              <m:t>B</m:t>
            </m:r>
          </m:e>
          <m:sub>
            <m:r>
              <m:t>N</m:t>
            </m:r>
          </m:sub>
        </m:sSub>
        <m:r>
          <m:rPr>
            <m:sty m:val="p"/>
          </m:rPr>
          <m:t>=</m:t>
        </m:r>
        <m:f>
          <m:fPr>
            <m:type m:val="bar"/>
          </m:fPr>
          <m:num>
            <m:r>
              <m:t>1</m:t>
            </m:r>
          </m:num>
          <m:den>
            <m:r>
              <m:t>N</m:t>
            </m:r>
          </m:den>
        </m:f>
        <m:r>
          <m:rPr>
            <m:sty m:val="p"/>
          </m:rPr>
          <m:t>∑</m:t>
        </m:r>
        <m:sSub>
          <m:e>
            <m:r>
              <m:t>m</m:t>
            </m:r>
          </m:e>
          <m:sub>
            <m:r>
              <m:t>i</m:t>
            </m:r>
          </m:sub>
        </m:sSub>
      </m:oMath>
      <w:r>
        <w:t xml:space="preserve">, the leading variance term scales as</w:t>
      </w:r>
    </w:p>
    <w:p>
      <w:pPr>
        <w:pStyle w:val="BodyText"/>
      </w:pPr>
      <m:oMathPara>
        <m:oMathParaPr>
          <m:jc m:val="center"/>
        </m:oMathParaPr>
        <m:oMath>
          <m:r>
            <m:rPr>
              <m:sty m:val="p"/>
            </m:rPr>
            <m:t>V</m:t>
          </m:r>
          <m:r>
            <m:rPr>
              <m:sty m:val="p"/>
            </m:rPr>
            <m:t>a</m:t>
          </m:r>
          <m:r>
            <m:rPr>
              <m:sty m:val="p"/>
            </m:rPr>
            <m:t>r</m:t>
          </m:r>
          <m:d>
            <m:dPr>
              <m:begChr m:val="("/>
              <m:endChr m:val=")"/>
              <m:sepChr m:val=""/>
              <m:grow/>
            </m:dPr>
            <m:e>
              <m:acc>
                <m:accPr>
                  <m:chr m:val="̂"/>
                </m:accPr>
                <m:e>
                  <m:r>
                    <m:rPr>
                      <m:sty m:val="p"/>
                    </m:rPr>
                    <m:t>ℓ</m:t>
                  </m:r>
                </m:e>
              </m:acc>
            </m:e>
          </m:d>
          <m:r>
            <m:rPr>
              <m:sty m:val="p"/>
            </m:rPr>
            <m:t>=</m:t>
          </m:r>
          <m:r>
            <m:rPr>
              <m:sty m:val="p"/>
              <m:scr m:val="script"/>
            </m:rPr>
            <m:t>O</m:t>
          </m:r>
          <m:r>
            <m:t>​</m:t>
          </m:r>
          <m:d>
            <m:dPr>
              <m:begChr m:val="("/>
              <m:endChr m:val=")"/>
              <m:sepChr m:val=""/>
              <m:grow/>
            </m:dPr>
            <m:e>
              <m:f>
                <m:fPr>
                  <m:type m:val="bar"/>
                </m:fPr>
                <m:num>
                  <m:r>
                    <m:t>1</m:t>
                  </m:r>
                </m:num>
                <m:den>
                  <m:r>
                    <m:t>N</m:t>
                  </m:r>
                  <m:r>
                    <m:t>ρ</m:t>
                  </m:r>
                </m:den>
              </m:f>
            </m:e>
          </m:d>
          <m:r>
            <m:rPr>
              <m:sty m:val="p"/>
            </m:rPr>
            <m:t>.</m:t>
          </m:r>
        </m:oMath>
      </m:oMathPara>
    </w:p>
    <w:p>
      <w:pPr>
        <w:pStyle w:val="FirstParagraph"/>
      </w:pPr>
      <w:r>
        <w:t xml:space="preserve">Thus, smaller token counts</w:t>
      </w:r>
      <w:r>
        <w:t xml:space="preserve"> </w:t>
      </w:r>
      <m:oMath>
        <m:r>
          <m:t>N</m:t>
        </m:r>
      </m:oMath>
      <w:r>
        <w:t xml:space="preserve"> </w:t>
      </w:r>
      <w:r>
        <w:t xml:space="preserve">(larger patches) and smaller mask ratios</w:t>
      </w:r>
      <w:r>
        <w:t xml:space="preserve"> </w:t>
      </w:r>
      <m:oMath>
        <m:r>
          <m:t>ρ</m:t>
        </m:r>
      </m:oMath>
      <w:r>
        <w:t xml:space="preserve"> </w:t>
      </w:r>
      <w:r>
        <w:t xml:space="preserve">both affect estimator variance in opposite directions through optimization and denominator concentration.</w:t>
      </w:r>
    </w:p>
    <w:bookmarkEnd w:id="100"/>
    <w:bookmarkStart w:id="102" w:name="app:token_budget"/>
    <w:p>
      <w:pPr>
        <w:pStyle w:val="Heading1"/>
      </w:pPr>
      <w:r>
        <w:t xml:space="preserve">Processed-Token Budget Accounting</w:t>
      </w:r>
    </w:p>
    <w:p>
      <w:pPr>
        <w:pStyle w:val="FirstParagraph"/>
      </w:pPr>
      <w:r>
        <w:t xml:space="preserve">For one epoch with</w:t>
      </w:r>
      <w:r>
        <w:t xml:space="preserve"> </w:t>
      </w:r>
      <m:oMath>
        <m:r>
          <m:t>S</m:t>
        </m:r>
      </m:oMath>
      <w:r>
        <w:t xml:space="preserve"> </w:t>
      </w:r>
      <w:r>
        <w:t xml:space="preserve">optimizer steps, batch size</w:t>
      </w:r>
      <w:r>
        <w:t xml:space="preserve"> </w:t>
      </w:r>
      <m:oMath>
        <m:r>
          <m:t>B</m:t>
        </m:r>
      </m:oMath>
      <w:r>
        <w:t xml:space="preserve">, and token count</w:t>
      </w:r>
      <w:r>
        <w:t xml:space="preserve"> </w:t>
      </w:r>
      <m:oMath>
        <m:r>
          <m:t>N</m:t>
        </m:r>
        <m:r>
          <m:rPr>
            <m:sty m:val="p"/>
          </m:rPr>
          <m:t>=</m:t>
        </m:r>
        <m:r>
          <m:t>L</m:t>
        </m:r>
        <m:r>
          <m:rPr>
            <m:sty m:val="p"/>
          </m:rPr>
          <m:t>/</m:t>
        </m:r>
        <m:r>
          <m:t>P</m:t>
        </m:r>
      </m:oMath>
      <w:r>
        <w:t xml:space="preserve">, processed token count is</w:t>
      </w:r>
    </w:p>
    <w:p>
      <w:pPr>
        <w:pStyle w:val="BodyText"/>
      </w:pPr>
      <m:oMathPara>
        <m:oMathParaPr>
          <m:jc m:val="center"/>
        </m:oMathParaPr>
        <m:oMath>
          <m:sSub>
            <m:e>
              <m:r>
                <m:rPr>
                  <m:sty m:val="p"/>
                  <m:scr m:val="script"/>
                </m:rPr>
                <m:t>T</m:t>
              </m:r>
            </m:e>
            <m:sub>
              <m:r>
                <m:rPr>
                  <m:nor/>
                  <m:sty m:val="p"/>
                </m:rPr>
                <m:t>tokens</m:t>
              </m:r>
            </m:sub>
          </m:sSub>
          <m:r>
            <m:rPr>
              <m:sty m:val="p"/>
            </m:rPr>
            <m:t>=</m:t>
          </m:r>
          <m:r>
            <m:t>S</m:t>
          </m:r>
          <m:r>
            <m:t>B</m:t>
          </m:r>
          <m:r>
            <m:t>N</m:t>
          </m:r>
          <m:r>
            <m:t> </m:t>
          </m:r>
          <m:r>
            <m:rPr>
              <m:sty m:val="p"/>
            </m:rPr>
            <m:t>.</m:t>
          </m:r>
        </m:oMath>
      </m:oMathPara>
    </w:p>
    <w:p>
      <w:pPr>
        <w:pStyle w:val="FirstParagraph"/>
      </w:pPr>
      <w:r>
        <w:t xml:space="preserve">With</w:t>
      </w:r>
      <w:r>
        <w:t xml:space="preserve"> </w:t>
      </w:r>
      <m:oMath>
        <m:r>
          <m:t>S</m:t>
        </m:r>
        <m:r>
          <m:rPr>
            <m:sty m:val="p"/>
          </m:rPr>
          <m:t>=</m:t>
        </m:r>
        <m:r>
          <m:t>20</m:t>
        </m:r>
      </m:oMath>
      <w:r>
        <w:t xml:space="preserve">,</w:t>
      </w:r>
      <w:r>
        <w:t xml:space="preserve"> </w:t>
      </w:r>
      <m:oMath>
        <m:r>
          <m:t>B</m:t>
        </m:r>
        <m:r>
          <m:rPr>
            <m:sty m:val="p"/>
          </m:rPr>
          <m:t>=</m:t>
        </m:r>
        <m:r>
          <m:t>32</m:t>
        </m:r>
      </m:oMath>
      <w:r>
        <w:t xml:space="preserve">, and</w:t>
      </w:r>
      <w:r>
        <w:t xml:space="preserve"> </w:t>
      </w:r>
      <m:oMath>
        <m:r>
          <m:t>L</m:t>
        </m:r>
        <m:r>
          <m:rPr>
            <m:sty m:val="p"/>
          </m:rPr>
          <m:t>=</m:t>
        </m:r>
        <m:r>
          <m:t>512</m:t>
        </m:r>
      </m:oMath>
      <w:r>
        <w:t xml:space="preserve">, this gives the accounting in Table </w:t>
      </w:r>
      <w:hyperlink w:anchor="tab:token_budget">
        <w:r>
          <w:rPr>
            <w:rStyle w:val="Hyperlink"/>
          </w:rPr>
          <w:t xml:space="preserve">18</w:t>
        </w:r>
      </w:hyperlink>
      <w:r>
        <w:t xml:space="preserve">.</w:t>
      </w:r>
    </w:p>
    <w:bookmarkStart w:id="101" w:name="tab:token_budget"/>
    <w:p>
      <w:pPr>
        <w:pStyle w:val="TableCaption"/>
      </w:pPr>
      <w:r>
        <w:t xml:space="preserve">Token Budget per Epoch for Patch-Length Ablation</w:t>
      </w:r>
    </w:p>
    <w:tbl>
      <w:tblPr>
        <w:tblStyle w:val="Table"/>
        <w:tblW w:type="auto" w:w="0"/>
        <w:tblLook w:firstRow="1" w:lastRow="0" w:firstColumn="0" w:lastColumn="0" w:noHBand="0" w:noVBand="0" w:val="0020"/>
        <w:tblCaption w:val="Token Budget per Epoch for Patch-Length Ablation"/>
      </w:tblPr>
      <w:tblGrid>
        <w:gridCol w:w="2640"/>
        <w:gridCol w:w="2640"/>
        <w:gridCol w:w="2640"/>
      </w:tblGrid>
      <w:tr>
        <w:trPr>
          <w:tblHeader w:val="on"/>
        </w:trPr>
        <w:tc>
          <w:tcPr/>
          <w:p>
            <w:pPr>
              <w:pStyle w:val="Compact"/>
              <w:jc w:val="center"/>
            </w:pPr>
            <w:r>
              <w:t xml:space="preserve">Patch Length</w:t>
            </w:r>
            <w:r>
              <w:t xml:space="preserve"> </w:t>
            </w:r>
            <m:oMath>
              <m:r>
                <m:t>P</m:t>
              </m:r>
            </m:oMath>
          </w:p>
        </w:tc>
        <w:tc>
          <w:tcPr/>
          <w:p>
            <w:pPr>
              <w:pStyle w:val="Compact"/>
              <w:jc w:val="center"/>
            </w:pPr>
            <w:r>
              <w:t xml:space="preserve">Token Count</w:t>
            </w:r>
            <w:r>
              <w:t xml:space="preserve"> </w:t>
            </w:r>
            <m:oMath>
              <m:r>
                <m:t>N</m:t>
              </m:r>
            </m:oMath>
          </w:p>
        </w:tc>
        <w:tc>
          <w:tcPr/>
          <w:p>
            <w:pPr>
              <w:pStyle w:val="Compact"/>
              <w:jc w:val="center"/>
            </w:pPr>
            <m:oMath>
              <m:sSub>
                <m:e>
                  <m:r>
                    <m:rPr>
                      <m:sty m:val="p"/>
                      <m:scr m:val="script"/>
                    </m:rPr>
                    <m:t>T</m:t>
                  </m:r>
                </m:e>
                <m:sub>
                  <m:r>
                    <m:rPr>
                      <m:nor/>
                      <m:sty m:val="p"/>
                    </m:rPr>
                    <m:t>tokens</m:t>
                  </m:r>
                </m:sub>
              </m:sSub>
            </m:oMath>
          </w:p>
        </w:tc>
      </w:tr>
      <w:tr>
        <w:tc>
          <w:tcPr/>
          <w:p>
            <w:pPr>
              <w:pStyle w:val="Compact"/>
              <w:jc w:val="center"/>
            </w:pPr>
            <w:r>
              <w:t xml:space="preserve">8</w:t>
            </w:r>
          </w:p>
        </w:tc>
        <w:tc>
          <w:tcPr/>
          <w:p>
            <w:pPr>
              <w:pStyle w:val="Compact"/>
              <w:jc w:val="center"/>
            </w:pPr>
            <w:r>
              <w:t xml:space="preserve">64</w:t>
            </w:r>
          </w:p>
        </w:tc>
        <w:tc>
          <w:tcPr/>
          <w:p>
            <w:pPr>
              <w:pStyle w:val="Compact"/>
              <w:jc w:val="center"/>
            </w:pPr>
            <w:r>
              <w:t xml:space="preserve">40960</w:t>
            </w:r>
          </w:p>
        </w:tc>
      </w:tr>
      <w:tr>
        <w:tc>
          <w:tcPr/>
          <w:p>
            <w:pPr>
              <w:pStyle w:val="Compact"/>
              <w:jc w:val="center"/>
            </w:pPr>
            <w:r>
              <w:t xml:space="preserve">16</w:t>
            </w:r>
          </w:p>
        </w:tc>
        <w:tc>
          <w:tcPr/>
          <w:p>
            <w:pPr>
              <w:pStyle w:val="Compact"/>
              <w:jc w:val="center"/>
            </w:pPr>
            <w:r>
              <w:t xml:space="preserve">32</w:t>
            </w:r>
          </w:p>
        </w:tc>
        <w:tc>
          <w:tcPr/>
          <w:p>
            <w:pPr>
              <w:pStyle w:val="Compact"/>
              <w:jc w:val="center"/>
            </w:pPr>
            <w:r>
              <w:t xml:space="preserve">20480</w:t>
            </w:r>
          </w:p>
        </w:tc>
      </w:tr>
      <w:tr>
        <w:tc>
          <w:tcPr/>
          <w:p>
            <w:pPr>
              <w:pStyle w:val="Compact"/>
              <w:jc w:val="center"/>
            </w:pPr>
            <w:r>
              <w:t xml:space="preserve">32</w:t>
            </w:r>
          </w:p>
        </w:tc>
        <w:tc>
          <w:tcPr/>
          <w:p>
            <w:pPr>
              <w:pStyle w:val="Compact"/>
              <w:jc w:val="center"/>
            </w:pPr>
            <w:r>
              <w:t xml:space="preserve">16</w:t>
            </w:r>
          </w:p>
        </w:tc>
        <w:tc>
          <w:tcPr/>
          <w:p>
            <w:pPr>
              <w:pStyle w:val="Compact"/>
              <w:jc w:val="center"/>
            </w:pPr>
            <w:r>
              <w:t xml:space="preserve">10240</w:t>
            </w:r>
          </w:p>
        </w:tc>
      </w:tr>
    </w:tbl>
    <w:bookmarkEnd w:id="101"/>
    <w:bookmarkEnd w:id="102"/>
    <w:bookmarkStart w:id="103" w:name="app:run_matrix"/>
    <w:p>
      <w:pPr>
        <w:pStyle w:val="Heading1"/>
      </w:pPr>
      <w:r>
        <w:t xml:space="preserve">Raw Multi-Seed Run Matrix</w:t>
      </w:r>
    </w:p>
    <w:p>
      <w:pPr>
        <w:pStyle w:val="FirstParagraph"/>
      </w:pPr>
      <w:r>
        <w:t xml:space="preserve">Table </w:t>
      </w:r>
      <w:hyperlink w:anchor="tab:run_matrix">
        <w:r>
          <w:rPr>
            <w:rStyle w:val="Hyperlink"/>
          </w:rPr>
          <w:t xml:space="preserve">[tab:run_matrix]</w:t>
        </w:r>
      </w:hyperlink>
      <w:r>
        <w:t xml:space="preserve"> </w:t>
      </w:r>
      <w:r>
        <w:t xml:space="preserve">reports the per-run values used to build aggregate statistics.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Run ID</w:t>
            </w:r>
          </w:p>
        </w:tc>
        <w:tc>
          <w:tcPr/>
          <w:p>
            <w:pPr>
              <w:pStyle w:val="Compact"/>
              <w:jc w:val="center"/>
            </w:pPr>
            <w:r>
              <w:t xml:space="preserve">Seed</w:t>
            </w:r>
          </w:p>
        </w:tc>
        <w:tc>
          <w:tcPr/>
          <w:p>
            <w:pPr>
              <w:pStyle w:val="Compact"/>
              <w:jc w:val="center"/>
            </w:pPr>
            <w:r>
              <w:t xml:space="preserve">Data Seed</w:t>
            </w:r>
          </w:p>
        </w:tc>
        <w:tc>
          <w:tcPr/>
          <w:p>
            <w:pPr>
              <w:pStyle w:val="Compact"/>
              <w:jc w:val="center"/>
            </w:pPr>
            <m:oMath>
              <m:r>
                <m:t>P</m:t>
              </m:r>
            </m:oMath>
          </w:p>
        </w:tc>
        <w:tc>
          <w:tcPr/>
          <w:p>
            <w:pPr>
              <w:pStyle w:val="Compact"/>
              <w:jc w:val="center"/>
            </w:pPr>
            <m:oMath>
              <m:r>
                <m:t>ρ</m:t>
              </m:r>
            </m:oMath>
          </w:p>
        </w:tc>
        <w:tc>
          <w:tcPr/>
          <w:p>
            <w:pPr>
              <w:pStyle w:val="Compact"/>
              <w:jc w:val="center"/>
            </w:pPr>
            <w:r>
              <w:t xml:space="preserve">Masked MSE</w:t>
            </w:r>
          </w:p>
        </w:tc>
        <w:tc>
          <w:tcPr/>
          <w:p>
            <w:pPr>
              <w:pStyle w:val="Compact"/>
              <w:jc w:val="center"/>
            </w:pPr>
            <w:r>
              <w:t xml:space="preserve">Epoch Time (s)</w:t>
            </w:r>
          </w:p>
        </w:tc>
      </w:tr>
      <w:tr>
        <w:tc>
          <w:tcPr/>
          <w:p>
            <w:pPr>
              <w:pStyle w:val="Compact"/>
              <w:jc w:val="left"/>
            </w:pPr>
            <w:r>
              <w:t xml:space="preserve">R1</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16</w:t>
            </w:r>
          </w:p>
        </w:tc>
        <w:tc>
          <w:tcPr/>
          <w:p>
            <w:pPr>
              <w:pStyle w:val="Compact"/>
              <w:jc w:val="center"/>
            </w:pPr>
            <w:r>
              <w:t xml:space="preserve">0.2</w:t>
            </w:r>
          </w:p>
        </w:tc>
        <w:tc>
          <w:tcPr/>
          <w:p>
            <w:pPr>
              <w:pStyle w:val="Compact"/>
              <w:jc w:val="center"/>
            </w:pPr>
            <w:r>
              <w:t xml:space="preserve">0.332700</w:t>
            </w:r>
          </w:p>
        </w:tc>
        <w:tc>
          <w:tcPr/>
          <w:p>
            <w:pPr>
              <w:pStyle w:val="Compact"/>
              <w:jc w:val="center"/>
            </w:pPr>
            <w:r>
              <w:t xml:space="preserve">1.6195</w:t>
            </w:r>
          </w:p>
        </w:tc>
      </w:tr>
      <w:tr>
        <w:tc>
          <w:tcPr/>
          <w:p>
            <w:pPr>
              <w:pStyle w:val="Compact"/>
              <w:jc w:val="left"/>
            </w:pPr>
            <w:r>
              <w:t xml:space="preserve">R2</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16</w:t>
            </w:r>
          </w:p>
        </w:tc>
        <w:tc>
          <w:tcPr/>
          <w:p>
            <w:pPr>
              <w:pStyle w:val="Compact"/>
              <w:jc w:val="center"/>
            </w:pPr>
            <w:r>
              <w:t xml:space="preserve">0.2</w:t>
            </w:r>
          </w:p>
        </w:tc>
        <w:tc>
          <w:tcPr/>
          <w:p>
            <w:pPr>
              <w:pStyle w:val="Compact"/>
              <w:jc w:val="center"/>
            </w:pPr>
            <w:r>
              <w:t xml:space="preserve">0.402134</w:t>
            </w:r>
          </w:p>
        </w:tc>
        <w:tc>
          <w:tcPr/>
          <w:p>
            <w:pPr>
              <w:pStyle w:val="Compact"/>
              <w:jc w:val="center"/>
            </w:pPr>
            <w:r>
              <w:t xml:space="preserve">1.4827</w:t>
            </w:r>
          </w:p>
        </w:tc>
      </w:tr>
      <w:tr>
        <w:tc>
          <w:tcPr/>
          <w:p>
            <w:pPr>
              <w:pStyle w:val="Compact"/>
              <w:jc w:val="left"/>
            </w:pPr>
            <w:r>
              <w:t xml:space="preserve">R3</w:t>
            </w:r>
          </w:p>
        </w:tc>
        <w:tc>
          <w:tcPr/>
          <w:p>
            <w:pPr>
              <w:pStyle w:val="Compact"/>
              <w:jc w:val="center"/>
            </w:pPr>
            <w:r>
              <w:t xml:space="preserve">123</w:t>
            </w:r>
          </w:p>
        </w:tc>
        <w:tc>
          <w:tcPr/>
          <w:p>
            <w:pPr>
              <w:pStyle w:val="Compact"/>
              <w:jc w:val="center"/>
            </w:pPr>
            <w:r>
              <w:t xml:space="preserve">123</w:t>
            </w:r>
          </w:p>
        </w:tc>
        <w:tc>
          <w:tcPr/>
          <w:p>
            <w:pPr>
              <w:pStyle w:val="Compact"/>
              <w:jc w:val="center"/>
            </w:pPr>
            <w:r>
              <w:t xml:space="preserve">16</w:t>
            </w:r>
          </w:p>
        </w:tc>
        <w:tc>
          <w:tcPr/>
          <w:p>
            <w:pPr>
              <w:pStyle w:val="Compact"/>
              <w:jc w:val="center"/>
            </w:pPr>
            <w:r>
              <w:t xml:space="preserve">0.2</w:t>
            </w:r>
          </w:p>
        </w:tc>
        <w:tc>
          <w:tcPr/>
          <w:p>
            <w:pPr>
              <w:pStyle w:val="Compact"/>
              <w:jc w:val="center"/>
            </w:pPr>
            <w:r>
              <w:t xml:space="preserve">0.381352</w:t>
            </w:r>
          </w:p>
        </w:tc>
        <w:tc>
          <w:tcPr/>
          <w:p>
            <w:pPr>
              <w:pStyle w:val="Compact"/>
              <w:jc w:val="center"/>
            </w:pPr>
            <w:r>
              <w:t xml:space="preserve">1.5629</w:t>
            </w:r>
          </w:p>
        </w:tc>
      </w:tr>
      <w:tr>
        <w:tc>
          <w:tcPr/>
          <w:p>
            <w:pPr>
              <w:pStyle w:val="Compact"/>
              <w:jc w:val="left"/>
            </w:pPr>
            <w:r>
              <w:t xml:space="preserve">R4</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16</w:t>
            </w:r>
          </w:p>
        </w:tc>
        <w:tc>
          <w:tcPr/>
          <w:p>
            <w:pPr>
              <w:pStyle w:val="Compact"/>
              <w:jc w:val="center"/>
            </w:pPr>
            <w:r>
              <w:t xml:space="preserve">0.4</w:t>
            </w:r>
          </w:p>
        </w:tc>
        <w:tc>
          <w:tcPr/>
          <w:p>
            <w:pPr>
              <w:pStyle w:val="Compact"/>
              <w:jc w:val="center"/>
            </w:pPr>
            <w:r>
              <w:t xml:space="preserve">0.333802</w:t>
            </w:r>
          </w:p>
        </w:tc>
        <w:tc>
          <w:tcPr/>
          <w:p>
            <w:pPr>
              <w:pStyle w:val="Compact"/>
              <w:jc w:val="center"/>
            </w:pPr>
            <w:r>
              <w:t xml:space="preserve">1.4808</w:t>
            </w:r>
          </w:p>
        </w:tc>
      </w:tr>
      <w:tr>
        <w:tc>
          <w:tcPr/>
          <w:p>
            <w:pPr>
              <w:pStyle w:val="Compact"/>
              <w:jc w:val="left"/>
            </w:pPr>
            <w:r>
              <w:t xml:space="preserve">R5</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16</w:t>
            </w:r>
          </w:p>
        </w:tc>
        <w:tc>
          <w:tcPr/>
          <w:p>
            <w:pPr>
              <w:pStyle w:val="Compact"/>
              <w:jc w:val="center"/>
            </w:pPr>
            <w:r>
              <w:t xml:space="preserve">0.4</w:t>
            </w:r>
          </w:p>
        </w:tc>
        <w:tc>
          <w:tcPr/>
          <w:p>
            <w:pPr>
              <w:pStyle w:val="Compact"/>
              <w:jc w:val="center"/>
            </w:pPr>
            <w:r>
              <w:t xml:space="preserve">0.406754</w:t>
            </w:r>
          </w:p>
        </w:tc>
        <w:tc>
          <w:tcPr/>
          <w:p>
            <w:pPr>
              <w:pStyle w:val="Compact"/>
              <w:jc w:val="center"/>
            </w:pPr>
            <w:r>
              <w:t xml:space="preserve">1.4715</w:t>
            </w:r>
          </w:p>
        </w:tc>
      </w:tr>
      <w:tr>
        <w:tc>
          <w:tcPr/>
          <w:p>
            <w:pPr>
              <w:pStyle w:val="Compact"/>
              <w:jc w:val="left"/>
            </w:pPr>
            <w:r>
              <w:t xml:space="preserve">R6</w:t>
            </w:r>
          </w:p>
        </w:tc>
        <w:tc>
          <w:tcPr/>
          <w:p>
            <w:pPr>
              <w:pStyle w:val="Compact"/>
              <w:jc w:val="center"/>
            </w:pPr>
            <w:r>
              <w:t xml:space="preserve">123</w:t>
            </w:r>
          </w:p>
        </w:tc>
        <w:tc>
          <w:tcPr/>
          <w:p>
            <w:pPr>
              <w:pStyle w:val="Compact"/>
              <w:jc w:val="center"/>
            </w:pPr>
            <w:r>
              <w:t xml:space="preserve">123</w:t>
            </w:r>
          </w:p>
        </w:tc>
        <w:tc>
          <w:tcPr/>
          <w:p>
            <w:pPr>
              <w:pStyle w:val="Compact"/>
              <w:jc w:val="center"/>
            </w:pPr>
            <w:r>
              <w:t xml:space="preserve">16</w:t>
            </w:r>
          </w:p>
        </w:tc>
        <w:tc>
          <w:tcPr/>
          <w:p>
            <w:pPr>
              <w:pStyle w:val="Compact"/>
              <w:jc w:val="center"/>
            </w:pPr>
            <w:r>
              <w:t xml:space="preserve">0.4</w:t>
            </w:r>
          </w:p>
        </w:tc>
        <w:tc>
          <w:tcPr/>
          <w:p>
            <w:pPr>
              <w:pStyle w:val="Compact"/>
              <w:jc w:val="center"/>
            </w:pPr>
            <w:r>
              <w:t xml:space="preserve">0.385115</w:t>
            </w:r>
          </w:p>
        </w:tc>
        <w:tc>
          <w:tcPr/>
          <w:p>
            <w:pPr>
              <w:pStyle w:val="Compact"/>
              <w:jc w:val="center"/>
            </w:pPr>
            <w:r>
              <w:t xml:space="preserve">1.4729</w:t>
            </w:r>
          </w:p>
        </w:tc>
      </w:tr>
      <w:tr>
        <w:tc>
          <w:tcPr/>
          <w:p>
            <w:pPr>
              <w:pStyle w:val="Compact"/>
              <w:jc w:val="left"/>
            </w:pPr>
            <w:r>
              <w:t xml:space="preserve">R7</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16</w:t>
            </w:r>
          </w:p>
        </w:tc>
        <w:tc>
          <w:tcPr/>
          <w:p>
            <w:pPr>
              <w:pStyle w:val="Compact"/>
              <w:jc w:val="center"/>
            </w:pPr>
            <w:r>
              <w:t xml:space="preserve">0.6</w:t>
            </w:r>
          </w:p>
        </w:tc>
        <w:tc>
          <w:tcPr/>
          <w:p>
            <w:pPr>
              <w:pStyle w:val="Compact"/>
              <w:jc w:val="center"/>
            </w:pPr>
            <w:r>
              <w:t xml:space="preserve">0.332419</w:t>
            </w:r>
          </w:p>
        </w:tc>
        <w:tc>
          <w:tcPr/>
          <w:p>
            <w:pPr>
              <w:pStyle w:val="Compact"/>
              <w:jc w:val="center"/>
            </w:pPr>
            <w:r>
              <w:t xml:space="preserve">1.4828</w:t>
            </w:r>
          </w:p>
        </w:tc>
      </w:tr>
      <w:tr>
        <w:tc>
          <w:tcPr/>
          <w:p>
            <w:pPr>
              <w:pStyle w:val="Compact"/>
              <w:jc w:val="left"/>
            </w:pPr>
            <w:r>
              <w:t xml:space="preserve">R8</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16</w:t>
            </w:r>
          </w:p>
        </w:tc>
        <w:tc>
          <w:tcPr/>
          <w:p>
            <w:pPr>
              <w:pStyle w:val="Compact"/>
              <w:jc w:val="center"/>
            </w:pPr>
            <w:r>
              <w:t xml:space="preserve">0.6</w:t>
            </w:r>
          </w:p>
        </w:tc>
        <w:tc>
          <w:tcPr/>
          <w:p>
            <w:pPr>
              <w:pStyle w:val="Compact"/>
              <w:jc w:val="center"/>
            </w:pPr>
            <w:r>
              <w:t xml:space="preserve">0.406008</w:t>
            </w:r>
          </w:p>
        </w:tc>
        <w:tc>
          <w:tcPr/>
          <w:p>
            <w:pPr>
              <w:pStyle w:val="Compact"/>
              <w:jc w:val="center"/>
            </w:pPr>
            <w:r>
              <w:t xml:space="preserve">1.4529</w:t>
            </w:r>
          </w:p>
        </w:tc>
      </w:tr>
      <w:tr>
        <w:tc>
          <w:tcPr/>
          <w:p>
            <w:pPr>
              <w:pStyle w:val="Compact"/>
              <w:jc w:val="left"/>
            </w:pPr>
            <w:r>
              <w:t xml:space="preserve">R9</w:t>
            </w:r>
          </w:p>
        </w:tc>
        <w:tc>
          <w:tcPr/>
          <w:p>
            <w:pPr>
              <w:pStyle w:val="Compact"/>
              <w:jc w:val="center"/>
            </w:pPr>
            <w:r>
              <w:t xml:space="preserve">123</w:t>
            </w:r>
          </w:p>
        </w:tc>
        <w:tc>
          <w:tcPr/>
          <w:p>
            <w:pPr>
              <w:pStyle w:val="Compact"/>
              <w:jc w:val="center"/>
            </w:pPr>
            <w:r>
              <w:t xml:space="preserve">123</w:t>
            </w:r>
          </w:p>
        </w:tc>
        <w:tc>
          <w:tcPr/>
          <w:p>
            <w:pPr>
              <w:pStyle w:val="Compact"/>
              <w:jc w:val="center"/>
            </w:pPr>
            <w:r>
              <w:t xml:space="preserve">16</w:t>
            </w:r>
          </w:p>
        </w:tc>
        <w:tc>
          <w:tcPr/>
          <w:p>
            <w:pPr>
              <w:pStyle w:val="Compact"/>
              <w:jc w:val="center"/>
            </w:pPr>
            <w:r>
              <w:t xml:space="preserve">0.6</w:t>
            </w:r>
          </w:p>
        </w:tc>
        <w:tc>
          <w:tcPr/>
          <w:p>
            <w:pPr>
              <w:pStyle w:val="Compact"/>
              <w:jc w:val="center"/>
            </w:pPr>
            <w:r>
              <w:t xml:space="preserve">0.388628</w:t>
            </w:r>
          </w:p>
        </w:tc>
        <w:tc>
          <w:tcPr/>
          <w:p>
            <w:pPr>
              <w:pStyle w:val="Compact"/>
              <w:jc w:val="center"/>
            </w:pPr>
            <w:r>
              <w:t xml:space="preserve">1.4569</w:t>
            </w:r>
          </w:p>
        </w:tc>
      </w:tr>
      <w:tr>
        <w:tc>
          <w:tcPr/>
          <w:p>
            <w:pPr>
              <w:pStyle w:val="Compact"/>
              <w:jc w:val="left"/>
            </w:pPr>
            <w:r>
              <w:t xml:space="preserve">R10</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8</w:t>
            </w:r>
          </w:p>
        </w:tc>
        <w:tc>
          <w:tcPr/>
          <w:p>
            <w:pPr>
              <w:pStyle w:val="Compact"/>
              <w:jc w:val="center"/>
            </w:pPr>
            <w:r>
              <w:t xml:space="preserve">0.4</w:t>
            </w:r>
          </w:p>
        </w:tc>
        <w:tc>
          <w:tcPr/>
          <w:p>
            <w:pPr>
              <w:pStyle w:val="Compact"/>
              <w:jc w:val="center"/>
            </w:pPr>
            <w:r>
              <w:t xml:space="preserve">0.323565</w:t>
            </w:r>
          </w:p>
        </w:tc>
        <w:tc>
          <w:tcPr/>
          <w:p>
            <w:pPr>
              <w:pStyle w:val="Compact"/>
              <w:jc w:val="center"/>
            </w:pPr>
            <w:r>
              <w:t xml:space="preserve">2.6357</w:t>
            </w:r>
          </w:p>
        </w:tc>
      </w:tr>
      <w:tr>
        <w:tc>
          <w:tcPr/>
          <w:p>
            <w:pPr>
              <w:pStyle w:val="Compact"/>
              <w:jc w:val="left"/>
            </w:pPr>
            <w:r>
              <w:t xml:space="preserve">R11</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8</w:t>
            </w:r>
          </w:p>
        </w:tc>
        <w:tc>
          <w:tcPr/>
          <w:p>
            <w:pPr>
              <w:pStyle w:val="Compact"/>
              <w:jc w:val="center"/>
            </w:pPr>
            <w:r>
              <w:t xml:space="preserve">0.4</w:t>
            </w:r>
          </w:p>
        </w:tc>
        <w:tc>
          <w:tcPr/>
          <w:p>
            <w:pPr>
              <w:pStyle w:val="Compact"/>
              <w:jc w:val="center"/>
            </w:pPr>
            <w:r>
              <w:t xml:space="preserve">0.419061</w:t>
            </w:r>
          </w:p>
        </w:tc>
        <w:tc>
          <w:tcPr/>
          <w:p>
            <w:pPr>
              <w:pStyle w:val="Compact"/>
              <w:jc w:val="center"/>
            </w:pPr>
            <w:r>
              <w:t xml:space="preserve">2.5894</w:t>
            </w:r>
          </w:p>
        </w:tc>
      </w:tr>
      <w:tr>
        <w:tc>
          <w:tcPr/>
          <w:p>
            <w:pPr>
              <w:pStyle w:val="Compact"/>
              <w:jc w:val="left"/>
            </w:pPr>
            <w:r>
              <w:t xml:space="preserve">R12</w:t>
            </w:r>
          </w:p>
        </w:tc>
        <w:tc>
          <w:tcPr/>
          <w:p>
            <w:pPr>
              <w:pStyle w:val="Compact"/>
              <w:jc w:val="center"/>
            </w:pPr>
            <w:r>
              <w:t xml:space="preserve">123</w:t>
            </w:r>
          </w:p>
        </w:tc>
        <w:tc>
          <w:tcPr/>
          <w:p>
            <w:pPr>
              <w:pStyle w:val="Compact"/>
              <w:jc w:val="center"/>
            </w:pPr>
            <w:r>
              <w:t xml:space="preserve">123</w:t>
            </w:r>
          </w:p>
        </w:tc>
        <w:tc>
          <w:tcPr/>
          <w:p>
            <w:pPr>
              <w:pStyle w:val="Compact"/>
              <w:jc w:val="center"/>
            </w:pPr>
            <w:r>
              <w:t xml:space="preserve">8</w:t>
            </w:r>
          </w:p>
        </w:tc>
        <w:tc>
          <w:tcPr/>
          <w:p>
            <w:pPr>
              <w:pStyle w:val="Compact"/>
              <w:jc w:val="center"/>
            </w:pPr>
            <w:r>
              <w:t xml:space="preserve">0.4</w:t>
            </w:r>
          </w:p>
        </w:tc>
        <w:tc>
          <w:tcPr/>
          <w:p>
            <w:pPr>
              <w:pStyle w:val="Compact"/>
              <w:jc w:val="center"/>
            </w:pPr>
            <w:r>
              <w:t xml:space="preserve">0.437435</w:t>
            </w:r>
          </w:p>
        </w:tc>
        <w:tc>
          <w:tcPr/>
          <w:p>
            <w:pPr>
              <w:pStyle w:val="Compact"/>
              <w:jc w:val="center"/>
            </w:pPr>
            <w:r>
              <w:t xml:space="preserve">2.6237</w:t>
            </w:r>
          </w:p>
        </w:tc>
      </w:tr>
      <w:tr>
        <w:tc>
          <w:tcPr/>
          <w:p>
            <w:pPr>
              <w:pStyle w:val="Compact"/>
              <w:jc w:val="left"/>
            </w:pPr>
            <w:r>
              <w:t xml:space="preserve">R13</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32</w:t>
            </w:r>
          </w:p>
        </w:tc>
        <w:tc>
          <w:tcPr/>
          <w:p>
            <w:pPr>
              <w:pStyle w:val="Compact"/>
              <w:jc w:val="center"/>
            </w:pPr>
            <w:r>
              <w:t xml:space="preserve">0.4</w:t>
            </w:r>
          </w:p>
        </w:tc>
        <w:tc>
          <w:tcPr/>
          <w:p>
            <w:pPr>
              <w:pStyle w:val="Compact"/>
              <w:jc w:val="center"/>
            </w:pPr>
            <w:r>
              <w:t xml:space="preserve">0.357278</w:t>
            </w:r>
          </w:p>
        </w:tc>
        <w:tc>
          <w:tcPr/>
          <w:p>
            <w:pPr>
              <w:pStyle w:val="Compact"/>
              <w:jc w:val="center"/>
            </w:pPr>
            <w:r>
              <w:t xml:space="preserve">0.8681</w:t>
            </w:r>
          </w:p>
        </w:tc>
      </w:tr>
      <w:tr>
        <w:tc>
          <w:tcPr/>
          <w:p>
            <w:pPr>
              <w:pStyle w:val="Compact"/>
              <w:jc w:val="left"/>
            </w:pPr>
            <w:r>
              <w:t xml:space="preserve">R14</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32</w:t>
            </w:r>
          </w:p>
        </w:tc>
        <w:tc>
          <w:tcPr/>
          <w:p>
            <w:pPr>
              <w:pStyle w:val="Compact"/>
              <w:jc w:val="center"/>
            </w:pPr>
            <w:r>
              <w:t xml:space="preserve">0.4</w:t>
            </w:r>
          </w:p>
        </w:tc>
        <w:tc>
          <w:tcPr/>
          <w:p>
            <w:pPr>
              <w:pStyle w:val="Compact"/>
              <w:jc w:val="center"/>
            </w:pPr>
            <w:r>
              <w:t xml:space="preserve">0.390110</w:t>
            </w:r>
          </w:p>
        </w:tc>
        <w:tc>
          <w:tcPr/>
          <w:p>
            <w:pPr>
              <w:pStyle w:val="Compact"/>
              <w:jc w:val="center"/>
            </w:pPr>
            <w:r>
              <w:t xml:space="preserve">0.9026</w:t>
            </w:r>
          </w:p>
        </w:tc>
      </w:tr>
      <w:tr>
        <w:tc>
          <w:tcPr/>
          <w:p>
            <w:pPr>
              <w:pStyle w:val="Compact"/>
              <w:jc w:val="left"/>
            </w:pPr>
            <w:r>
              <w:t xml:space="preserve">R15</w:t>
            </w:r>
          </w:p>
        </w:tc>
        <w:tc>
          <w:tcPr/>
          <w:p>
            <w:pPr>
              <w:pStyle w:val="Compact"/>
              <w:jc w:val="center"/>
            </w:pPr>
            <w:r>
              <w:t xml:space="preserve">123</w:t>
            </w:r>
          </w:p>
        </w:tc>
        <w:tc>
          <w:tcPr/>
          <w:p>
            <w:pPr>
              <w:pStyle w:val="Compact"/>
              <w:jc w:val="center"/>
            </w:pPr>
            <w:r>
              <w:t xml:space="preserve">123</w:t>
            </w:r>
          </w:p>
        </w:tc>
        <w:tc>
          <w:tcPr/>
          <w:p>
            <w:pPr>
              <w:pStyle w:val="Compact"/>
              <w:jc w:val="center"/>
            </w:pPr>
            <w:r>
              <w:t xml:space="preserve">32</w:t>
            </w:r>
          </w:p>
        </w:tc>
        <w:tc>
          <w:tcPr/>
          <w:p>
            <w:pPr>
              <w:pStyle w:val="Compact"/>
              <w:jc w:val="center"/>
            </w:pPr>
            <w:r>
              <w:t xml:space="preserve">0.4</w:t>
            </w:r>
          </w:p>
        </w:tc>
        <w:tc>
          <w:tcPr/>
          <w:p>
            <w:pPr>
              <w:pStyle w:val="Compact"/>
              <w:jc w:val="center"/>
            </w:pPr>
            <w:r>
              <w:t xml:space="preserve">0.347816</w:t>
            </w:r>
          </w:p>
        </w:tc>
        <w:tc>
          <w:tcPr/>
          <w:p>
            <w:pPr>
              <w:pStyle w:val="Compact"/>
              <w:jc w:val="center"/>
            </w:pPr>
            <w:r>
              <w:t xml:space="preserve">0.9114</w:t>
            </w:r>
          </w:p>
        </w:tc>
      </w:tr>
    </w:tbl>
    <w:bookmarkEnd w:id="103"/>
    <w:bookmarkStart w:id="104" w:name="app:seed_ranking"/>
    <w:p>
      <w:pPr>
        <w:pStyle w:val="Heading1"/>
      </w:pPr>
      <w:r>
        <w:t xml:space="preserve">Seed-Level Ranking Consistency</w:t>
      </w:r>
    </w:p>
    <w:p>
      <w:pPr>
        <w:pStyle w:val="FirstParagraph"/>
      </w:pPr>
      <w:r>
        <w:t xml:space="preserve">Let</w:t>
      </w:r>
      <w:r>
        <w:t xml:space="preserve"> </w:t>
      </w:r>
      <m:oMath>
        <m:r>
          <m:rPr>
            <m:sty m:val="p"/>
            <m:scr m:val="script"/>
          </m:rPr>
          <m:t>C</m:t>
        </m:r>
      </m:oMath>
      <w:r>
        <w:t xml:space="preserve"> </w:t>
      </w:r>
      <w:r>
        <w:t xml:space="preserve">be the set of ablation configurations and</w:t>
      </w:r>
      <w:r>
        <w:t xml:space="preserve"> </w:t>
      </w:r>
      <m:oMath>
        <m:r>
          <m:rPr>
            <m:sty m:val="p"/>
            <m:scr m:val="script"/>
          </m:rPr>
          <m:t>S</m:t>
        </m:r>
      </m:oMath>
      <w:r>
        <w:t xml:space="preserve"> </w:t>
      </w:r>
      <w:r>
        <w:t xml:space="preserve">the seed set. For each seed</w:t>
      </w:r>
      <w:r>
        <w:t xml:space="preserve"> </w:t>
      </w:r>
      <m:oMath>
        <m:r>
          <m:t>s</m:t>
        </m:r>
        <m:r>
          <m:rPr>
            <m:sty m:val="p"/>
          </m:rPr>
          <m:t>∈</m:t>
        </m:r>
        <m:r>
          <m:rPr>
            <m:sty m:val="p"/>
            <m:scr m:val="script"/>
          </m:rPr>
          <m:t>S</m:t>
        </m:r>
      </m:oMath>
      <w:r>
        <w:t xml:space="preserve"> </w:t>
      </w:r>
      <w:r>
        <w:t xml:space="preserve">and configuration</w:t>
      </w:r>
      <w:r>
        <w:t xml:space="preserve"> </w:t>
      </w:r>
      <m:oMath>
        <m:r>
          <m:t>c</m:t>
        </m:r>
        <m:r>
          <m:rPr>
            <m:sty m:val="p"/>
          </m:rPr>
          <m:t>∈</m:t>
        </m:r>
        <m:r>
          <m:rPr>
            <m:sty m:val="p"/>
            <m:scr m:val="script"/>
          </m:rPr>
          <m:t>C</m:t>
        </m:r>
      </m:oMath>
      <w:r>
        <w:t xml:space="preserve">, define objective score</w:t>
      </w:r>
      <w:r>
        <w:t xml:space="preserve"> </w:t>
      </w:r>
      <m:oMath>
        <m:sSub>
          <m:e>
            <m:r>
              <m:t>J</m:t>
            </m:r>
          </m:e>
          <m:sub>
            <m:r>
              <m:t>c</m:t>
            </m:r>
            <m:r>
              <m:rPr>
                <m:sty m:val="p"/>
              </m:rPr>
              <m:t>,</m:t>
            </m:r>
            <m:r>
              <m:t>s</m:t>
            </m:r>
          </m:sub>
        </m:sSub>
      </m:oMath>
      <w:r>
        <w:t xml:space="preserve"> </w:t>
      </w:r>
      <w:r>
        <w:t xml:space="preserve">as final masked MSE. The per-seed winner is</w:t>
      </w:r>
    </w:p>
    <w:p>
      <w:pPr>
        <w:pStyle w:val="BodyText"/>
      </w:pPr>
      <m:oMathPara>
        <m:oMathParaPr>
          <m:jc m:val="center"/>
        </m:oMathParaPr>
        <m:oMath>
          <m:sSubSup>
            <m:e>
              <m:r>
                <m:t>c</m:t>
              </m:r>
            </m:e>
            <m:sub>
              <m:r>
                <m:t>s</m:t>
              </m:r>
            </m:sub>
            <m:sup>
              <m:r>
                <m:rPr>
                  <m:sty m:val="p"/>
                </m:rPr>
                <m:t>⋆</m:t>
              </m:r>
            </m:sup>
          </m:sSubSup>
          <m:r>
            <m:rPr>
              <m:sty m:val="p"/>
            </m:rPr>
            <m:t>=</m:t>
          </m:r>
          <m:r>
            <m:rPr>
              <m:sty m:val="p"/>
            </m:rPr>
            <m:t>arg</m:t>
          </m:r>
          <m:limLow>
            <m:e>
              <m:r>
                <m:rPr>
                  <m:sty m:val="p"/>
                </m:rPr>
                <m:t>min</m:t>
              </m:r>
            </m:e>
            <m:lim>
              <m:r>
                <m:t>c</m:t>
              </m:r>
              <m:r>
                <m:rPr>
                  <m:sty m:val="p"/>
                </m:rPr>
                <m:t>∈</m:t>
              </m:r>
              <m:r>
                <m:rPr>
                  <m:sty m:val="p"/>
                  <m:scr m:val="script"/>
                </m:rPr>
                <m:t>C</m:t>
              </m:r>
            </m:lim>
          </m:limLow>
          <m:sSub>
            <m:e>
              <m:r>
                <m:t>J</m:t>
              </m:r>
            </m:e>
            <m:sub>
              <m:r>
                <m:t>c</m:t>
              </m:r>
              <m:r>
                <m:rPr>
                  <m:sty m:val="p"/>
                </m:rPr>
                <m:t>,</m:t>
              </m:r>
              <m:r>
                <m:t>s</m:t>
              </m:r>
            </m:sub>
          </m:sSub>
          <m:r>
            <m:t> </m:t>
          </m:r>
          <m:r>
            <m:rPr>
              <m:sty m:val="p"/>
            </m:rPr>
            <m:t>.</m:t>
          </m:r>
        </m:oMath>
      </m:oMathPara>
    </w:p>
    <w:p>
      <w:pPr>
        <w:pStyle w:val="FirstParagraph"/>
      </w:pPr>
      <w:r>
        <w:t xml:space="preserve">Configuration-level win count is</w:t>
      </w:r>
    </w:p>
    <w:p>
      <w:pPr>
        <w:pStyle w:val="BodyText"/>
      </w:pPr>
      <m:oMathPara>
        <m:oMathParaPr>
          <m:jc m:val="center"/>
        </m:oMathParaPr>
        <m:oMath>
          <m:sSub>
            <m:e>
              <m:r>
                <m:t>w</m:t>
              </m:r>
            </m:e>
            <m:sub>
              <m:r>
                <m:t>c</m:t>
              </m:r>
            </m:sub>
          </m:sSub>
          <m:r>
            <m:rPr>
              <m:sty m:val="p"/>
            </m:rPr>
            <m:t>=</m:t>
          </m:r>
          <m:nary>
            <m:naryPr>
              <m:chr m:val="∑"/>
              <m:limLoc m:val="undOvr"/>
              <m:subHide m:val="off"/>
              <m:supHide m:val="on"/>
            </m:naryPr>
            <m:sub>
              <m:r>
                <m:t>s</m:t>
              </m:r>
              <m:r>
                <m:rPr>
                  <m:sty m:val="p"/>
                </m:rPr>
                <m:t>∈</m:t>
              </m:r>
              <m:r>
                <m:rPr>
                  <m:sty m:val="p"/>
                  <m:scr m:val="script"/>
                </m:rPr>
                <m:t>S</m:t>
              </m:r>
            </m:sub>
            <m:sup>
              <m:r>
                <m:t>​</m:t>
              </m:r>
            </m:sup>
            <m:e>
              <m:r>
                <m:rPr>
                  <m:sty m:val="p"/>
                  <m:scr m:val="double-struck"/>
                </m:rPr>
                <m:t>I</m:t>
              </m:r>
            </m:e>
          </m:nary>
          <m:d>
            <m:dPr>
              <m:begChr m:val="["/>
              <m:endChr m:val="]"/>
              <m:sepChr m:val=""/>
              <m:grow/>
            </m:dPr>
            <m:e>
              <m:sSubSup>
                <m:e>
                  <m:r>
                    <m:t>c</m:t>
                  </m:r>
                </m:e>
                <m:sub>
                  <m:r>
                    <m:t>s</m:t>
                  </m:r>
                </m:sub>
                <m:sup>
                  <m:r>
                    <m:rPr>
                      <m:sty m:val="p"/>
                    </m:rPr>
                    <m:t>⋆</m:t>
                  </m:r>
                </m:sup>
              </m:sSubSup>
              <m:r>
                <m:rPr>
                  <m:sty m:val="p"/>
                </m:rPr>
                <m:t>=</m:t>
              </m:r>
              <m:r>
                <m:t>c</m:t>
              </m:r>
            </m:e>
          </m:d>
          <m:r>
            <m:t> </m:t>
          </m:r>
          <m:r>
            <m:rPr>
              <m:sty m:val="p"/>
            </m:rPr>
            <m:t>.</m:t>
          </m:r>
        </m:oMath>
      </m:oMathPara>
    </w:p>
    <w:p>
      <w:pPr>
        <w:pStyle w:val="FirstParagraph"/>
      </w:pPr>
      <w:r>
        <w:t xml:space="preserve">Table </w:t>
      </w:r>
      <w:hyperlink w:anchor="tab:seed_winners">
        <w:r>
          <w:rPr>
            <w:rStyle w:val="Hyperlink"/>
          </w:rPr>
          <w:t xml:space="preserve">[tab:seed_winners]</w:t>
        </w:r>
      </w:hyperlink>
      <w:r>
        <w:t xml:space="preserve"> </w:t>
      </w:r>
      <w:r>
        <w:t xml:space="preserve">reports the resulting seed-wise winners. While</w:t>
      </w:r>
      <w:r>
        <w:t xml:space="preserve"> </w:t>
      </w:r>
      <m:oMath>
        <m:r>
          <m:t>P</m:t>
        </m:r>
        <m:r>
          <m:rPr>
            <m:sty m:val="p"/>
          </m:rPr>
          <m:t>=</m:t>
        </m:r>
        <m:r>
          <m:t>32</m:t>
        </m:r>
        <m:r>
          <m:rPr>
            <m:sty m:val="p"/>
          </m:rPr>
          <m:t>,</m:t>
        </m:r>
        <m:r>
          <m:t>ρ</m:t>
        </m:r>
        <m:r>
          <m:rPr>
            <m:sty m:val="p"/>
          </m:rPr>
          <m:t>=</m:t>
        </m:r>
        <m:r>
          <m:t>0.4</m:t>
        </m:r>
      </m:oMath>
      <w:r>
        <w:t xml:space="preserve"> </w:t>
      </w:r>
      <w:r>
        <w:t xml:space="preserve">is not universally optimal, it wins in two of three seeds and has the best aggregate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Winning Configuration</w:t>
            </w:r>
          </w:p>
        </w:tc>
        <w:tc>
          <w:tcPr/>
          <w:p>
            <w:pPr>
              <w:pStyle w:val="Compact"/>
              <w:jc w:val="center"/>
            </w:pPr>
            <w:r>
              <w:t xml:space="preserve">Masked MSE</w:t>
            </w:r>
          </w:p>
        </w:tc>
      </w:tr>
      <w:tr>
        <w:tc>
          <w:tcPr/>
          <w:p>
            <w:pPr>
              <w:pStyle w:val="Compact"/>
              <w:jc w:val="center"/>
            </w:pPr>
            <w:r>
              <w:t xml:space="preserve">11</w:t>
            </w:r>
          </w:p>
        </w:tc>
        <w:tc>
          <w:tcPr/>
          <w:p>
            <w:pPr>
              <w:pStyle w:val="Compact"/>
              <w:jc w:val="center"/>
            </w:pPr>
            <m:oMath>
              <m:r>
                <m:t>P</m:t>
              </m:r>
              <m:r>
                <m:rPr>
                  <m:sty m:val="p"/>
                </m:rPr>
                <m:t>=</m:t>
              </m:r>
              <m:r>
                <m:t>8</m:t>
              </m:r>
              <m:r>
                <m:rPr>
                  <m:sty m:val="p"/>
                </m:rPr>
                <m:t>,</m:t>
              </m:r>
              <m:r>
                <m:t>ρ</m:t>
              </m:r>
              <m:r>
                <m:rPr>
                  <m:sty m:val="p"/>
                </m:rPr>
                <m:t>=</m:t>
              </m:r>
              <m:r>
                <m:t>0.4</m:t>
              </m:r>
            </m:oMath>
          </w:p>
        </w:tc>
        <w:tc>
          <w:tcPr/>
          <w:p>
            <w:pPr>
              <w:pStyle w:val="Compact"/>
              <w:jc w:val="center"/>
            </w:pPr>
            <w:r>
              <w:t xml:space="preserve">0.3236</w:t>
            </w:r>
          </w:p>
        </w:tc>
      </w:tr>
      <w:tr>
        <w:tc>
          <w:tcPr/>
          <w:p>
            <w:pPr>
              <w:pStyle w:val="Compact"/>
              <w:jc w:val="center"/>
            </w:pPr>
            <w:r>
              <w:t xml:space="preserve">42</w:t>
            </w:r>
          </w:p>
        </w:tc>
        <w:tc>
          <w:tcPr/>
          <w:p>
            <w:pPr>
              <w:pStyle w:val="Compact"/>
              <w:jc w:val="center"/>
            </w:pPr>
            <m:oMath>
              <m:r>
                <m:t>P</m:t>
              </m:r>
              <m:r>
                <m:rPr>
                  <m:sty m:val="p"/>
                </m:rPr>
                <m:t>=</m:t>
              </m:r>
              <m:r>
                <m:t>32</m:t>
              </m:r>
              <m:r>
                <m:rPr>
                  <m:sty m:val="p"/>
                </m:rPr>
                <m:t>,</m:t>
              </m:r>
              <m:r>
                <m:t>ρ</m:t>
              </m:r>
              <m:r>
                <m:rPr>
                  <m:sty m:val="p"/>
                </m:rPr>
                <m:t>=</m:t>
              </m:r>
              <m:r>
                <m:t>0.4</m:t>
              </m:r>
            </m:oMath>
          </w:p>
        </w:tc>
        <w:tc>
          <w:tcPr/>
          <w:p>
            <w:pPr>
              <w:pStyle w:val="Compact"/>
              <w:jc w:val="center"/>
            </w:pPr>
            <w:r>
              <w:t xml:space="preserve">0.3901</w:t>
            </w:r>
          </w:p>
        </w:tc>
      </w:tr>
      <w:tr>
        <w:tc>
          <w:tcPr/>
          <w:p>
            <w:pPr>
              <w:pStyle w:val="Compact"/>
              <w:jc w:val="center"/>
            </w:pPr>
            <w:r>
              <w:t xml:space="preserve">123</w:t>
            </w:r>
          </w:p>
        </w:tc>
        <w:tc>
          <w:tcPr/>
          <w:p>
            <w:pPr>
              <w:pStyle w:val="Compact"/>
              <w:jc w:val="center"/>
            </w:pPr>
            <m:oMath>
              <m:r>
                <m:t>P</m:t>
              </m:r>
              <m:r>
                <m:rPr>
                  <m:sty m:val="p"/>
                </m:rPr>
                <m:t>=</m:t>
              </m:r>
              <m:r>
                <m:t>32</m:t>
              </m:r>
              <m:r>
                <m:rPr>
                  <m:sty m:val="p"/>
                </m:rPr>
                <m:t>,</m:t>
              </m:r>
              <m:r>
                <m:t>ρ</m:t>
              </m:r>
              <m:r>
                <m:rPr>
                  <m:sty m:val="p"/>
                </m:rPr>
                <m:t>=</m:t>
              </m:r>
              <m:r>
                <m:t>0.4</m:t>
              </m:r>
            </m:oMath>
          </w:p>
        </w:tc>
        <w:tc>
          <w:tcPr/>
          <w:p>
            <w:pPr>
              <w:pStyle w:val="Compact"/>
              <w:jc w:val="center"/>
            </w:pPr>
            <w:r>
              <w:t xml:space="preserve">0.3478</w:t>
            </w:r>
          </w:p>
        </w:tc>
      </w:tr>
    </w:tbl>
    <w:p>
      <w:pPr>
        <w:pStyle w:val="BodyText"/>
      </w:pPr>
      <w:r>
        <w:t xml:space="preserve">This underscores the seed sensitivity of small-budget optimization: a single deterministic run can misrepresent a configuration’s true reliability.</w:t>
      </w:r>
    </w:p>
    <w:p>
      <w:pPr>
        <w:pStyle w:val="BodyText"/>
      </w:pPr>
      <w:r>
        <w:t xml:space="preserve">99</w:t>
      </w:r>
    </w:p>
    <w:p>
      <w:pPr>
        <w:pStyle w:val="BodyText"/>
      </w:pPr>
      <w:r>
        <w:t xml:space="preserve">A. Das, W. Kong, R. Sen, and Y. Zhou,</w:t>
      </w:r>
      <w:r>
        <w:t xml:space="preserve"> </w:t>
      </w:r>
      <w:r>
        <w:t xml:space="preserve">“A decoder-only foundation model for time-series forecasting,”</w:t>
      </w:r>
      <w:r>
        <w:t xml:space="preserve"> </w:t>
      </w:r>
      <w:r>
        <w:t xml:space="preserve">arXiv:2310.10688, 2024.</w:t>
      </w:r>
    </w:p>
    <w:p>
      <w:pPr>
        <w:pStyle w:val="BodyText"/>
      </w:pPr>
      <w:r>
        <w:t xml:space="preserve">Y. Nie, N. H. Nguyen, P. Sinthong, and J. Kalagnanam,</w:t>
      </w:r>
      <w:r>
        <w:t xml:space="preserve"> </w:t>
      </w:r>
      <w:r>
        <w:t xml:space="preserve">“A time series is worth 64 words: Long-term forecasting with transformers,”</w:t>
      </w:r>
      <w:r>
        <w:t xml:space="preserve"> </w:t>
      </w:r>
      <w:r>
        <w:t xml:space="preserve">in</w:t>
      </w:r>
      <w:r>
        <w:t xml:space="preserve"> </w:t>
      </w:r>
      <w:r>
        <w:rPr>
          <w:i/>
          <w:iCs/>
        </w:rPr>
        <w:t xml:space="preserve">Proc. ICLR</w:t>
      </w:r>
      <w:r>
        <w:t xml:space="preserve">, 2023.</w:t>
      </w:r>
    </w:p>
    <w:p>
      <w:pPr>
        <w:pStyle w:val="BodyText"/>
      </w:pPr>
      <w:r>
        <w:t xml:space="preserve">T. Kim, J. Baek, H. Song, Y. Choi,</w:t>
      </w:r>
      <w:r>
        <w:t xml:space="preserve"> </w:t>
      </w:r>
      <w:r>
        <w:rPr>
          <w:i/>
          <w:iCs/>
        </w:rPr>
        <w:t xml:space="preserve">et al.</w:t>
      </w:r>
      <w:r>
        <w:t xml:space="preserve">,</w:t>
      </w:r>
      <w:r>
        <w:t xml:space="preserve"> </w:t>
      </w:r>
      <w:r>
        <w:t xml:space="preserve">“Reversible instance normalization for accurate time-series forecasting against distribution shift,”</w:t>
      </w:r>
      <w:r>
        <w:t xml:space="preserve"> </w:t>
      </w:r>
      <w:r>
        <w:t xml:space="preserve">in</w:t>
      </w:r>
      <w:r>
        <w:t xml:space="preserve"> </w:t>
      </w:r>
      <w:r>
        <w:rPr>
          <w:i/>
          <w:iCs/>
        </w:rPr>
        <w:t xml:space="preserve">Proc. ICLR</w:t>
      </w:r>
      <w:r>
        <w:t xml:space="preserve">, 2022.</w:t>
      </w:r>
    </w:p>
    <w:p>
      <w:pPr>
        <w:pStyle w:val="BodyText"/>
      </w:pPr>
      <w:r>
        <w:t xml:space="preserve">H. Zhou, S. Zhang, J. Peng, S. Zhang, J. Li, H. Xiong, and W. Zhang,</w:t>
      </w:r>
      <w:r>
        <w:t xml:space="preserve"> </w:t>
      </w:r>
      <w:r>
        <w:t xml:space="preserve">“Informer: Beyond efficient transformer for long sequence time-series forecasting,”</w:t>
      </w:r>
      <w:r>
        <w:t xml:space="preserve"> </w:t>
      </w:r>
      <w:r>
        <w:t xml:space="preserve">in</w:t>
      </w:r>
      <w:r>
        <w:t xml:space="preserve"> </w:t>
      </w:r>
      <w:r>
        <w:rPr>
          <w:i/>
          <w:iCs/>
        </w:rPr>
        <w:t xml:space="preserve">Proc. AAAI</w:t>
      </w:r>
      <w:r>
        <w:t xml:space="preserve">, 2021.</w:t>
      </w:r>
    </w:p>
    <w:p>
      <w:pPr>
        <w:pStyle w:val="BodyText"/>
      </w:pPr>
      <w:r>
        <w:t xml:space="preserve">H. Wu, J. Xu, J. Wang, and M. Long,</w:t>
      </w:r>
      <w:r>
        <w:t xml:space="preserve"> </w:t>
      </w:r>
      <w:r>
        <w:t xml:space="preserve">“Autoformer: Decomposition transformers with auto-correlation for long-term series forecasting,”</w:t>
      </w:r>
      <w:r>
        <w:t xml:space="preserve"> </w:t>
      </w:r>
      <w:r>
        <w:t xml:space="preserve">in</w:t>
      </w:r>
      <w:r>
        <w:t xml:space="preserve"> </w:t>
      </w:r>
      <w:r>
        <w:rPr>
          <w:i/>
          <w:iCs/>
        </w:rPr>
        <w:t xml:space="preserve">Proc. NeurIPS</w:t>
      </w:r>
      <w:r>
        <w:t xml:space="preserve">, 2021.</w:t>
      </w:r>
    </w:p>
    <w:p>
      <w:pPr>
        <w:pStyle w:val="BodyText"/>
      </w:pPr>
      <w:r>
        <w:t xml:space="preserve">T. Zhou, Z. Ma, Q. Wen, X. Wang, L. Sun, and R. Jin,</w:t>
      </w:r>
      <w:r>
        <w:t xml:space="preserve"> </w:t>
      </w:r>
      <w:r>
        <w:t xml:space="preserve">“FEDformer: Frequency enhanced decomposed transformer for long-term series forecasting,”</w:t>
      </w:r>
      <w:r>
        <w:t xml:space="preserve"> </w:t>
      </w:r>
      <w:r>
        <w:t xml:space="preserve">in</w:t>
      </w:r>
      <w:r>
        <w:t xml:space="preserve"> </w:t>
      </w:r>
      <w:r>
        <w:rPr>
          <w:i/>
          <w:iCs/>
        </w:rPr>
        <w:t xml:space="preserve">Proc. ICML</w:t>
      </w:r>
      <w:r>
        <w:t xml:space="preserve">, 2022.</w:t>
      </w:r>
    </w:p>
    <w:p>
      <w:pPr>
        <w:pStyle w:val="BodyText"/>
      </w:pPr>
      <w:r>
        <w:t xml:space="preserve">A. Zeng, M. Chen, L. Zhang, and Q. Xu,</w:t>
      </w:r>
      <w:r>
        <w:t xml:space="preserve"> </w:t>
      </w:r>
      <w:r>
        <w:t xml:space="preserve">“Are transformers effective for time series forecasting?”</w:t>
      </w:r>
      <w:r>
        <w:t xml:space="preserve"> </w:t>
      </w:r>
      <w:r>
        <w:t xml:space="preserve">in</w:t>
      </w:r>
      <w:r>
        <w:t xml:space="preserve"> </w:t>
      </w:r>
      <w:r>
        <w:rPr>
          <w:i/>
          <w:iCs/>
        </w:rPr>
        <w:t xml:space="preserve">Proc. AAAI</w:t>
      </w:r>
      <w:r>
        <w:t xml:space="preserve">, 2023.</w:t>
      </w:r>
    </w:p>
    <w:p>
      <w:pPr>
        <w:pStyle w:val="BodyText"/>
      </w:pPr>
      <w:r>
        <w:t xml:space="preserve">Y. Liu, T. Hu, H. Zhang, H. Wu, S. Wang, and M. Long,</w:t>
      </w:r>
      <w:r>
        <w:t xml:space="preserve"> </w:t>
      </w:r>
      <w:r>
        <w:t xml:space="preserve">“iTransformer: Inverted transformers are effective for time series forecasting,”</w:t>
      </w:r>
      <w:r>
        <w:t xml:space="preserve"> </w:t>
      </w:r>
      <w:r>
        <w:t xml:space="preserve">in</w:t>
      </w:r>
      <w:r>
        <w:t xml:space="preserve"> </w:t>
      </w:r>
      <w:r>
        <w:rPr>
          <w:i/>
          <w:iCs/>
        </w:rPr>
        <w:t xml:space="preserve">Proc. ICLR</w:t>
      </w:r>
      <w:r>
        <w:t xml:space="preserve">, 2024.</w:t>
      </w:r>
    </w:p>
    <w:p>
      <w:pPr>
        <w:pStyle w:val="BodyText"/>
      </w:pPr>
      <w:r>
        <w:t xml:space="preserve">D. Salinas, V. Flunkert, J. Gasthaus, and T. Januschowski,</w:t>
      </w:r>
      <w:r>
        <w:t xml:space="preserve"> </w:t>
      </w:r>
      <w:r>
        <w:t xml:space="preserve">“DeepAR: Probabilistic forecasting with autoregressive recurrent networks,”</w:t>
      </w:r>
      <w:r>
        <w:t xml:space="preserve"> </w:t>
      </w:r>
      <w:r>
        <w:rPr>
          <w:i/>
          <w:iCs/>
        </w:rPr>
        <w:t xml:space="preserve">Int. J. Forecasting</w:t>
      </w:r>
      <w:r>
        <w:t xml:space="preserve">, vol. 36, no. 3, pp. 1181–1191, 2020.</w:t>
      </w:r>
    </w:p>
    <w:p>
      <w:pPr>
        <w:pStyle w:val="BodyText"/>
      </w:pPr>
      <w:r>
        <w:t xml:space="preserve">B. N. Oreshkin, D. Carpov, N. Chapados, and Y. Bengio,</w:t>
      </w:r>
      <w:r>
        <w:t xml:space="preserve"> </w:t>
      </w:r>
      <w:r>
        <w:t xml:space="preserve">“N-BEATS: Neural basis expansion analysis for interpretable time series forecasting,”</w:t>
      </w:r>
      <w:r>
        <w:t xml:space="preserve"> </w:t>
      </w:r>
      <w:r>
        <w:t xml:space="preserve">in</w:t>
      </w:r>
      <w:r>
        <w:t xml:space="preserve"> </w:t>
      </w:r>
      <w:r>
        <w:rPr>
          <w:i/>
          <w:iCs/>
        </w:rPr>
        <w:t xml:space="preserve">Proc. ICLR</w:t>
      </w:r>
      <w:r>
        <w:t xml:space="preserve">, 2020.</w:t>
      </w:r>
    </w:p>
    <w:p>
      <w:pPr>
        <w:pStyle w:val="BodyText"/>
      </w:pPr>
      <w:r>
        <w:t xml:space="preserve">B. Lim, S. Arik, N. Loeff, and T. Pfister,</w:t>
      </w:r>
      <w:r>
        <w:t xml:space="preserve"> </w:t>
      </w:r>
      <w:r>
        <w:t xml:space="preserve">“Temporal fusion transformers for interpretable multi-horizon time series forecasting,”</w:t>
      </w:r>
      <w:r>
        <w:t xml:space="preserve"> </w:t>
      </w:r>
      <w:r>
        <w:rPr>
          <w:i/>
          <w:iCs/>
        </w:rPr>
        <w:t xml:space="preserve">Int. J. Forecasting</w:t>
      </w:r>
      <w:r>
        <w:t xml:space="preserve">, vol. 37, no. 4, pp. 1748–1764, 2021.</w:t>
      </w:r>
    </w:p>
    <w:p>
      <w:pPr>
        <w:pStyle w:val="BodyText"/>
      </w:pPr>
      <w:r>
        <w:t xml:space="preserve">R. Godahewa, C. Bergmeir, G. Webb, R. Hyndman,</w:t>
      </w:r>
      <w:r>
        <w:t xml:space="preserve"> </w:t>
      </w:r>
      <w:r>
        <w:rPr>
          <w:i/>
          <w:iCs/>
        </w:rPr>
        <w:t xml:space="preserve">et al.</w:t>
      </w:r>
      <w:r>
        <w:t xml:space="preserve">,</w:t>
      </w:r>
      <w:r>
        <w:t xml:space="preserve"> </w:t>
      </w:r>
      <w:r>
        <w:t xml:space="preserve">“Monash time series forecasting archive,”</w:t>
      </w:r>
      <w:r>
        <w:t xml:space="preserve"> </w:t>
      </w:r>
      <w:r>
        <w:t xml:space="preserve">in</w:t>
      </w:r>
      <w:r>
        <w:t xml:space="preserve"> </w:t>
      </w:r>
      <w:r>
        <w:rPr>
          <w:i/>
          <w:iCs/>
        </w:rPr>
        <w:t xml:space="preserve">Proc. NeurIPS Datasets and Benchmarks</w:t>
      </w:r>
      <w:r>
        <w:t xml:space="preserve">, 2021.</w:t>
      </w:r>
    </w:p>
    <w:p>
      <w:pPr>
        <w:pStyle w:val="BodyText"/>
      </w:pPr>
      <w:r>
        <w:t xml:space="preserve">S. Makridakis, E. Spiliotis, and V. Assimakopoulos,</w:t>
      </w:r>
      <w:r>
        <w:t xml:space="preserve"> </w:t>
      </w:r>
      <w:r>
        <w:t xml:space="preserve">“The M4 competition: Results, findings, conclusion and way forward,”</w:t>
      </w:r>
      <w:r>
        <w:t xml:space="preserve"> </w:t>
      </w:r>
      <w:r>
        <w:rPr>
          <w:i/>
          <w:iCs/>
        </w:rPr>
        <w:t xml:space="preserve">Int. J. Forecasting</w:t>
      </w:r>
      <w:r>
        <w:t xml:space="preserve">, vol. 34, no. 4, pp. 802–808, 2018.</w:t>
      </w:r>
    </w:p>
    <w:p>
      <w:pPr>
        <w:pStyle w:val="BodyText"/>
      </w:pPr>
      <w:r>
        <w:t xml:space="preserve">S. Makridakis, E. Spiliotis, and V. Assimakopoulos,</w:t>
      </w:r>
      <w:r>
        <w:t xml:space="preserve"> </w:t>
      </w:r>
      <w:r>
        <w:t xml:space="preserve">“The M5 accuracy competition: Results, findings and conclusions,”</w:t>
      </w:r>
      <w:r>
        <w:t xml:space="preserve"> </w:t>
      </w:r>
      <w:r>
        <w:rPr>
          <w:i/>
          <w:iCs/>
        </w:rPr>
        <w:t xml:space="preserve">Int. J. Forecasting</w:t>
      </w:r>
      <w:r>
        <w:t xml:space="preserve">, vol. 38, no. 4, pp. 1346–1364, 2022.</w:t>
      </w:r>
    </w:p>
    <w:p>
      <w:pPr>
        <w:pStyle w:val="BodyText"/>
      </w:pPr>
      <w:r>
        <w:t xml:space="preserve">A. Vaswani</w:t>
      </w:r>
      <w:r>
        <w:t xml:space="preserve"> </w:t>
      </w:r>
      <w:r>
        <w:rPr>
          <w:i/>
          <w:iCs/>
        </w:rPr>
        <w:t xml:space="preserve">et al.</w:t>
      </w:r>
      <w:r>
        <w:t xml:space="preserve">,</w:t>
      </w:r>
      <w:r>
        <w:t xml:space="preserve"> </w:t>
      </w:r>
      <w:r>
        <w:t xml:space="preserve">“Attention is all you need,”</w:t>
      </w:r>
      <w:r>
        <w:t xml:space="preserve"> </w:t>
      </w:r>
      <w:r>
        <w:t xml:space="preserve">in</w:t>
      </w:r>
      <w:r>
        <w:t xml:space="preserve"> </w:t>
      </w:r>
      <w:r>
        <w:rPr>
          <w:i/>
          <w:iCs/>
        </w:rPr>
        <w:t xml:space="preserve">Proc. NeurIPS</w:t>
      </w:r>
      <w:r>
        <w:t xml:space="preserve">, 2017.</w:t>
      </w:r>
    </w:p>
    <w:p>
      <w:pPr>
        <w:pStyle w:val="BodyText"/>
      </w:pPr>
      <w:r>
        <w:t xml:space="preserve">J. Devlin, M.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 NAACL</w:t>
      </w:r>
      <w:r>
        <w:t xml:space="preserve">, 2019.</w:t>
      </w:r>
    </w:p>
    <w:p>
      <w:pPr>
        <w:pStyle w:val="BodyText"/>
      </w:pPr>
      <w:r>
        <w:t xml:space="preserve">T. Brown</w:t>
      </w:r>
      <w:r>
        <w:t xml:space="preserve"> </w:t>
      </w:r>
      <w:r>
        <w:rPr>
          <w:i/>
          <w:iCs/>
        </w:rPr>
        <w:t xml:space="preserve">et al.</w:t>
      </w:r>
      <w:r>
        <w:t xml:space="preserve">,</w:t>
      </w:r>
      <w:r>
        <w:t xml:space="preserve"> </w:t>
      </w:r>
      <w:r>
        <w:t xml:space="preserve">“Language models are few-shot learners,”</w:t>
      </w:r>
      <w:r>
        <w:t xml:space="preserve"> </w:t>
      </w:r>
      <w:r>
        <w:t xml:space="preserve">in</w:t>
      </w:r>
      <w:r>
        <w:t xml:space="preserve"> </w:t>
      </w:r>
      <w:r>
        <w:rPr>
          <w:i/>
          <w:iCs/>
        </w:rPr>
        <w:t xml:space="preserve">Proc. NeurIPS</w:t>
      </w:r>
      <w:r>
        <w:t xml:space="preserve">, 2020.</w:t>
      </w:r>
    </w:p>
    <w:p>
      <w:pPr>
        <w:pStyle w:val="BodyText"/>
      </w:pPr>
      <w:r>
        <w:t xml:space="preserve">A. Dosovitskiy</w:t>
      </w:r>
      <w:r>
        <w:t xml:space="preserve"> </w:t>
      </w:r>
      <w:r>
        <w:rPr>
          <w:i/>
          <w:iCs/>
        </w:rPr>
        <w:t xml:space="preserve">et al.</w:t>
      </w:r>
      <w:r>
        <w:t xml:space="preserve">,</w:t>
      </w:r>
      <w:r>
        <w:t xml:space="preserve"> </w:t>
      </w:r>
      <w:r>
        <w:t xml:space="preserve">“An image is worth 16x16 words: Transformers for image recognition at scale,”</w:t>
      </w:r>
      <w:r>
        <w:t xml:space="preserve"> </w:t>
      </w:r>
      <w:r>
        <w:t xml:space="preserve">in</w:t>
      </w:r>
      <w:r>
        <w:t xml:space="preserve"> </w:t>
      </w:r>
      <w:r>
        <w:rPr>
          <w:i/>
          <w:iCs/>
        </w:rPr>
        <w:t xml:space="preserve">Proc. ICLR</w:t>
      </w:r>
      <w:r>
        <w:t xml:space="preserve">, 2021.</w:t>
      </w:r>
    </w:p>
    <w:p>
      <w:pPr>
        <w:pStyle w:val="BodyText"/>
      </w:pPr>
      <w:r>
        <w:t xml:space="preserve">K. He, X. Chen, S. Xie, Y. Li, P. Dollár, and R. Girshick,</w:t>
      </w:r>
      <w:r>
        <w:t xml:space="preserve"> </w:t>
      </w:r>
      <w:r>
        <w:t xml:space="preserve">“Masked autoencoders are scalable vision learners,”</w:t>
      </w:r>
      <w:r>
        <w:t xml:space="preserve"> </w:t>
      </w:r>
      <w:r>
        <w:t xml:space="preserve">in</w:t>
      </w:r>
      <w:r>
        <w:t xml:space="preserve"> </w:t>
      </w:r>
      <w:r>
        <w:rPr>
          <w:i/>
          <w:iCs/>
        </w:rPr>
        <w:t xml:space="preserve">Proc. CVPR</w:t>
      </w:r>
      <w:r>
        <w:t xml:space="preserve">, 2022.</w:t>
      </w:r>
    </w:p>
    <w:p>
      <w:pPr>
        <w:pStyle w:val="BodyText"/>
      </w:pPr>
      <w:r>
        <w:t xml:space="preserve">N. Gruver, M. Finzi, S. Qiu, and A. Wilson,</w:t>
      </w:r>
      <w:r>
        <w:t xml:space="preserve"> </w:t>
      </w:r>
      <w:r>
        <w:t xml:space="preserve">“Large language models are zero-shot time series forecasters,”</w:t>
      </w:r>
      <w:r>
        <w:t xml:space="preserve"> </w:t>
      </w:r>
      <w:r>
        <w:t xml:space="preserve">in</w:t>
      </w:r>
      <w:r>
        <w:t xml:space="preserve"> </w:t>
      </w:r>
      <w:r>
        <w:rPr>
          <w:i/>
          <w:iCs/>
        </w:rPr>
        <w:t xml:space="preserve">Proc. NeurIPS</w:t>
      </w:r>
      <w:r>
        <w:t xml:space="preserve">, 2023.</w:t>
      </w:r>
    </w:p>
    <w:p>
      <w:pPr>
        <w:pStyle w:val="BodyText"/>
      </w:pPr>
      <w:r>
        <w:t xml:space="preserve">G. Box, G. Jenkins, G. Reinsel, and G. Ljung,</w:t>
      </w:r>
      <w:r>
        <w:t xml:space="preserve"> </w:t>
      </w:r>
      <w:r>
        <w:rPr>
          <w:i/>
          <w:iCs/>
        </w:rPr>
        <w:t xml:space="preserve">Time Series Analysis: Forecasting and Control</w:t>
      </w:r>
      <w:r>
        <w:t xml:space="preserve">, 5th ed.</w:t>
      </w:r>
      <w:r>
        <w:t xml:space="preserve"> </w:t>
      </w:r>
      <w:r>
        <w:t xml:space="preserve">Hoboken, NJ, USA: Wiley, 2015.</w:t>
      </w:r>
    </w:p>
    <w:p>
      <w:pPr>
        <w:pStyle w:val="BodyText"/>
      </w:pPr>
      <w:r>
        <w:t xml:space="preserve">S. Taylor and B. Letham,</w:t>
      </w:r>
      <w:r>
        <w:t xml:space="preserve"> </w:t>
      </w:r>
      <w:r>
        <w:t xml:space="preserve">“Forecasting at scale,”</w:t>
      </w:r>
      <w:r>
        <w:t xml:space="preserve"> </w:t>
      </w:r>
      <w:r>
        <w:rPr>
          <w:i/>
          <w:iCs/>
        </w:rPr>
        <w:t xml:space="preserve">The American Statistician</w:t>
      </w:r>
      <w:r>
        <w:t xml:space="preserve">, vol. 72, no. 1, pp. 37–45, 2018.</w:t>
      </w:r>
    </w:p>
    <w:p>
      <w:pPr>
        <w:pStyle w:val="BodyText"/>
      </w:pPr>
      <w:r>
        <w:t xml:space="preserve">S. Bai, J. Kolter, and V. Koltun,</w:t>
      </w:r>
      <w:r>
        <w:t xml:space="preserve"> </w:t>
      </w:r>
      <w:r>
        <w:t xml:space="preserve">“An empirical evaluation of generic convolutional and recurrent networks for sequence modeling,”</w:t>
      </w:r>
      <w:r>
        <w:t xml:space="preserve"> </w:t>
      </w:r>
      <w:r>
        <w:t xml:space="preserve">arXiv:1803.01271, 2018.</w:t>
      </w:r>
    </w:p>
    <w:p>
      <w:pPr>
        <w:pStyle w:val="BodyText"/>
      </w:pPr>
      <w:r>
        <w:t xml:space="preserve">Q. Wen, T. Zhou, C. Zhang, and L. Sun,</w:t>
      </w:r>
      <w:r>
        <w:t xml:space="preserve"> </w:t>
      </w:r>
      <w:r>
        <w:t xml:space="preserve">“Time-series foundation models: A survey,”</w:t>
      </w:r>
      <w:r>
        <w:t xml:space="preserve"> </w:t>
      </w:r>
      <w:r>
        <w:t xml:space="preserve">arXiv:2310.10716, 2023.</w:t>
      </w:r>
    </w:p>
    <w:p>
      <w:pPr>
        <w:pStyle w:val="BodyText"/>
      </w:pPr>
      <w:r>
        <w:t xml:space="preserve">C. Bergmeir, R. Hyndman, and B. Koo,</w:t>
      </w:r>
      <w:r>
        <w:t xml:space="preserve"> </w:t>
      </w:r>
      <w:r>
        <w:t xml:space="preserve">“A note on the validity of cross-validation for evaluating autoregressive time series prediction,”</w:t>
      </w:r>
      <w:r>
        <w:t xml:space="preserve"> </w:t>
      </w:r>
      <w:r>
        <w:rPr>
          <w:i/>
          <w:iCs/>
        </w:rPr>
        <w:t xml:space="preserve">Computational Statistics &amp; Data Analysis</w:t>
      </w:r>
      <w:r>
        <w:t xml:space="preserve">, vol. 120, pp. 70–83, 2018.</w:t>
      </w:r>
    </w:p>
    <w:p>
      <w:pPr>
        <w:pStyle w:val="BodyText"/>
      </w:pPr>
      <w:r>
        <w:t xml:space="preserve">F. Petropoulos, N. Kourentzes, and G. Svetunkov,</w:t>
      </w:r>
      <w:r>
        <w:t xml:space="preserve"> </w:t>
      </w:r>
      <w:r>
        <w:t xml:space="preserve">“Forecasting: Theory and practice in modern settings,”</w:t>
      </w:r>
      <w:r>
        <w:t xml:space="preserve"> </w:t>
      </w:r>
      <w:r>
        <w:rPr>
          <w:i/>
          <w:iCs/>
        </w:rPr>
        <w:t xml:space="preserve">European Journal of Operational Research</w:t>
      </w:r>
      <w:r>
        <w:t xml:space="preserve">, vol. 299, no. 1, pp. 1–14, 2022.</w:t>
      </w:r>
    </w:p>
    <w:p>
      <w:pPr>
        <w:pStyle w:val="BodyText"/>
      </w:pPr>
      <w:r>
        <w:t xml:space="preserve">A. Ansari, L. Stella, A. Turkmen,</w:t>
      </w:r>
      <w:r>
        <w:t xml:space="preserve"> </w:t>
      </w:r>
      <w:r>
        <w:rPr>
          <w:i/>
          <w:iCs/>
        </w:rPr>
        <w:t xml:space="preserve">et al.</w:t>
      </w:r>
      <w:r>
        <w:t xml:space="preserve">,</w:t>
      </w:r>
      <w:r>
        <w:t xml:space="preserve"> </w:t>
      </w:r>
      <w:r>
        <w:t xml:space="preserve">“Chronos: Learning the language of time series,”</w:t>
      </w:r>
      <w:r>
        <w:t xml:space="preserve"> </w:t>
      </w:r>
      <w:r>
        <w:t xml:space="preserve">arXiv preprint arXiv:2403.07815, 2024.</w:t>
      </w:r>
    </w:p>
    <w:p>
      <w:pPr>
        <w:pStyle w:val="BodyText"/>
      </w:pPr>
      <w:r>
        <w:t xml:space="preserve">G. Woo, C. Liu, A. Kumar,</w:t>
      </w:r>
      <w:r>
        <w:t xml:space="preserve"> </w:t>
      </w:r>
      <w:r>
        <w:rPr>
          <w:i/>
          <w:iCs/>
        </w:rPr>
        <w:t xml:space="preserve">et al.</w:t>
      </w:r>
      <w:r>
        <w:t xml:space="preserve">,</w:t>
      </w:r>
      <w:r>
        <w:t xml:space="preserve"> </w:t>
      </w:r>
      <w:r>
        <w:t xml:space="preserve">“Unified training of universal time series forecasting transformers,”</w:t>
      </w:r>
      <w:r>
        <w:t xml:space="preserve"> </w:t>
      </w:r>
      <w:r>
        <w:t xml:space="preserve">arXiv preprint arXiv:2402.02592, 2024.</w:t>
      </w:r>
    </w:p>
    <w:p>
      <w:pPr>
        <w:pStyle w:val="BodyText"/>
      </w:pPr>
      <w:r>
        <w:t xml:space="preserve">K. Rasul, A. Ashok, A. Williams,</w:t>
      </w:r>
      <w:r>
        <w:t xml:space="preserve"> </w:t>
      </w:r>
      <w:r>
        <w:rPr>
          <w:i/>
          <w:iCs/>
        </w:rPr>
        <w:t xml:space="preserve">et al.</w:t>
      </w:r>
      <w:r>
        <w:t xml:space="preserve">,</w:t>
      </w:r>
      <w:r>
        <w:t xml:space="preserve"> </w:t>
      </w:r>
      <w:r>
        <w:t xml:space="preserve">“Lag-Llama: Towards foundation models for probabilistic time series forecasting,”</w:t>
      </w:r>
      <w:r>
        <w:t xml:space="preserve"> </w:t>
      </w:r>
      <w:r>
        <w:t xml:space="preserve">arXiv preprint arXiv:2310.08278, 2024.</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Feature-Bootstrapped Masked TSFM: Theory, Complexity, and Controlled Ablations for Reproducible Time-Series Pretraining</dc:title>
  <dc:creator/>
  <cp:keywords/>
  <dcterms:created xsi:type="dcterms:W3CDTF">2026-07-01T15:20:40Z</dcterms:created>
  <dcterms:modified xsi:type="dcterms:W3CDTF">2026-07-01T15:20:40Z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a reproducible time-series pretraining pipeline under masked latent reconstruction. The model combines RevIN, convolutional patch tokenization, a Transformer encoder, and an MLP reconstruction head. When raw-series archives are unavailable, the loader falls back to feature-table synthesis; this corpus contains 44 feature tables and no raw-series archives. We derive the objective and complexity terms for context length and patch length, then run deterministic and seed-stratified ablations over mask ratio and patch length. Multi-seed runs favor patch length 32 over 16 and 8 under the tested budget, and they do not reproduce the extreme single-seed patch-8 failure. Late checkpoint sweeps over epochs 60–62 (steps 2.04M–2.11M) find the best masked MSE, 0.3304, at step 2.04M, with a 2.04% drift by the final checkpoint. Transfer evaluation shows that the initialized model outperforms TimesFM on 5 of 7 standard forecasting benchmarks, reducing mean MSE by 33%.</vt:lpwstr>
  </property>
</Properties>
</file>