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E4B8B" w14:textId="49EA4F9B" w:rsidR="00107BF6" w:rsidRDefault="00000000" w:rsidP="00D939D0">
      <w:pPr>
        <w:pStyle w:val="BodyText"/>
        <w:jc w:val="center"/>
        <w:rPr>
          <w:sz w:val="32"/>
          <w:szCs w:val="32"/>
        </w:rPr>
      </w:pPr>
      <w:r w:rsidRPr="00053D65">
        <w:rPr>
          <w:noProof/>
          <w:sz w:val="32"/>
          <w:szCs w:val="32"/>
        </w:rPr>
        <w:drawing>
          <wp:anchor distT="0" distB="0" distL="114300" distR="114300" simplePos="0" relativeHeight="251659776" behindDoc="0" locked="0" layoutInCell="1" allowOverlap="1" wp14:anchorId="70F59B7B" wp14:editId="4A8E7826">
            <wp:simplePos x="0" y="0"/>
            <wp:positionH relativeFrom="column">
              <wp:posOffset>-198120</wp:posOffset>
            </wp:positionH>
            <wp:positionV relativeFrom="paragraph">
              <wp:posOffset>236220</wp:posOffset>
            </wp:positionV>
            <wp:extent cx="1249680" cy="1623060"/>
            <wp:effectExtent l="0" t="0" r="0" b="0"/>
            <wp:wrapSquare wrapText="bothSides"/>
            <wp:docPr id="21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college_logo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9680" cy="16230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939D0" w:rsidRPr="00053D65">
        <w:rPr>
          <w:b/>
          <w:bCs/>
          <w:sz w:val="32"/>
          <w:szCs w:val="32"/>
        </w:rPr>
        <w:t>Coimbatore Institute of Technology</w:t>
      </w:r>
      <w:r w:rsidR="00D939D0" w:rsidRPr="00053D65">
        <w:rPr>
          <w:sz w:val="32"/>
          <w:szCs w:val="32"/>
        </w:rPr>
        <w:br/>
      </w:r>
      <w:r w:rsidR="00D939D0" w:rsidRPr="00053D65">
        <w:rPr>
          <w:b/>
          <w:bCs/>
          <w:sz w:val="32"/>
          <w:szCs w:val="32"/>
        </w:rPr>
        <w:t>Department of Computing</w:t>
      </w:r>
      <w:r w:rsidR="00D939D0" w:rsidRPr="00053D65">
        <w:rPr>
          <w:sz w:val="32"/>
          <w:szCs w:val="32"/>
        </w:rPr>
        <w:br/>
      </w:r>
      <w:r w:rsidR="00D939D0" w:rsidRPr="00053D65">
        <w:rPr>
          <w:b/>
          <w:bCs/>
          <w:sz w:val="32"/>
          <w:szCs w:val="32"/>
        </w:rPr>
        <w:t>Artificial Intelligence and Machine Learning</w:t>
      </w:r>
      <w:r w:rsidR="00D939D0" w:rsidRPr="00053D65">
        <w:rPr>
          <w:sz w:val="32"/>
          <w:szCs w:val="32"/>
        </w:rPr>
        <w:t xml:space="preserve"> </w:t>
      </w:r>
    </w:p>
    <w:p w14:paraId="353D9647" w14:textId="268EB89D" w:rsidR="0027336A" w:rsidRPr="0027336A" w:rsidRDefault="0027336A" w:rsidP="0027336A">
      <w:pPr>
        <w:pStyle w:val="BodyText"/>
        <w:jc w:val="center"/>
        <w:rPr>
          <w:b/>
          <w:bCs/>
          <w:sz w:val="28"/>
          <w:szCs w:val="28"/>
        </w:rPr>
      </w:pPr>
      <w:r w:rsidRPr="0027336A">
        <w:rPr>
          <w:b/>
          <w:bCs/>
          <w:sz w:val="28"/>
          <w:szCs w:val="28"/>
        </w:rPr>
        <w:t>Natural Language Processing Lab – 19MAMEL03</w:t>
      </w:r>
    </w:p>
    <w:p w14:paraId="21C3A273" w14:textId="7406BE80" w:rsidR="0027336A" w:rsidRPr="0027336A" w:rsidRDefault="0027336A" w:rsidP="0027336A">
      <w:pPr>
        <w:pStyle w:val="BodyText"/>
        <w:jc w:val="center"/>
      </w:pPr>
      <w:r w:rsidRPr="0027336A">
        <w:t xml:space="preserve">Vishnu V </w:t>
      </w:r>
      <w:r w:rsidR="009C57B0">
        <w:t>-</w:t>
      </w:r>
      <w:r w:rsidRPr="0027336A">
        <w:t xml:space="preserve"> 71762234060, Sarvesh PV</w:t>
      </w:r>
      <w:r w:rsidR="009C57B0">
        <w:t xml:space="preserve"> -</w:t>
      </w:r>
      <w:r w:rsidRPr="0027336A">
        <w:t xml:space="preserve"> 71762234042</w:t>
      </w:r>
    </w:p>
    <w:p w14:paraId="3E269500" w14:textId="787EFE7F" w:rsidR="00D939D0" w:rsidRPr="00053D65" w:rsidRDefault="00000000" w:rsidP="0027336A">
      <w:pPr>
        <w:pStyle w:val="FirstParagraph"/>
        <w:ind w:left="1440"/>
        <w:jc w:val="center"/>
        <w:rPr>
          <w:sz w:val="28"/>
          <w:szCs w:val="28"/>
        </w:rPr>
      </w:pPr>
      <w:r w:rsidRPr="00053D65">
        <w:rPr>
          <w:b/>
          <w:bCs/>
          <w:sz w:val="28"/>
          <w:szCs w:val="28"/>
        </w:rPr>
        <w:t>Project Summary Report</w:t>
      </w:r>
      <w:r w:rsidRPr="00053D65">
        <w:rPr>
          <w:sz w:val="28"/>
          <w:szCs w:val="28"/>
        </w:rPr>
        <w:br/>
        <w:t xml:space="preserve">Feature-Bootstrapped Masked </w:t>
      </w:r>
      <w:r w:rsidR="00612A98">
        <w:rPr>
          <w:sz w:val="28"/>
          <w:szCs w:val="28"/>
        </w:rPr>
        <w:t>Time Series Foundation Model</w:t>
      </w:r>
    </w:p>
    <w:p w14:paraId="48F28BF1" w14:textId="3EB43DD1" w:rsidR="00D939D0" w:rsidRPr="00E51267" w:rsidRDefault="00E51267" w:rsidP="00D939D0">
      <w:pPr>
        <w:pStyle w:val="FirstParagraph"/>
        <w:rPr>
          <w:sz w:val="22"/>
          <w:szCs w:val="22"/>
        </w:rPr>
      </w:pPr>
      <w:r w:rsidRPr="00E51267">
        <w:rPr>
          <w:sz w:val="22"/>
          <w:szCs w:val="22"/>
        </w:rPr>
        <w:t>Lab: MS 402</w:t>
      </w:r>
    </w:p>
    <w:p w14:paraId="1EA576C9" w14:textId="4F01F074" w:rsidR="00107BF6" w:rsidRPr="00053D65" w:rsidRDefault="00000000" w:rsidP="00D939D0">
      <w:pPr>
        <w:pStyle w:val="FirstParagraph"/>
        <w:rPr>
          <w:sz w:val="22"/>
          <w:szCs w:val="22"/>
        </w:rPr>
      </w:pPr>
      <w:r w:rsidRPr="00053D65">
        <w:rPr>
          <w:sz w:val="22"/>
          <w:szCs w:val="22"/>
        </w:rPr>
        <w:t xml:space="preserve">Code available at: </w:t>
      </w:r>
      <w:hyperlink r:id="rId6">
        <w:r w:rsidRPr="00053D65">
          <w:rPr>
            <w:rStyle w:val="Hyperlink"/>
            <w:color w:val="auto"/>
            <w:sz w:val="22"/>
            <w:szCs w:val="22"/>
          </w:rPr>
          <w:t>https://github.com/vishnu-17o7/TSFM</w:t>
        </w:r>
      </w:hyperlink>
    </w:p>
    <w:p w14:paraId="4CCAADF2" w14:textId="77777777" w:rsidR="00107BF6" w:rsidRPr="00F9470A" w:rsidRDefault="00000000" w:rsidP="00D939D0">
      <w:pPr>
        <w:pStyle w:val="Heading1"/>
        <w:spacing w:before="0" w:after="0"/>
        <w:jc w:val="both"/>
        <w:rPr>
          <w:b/>
          <w:bCs/>
          <w:color w:val="auto"/>
          <w:sz w:val="24"/>
          <w:szCs w:val="24"/>
        </w:rPr>
      </w:pPr>
      <w:bookmarkStart w:id="0" w:name="project-overview"/>
      <w:r w:rsidRPr="00F9470A">
        <w:rPr>
          <w:b/>
          <w:bCs/>
          <w:color w:val="auto"/>
          <w:sz w:val="24"/>
          <w:szCs w:val="24"/>
        </w:rPr>
        <w:t>1. Project Overview</w:t>
      </w:r>
    </w:p>
    <w:p w14:paraId="16800E35" w14:textId="77777777" w:rsidR="00107BF6" w:rsidRPr="00053D65" w:rsidRDefault="00000000" w:rsidP="00D939D0">
      <w:pPr>
        <w:pStyle w:val="FirstParagraph"/>
        <w:spacing w:before="0" w:after="0"/>
        <w:jc w:val="both"/>
        <w:rPr>
          <w:sz w:val="20"/>
          <w:szCs w:val="20"/>
        </w:rPr>
      </w:pPr>
      <w:r w:rsidRPr="00053D65">
        <w:rPr>
          <w:sz w:val="20"/>
          <w:szCs w:val="20"/>
        </w:rPr>
        <w:t>This project develops a reproducible, large-scale time-series foundation model (TSFM) utilizing a masked latent reconstruction objective. The proposed architecture integrates Reversible Instance Normalization (RevIN), convolutional patch tokenization, a bidirectional Transformer encoder, and an MLP reconstruction head. Unlike existing decoder-only models (e.g., TimesFM) that rely on massive internet-scale observational data, this project addresses data scarcity by introducing a fallback mechanism to feature-bootstrap synthesis, leveraging 44 feature tables to generate synthetic temporal data for pretraining. We conducted rigorous complexity analyses and multi-seed ablations across mask ratios and patch lengths to isolate optimal compute-efficient configurations.</w:t>
      </w:r>
    </w:p>
    <w:p w14:paraId="49ADD34E" w14:textId="77777777" w:rsidR="00107BF6" w:rsidRPr="00F9470A" w:rsidRDefault="00000000" w:rsidP="00D939D0">
      <w:pPr>
        <w:pStyle w:val="Heading1"/>
        <w:spacing w:before="0" w:after="0"/>
        <w:jc w:val="both"/>
        <w:rPr>
          <w:b/>
          <w:bCs/>
          <w:color w:val="auto"/>
          <w:sz w:val="24"/>
          <w:szCs w:val="24"/>
        </w:rPr>
      </w:pPr>
      <w:bookmarkStart w:id="1" w:name="X1b2d99b68f435a21193037e7fefa1402fdc5878"/>
      <w:bookmarkEnd w:id="0"/>
      <w:r w:rsidRPr="00F9470A">
        <w:rPr>
          <w:b/>
          <w:bCs/>
          <w:color w:val="auto"/>
          <w:sz w:val="24"/>
          <w:szCs w:val="24"/>
        </w:rPr>
        <w:t>2. High-Performance Computing (HPC) Utilization</w:t>
      </w:r>
    </w:p>
    <w:p w14:paraId="2C903F30" w14:textId="77777777" w:rsidR="00107BF6" w:rsidRPr="00053D65" w:rsidRDefault="00000000" w:rsidP="00D939D0">
      <w:pPr>
        <w:pStyle w:val="FirstParagraph"/>
        <w:spacing w:before="0" w:after="0"/>
        <w:jc w:val="both"/>
        <w:rPr>
          <w:sz w:val="20"/>
          <w:szCs w:val="20"/>
        </w:rPr>
      </w:pPr>
      <w:r w:rsidRPr="00053D65">
        <w:rPr>
          <w:sz w:val="20"/>
          <w:szCs w:val="20"/>
        </w:rPr>
        <w:t>High-Performance Computing (HPC) resources were pivotal to managing the heavy computational requirements of training large-scale transformer models on extensive time-series datasets. The HPC cluster facilitated:</w:t>
      </w:r>
    </w:p>
    <w:p w14:paraId="34D4E4D6" w14:textId="77777777" w:rsidR="00107BF6" w:rsidRPr="00053D65" w:rsidRDefault="00000000" w:rsidP="00D939D0">
      <w:pPr>
        <w:numPr>
          <w:ilvl w:val="0"/>
          <w:numId w:val="2"/>
        </w:numPr>
        <w:spacing w:after="0"/>
        <w:jc w:val="both"/>
        <w:rPr>
          <w:sz w:val="20"/>
          <w:szCs w:val="20"/>
        </w:rPr>
      </w:pPr>
      <w:r w:rsidRPr="00053D65">
        <w:rPr>
          <w:b/>
          <w:bCs/>
          <w:sz w:val="20"/>
          <w:szCs w:val="20"/>
        </w:rPr>
        <w:t>Parallel Multi-Seed Ablations:</w:t>
      </w:r>
      <w:r w:rsidRPr="00053D65">
        <w:rPr>
          <w:sz w:val="20"/>
          <w:szCs w:val="20"/>
        </w:rPr>
        <w:t xml:space="preserve"> Extensive seed-stratified ablations across configurations were executed simultaneously on multiple GPU nodes to quantify uncertainty and prevent misleading conclusions from deterministic single-seed runs.</w:t>
      </w:r>
    </w:p>
    <w:p w14:paraId="665BBBC2" w14:textId="77777777" w:rsidR="00107BF6" w:rsidRPr="00053D65" w:rsidRDefault="00000000" w:rsidP="00D939D0">
      <w:pPr>
        <w:numPr>
          <w:ilvl w:val="0"/>
          <w:numId w:val="2"/>
        </w:numPr>
        <w:spacing w:after="0"/>
        <w:jc w:val="both"/>
        <w:rPr>
          <w:sz w:val="20"/>
          <w:szCs w:val="20"/>
        </w:rPr>
      </w:pPr>
      <w:r w:rsidRPr="00053D65">
        <w:rPr>
          <w:b/>
          <w:bCs/>
          <w:sz w:val="20"/>
          <w:szCs w:val="20"/>
        </w:rPr>
        <w:t>Large-Scale Pretraining:</w:t>
      </w:r>
      <w:r w:rsidRPr="00053D65">
        <w:rPr>
          <w:sz w:val="20"/>
          <w:szCs w:val="20"/>
        </w:rPr>
        <w:t xml:space="preserve"> The compute environment supported deep training horizons (over 2.11M steps, 62 epochs), enabling detailed late-checkpoint auditing and stability analysis.</w:t>
      </w:r>
    </w:p>
    <w:p w14:paraId="683EEF65" w14:textId="77777777" w:rsidR="00107BF6" w:rsidRPr="00053D65" w:rsidRDefault="00000000" w:rsidP="00D939D0">
      <w:pPr>
        <w:numPr>
          <w:ilvl w:val="0"/>
          <w:numId w:val="2"/>
        </w:numPr>
        <w:spacing w:after="0"/>
        <w:jc w:val="both"/>
        <w:rPr>
          <w:sz w:val="20"/>
          <w:szCs w:val="20"/>
        </w:rPr>
      </w:pPr>
      <w:r w:rsidRPr="00053D65">
        <w:rPr>
          <w:b/>
          <w:bCs/>
          <w:sz w:val="20"/>
          <w:szCs w:val="20"/>
        </w:rPr>
        <w:t>Throughput Optimization:</w:t>
      </w:r>
      <w:r w:rsidRPr="00053D65">
        <w:rPr>
          <w:sz w:val="20"/>
          <w:szCs w:val="20"/>
        </w:rPr>
        <w:t xml:space="preserve"> By utilizing HPC profiling, we empirically validated attention memory scaling (</w:t>
      </w:r>
      <m:oMath>
        <m:r>
          <m:rPr>
            <m:scr m:val="script"/>
            <m:sty m:val="p"/>
          </m:rPr>
          <w:rPr>
            <w:rFonts w:ascii="Cambria Math" w:hAnsi="Cambria Math"/>
            <w:sz w:val="20"/>
            <w:szCs w:val="20"/>
          </w:rPr>
          <m:t>O</m:t>
        </m:r>
        <m:d>
          <m:dPr>
            <m:ctrlPr>
              <w:rPr>
                <w:rFonts w:ascii="Cambria Math" w:hAnsi="Cambria Math"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B</m:t>
            </m:r>
            <m:sSup>
              <m:sSupPr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N</m:t>
                </m:r>
              </m:e>
              <m:sup>
                <m: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p>
            </m:sSup>
            <m:r>
              <w:rPr>
                <w:rFonts w:ascii="Cambria Math" w:hAnsi="Cambria Math"/>
                <w:sz w:val="20"/>
                <w:szCs w:val="20"/>
              </w:rPr>
              <m:t>d</m:t>
            </m:r>
          </m:e>
        </m:d>
      </m:oMath>
      <w:r w:rsidRPr="00053D65">
        <w:rPr>
          <w:sz w:val="20"/>
          <w:szCs w:val="20"/>
        </w:rPr>
        <w:t xml:space="preserve">) and epoch runtimes. This confirmed that a patch length of </w:t>
      </w:r>
      <m:oMath>
        <m:r>
          <w:rPr>
            <w:rFonts w:ascii="Cambria Math" w:hAnsi="Cambria Math"/>
            <w:sz w:val="20"/>
            <w:szCs w:val="20"/>
          </w:rPr>
          <m:t>P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=</m:t>
        </m:r>
        <m:r>
          <w:rPr>
            <w:rFonts w:ascii="Cambria Math" w:hAnsi="Cambria Math"/>
            <w:sz w:val="20"/>
            <w:szCs w:val="20"/>
          </w:rPr>
          <m:t>32</m:t>
        </m:r>
      </m:oMath>
      <w:r w:rsidRPr="00053D65">
        <w:rPr>
          <w:sz w:val="20"/>
          <w:szCs w:val="20"/>
        </w:rPr>
        <w:t xml:space="preserve"> provides the optimal balance of representational capacity and runtime efficiency.</w:t>
      </w:r>
    </w:p>
    <w:p w14:paraId="5172E170" w14:textId="77777777" w:rsidR="00107BF6" w:rsidRPr="00F9470A" w:rsidRDefault="00000000" w:rsidP="00D939D0">
      <w:pPr>
        <w:pStyle w:val="Heading1"/>
        <w:spacing w:before="0" w:after="0"/>
        <w:jc w:val="both"/>
        <w:rPr>
          <w:b/>
          <w:bCs/>
          <w:color w:val="auto"/>
          <w:sz w:val="24"/>
          <w:szCs w:val="24"/>
        </w:rPr>
      </w:pPr>
      <w:bookmarkStart w:id="2" w:name="X8951c9ab3161de3ef911de92347c2515185709c"/>
      <w:bookmarkEnd w:id="1"/>
      <w:r w:rsidRPr="00F9470A">
        <w:rPr>
          <w:b/>
          <w:bCs/>
          <w:color w:val="auto"/>
          <w:sz w:val="24"/>
          <w:szCs w:val="24"/>
        </w:rPr>
        <w:t>3. Verified Results and Downstream Performance</w:t>
      </w:r>
    </w:p>
    <w:p w14:paraId="3F3F672B" w14:textId="77777777" w:rsidR="00107BF6" w:rsidRPr="00053D65" w:rsidRDefault="00000000" w:rsidP="00D939D0">
      <w:pPr>
        <w:pStyle w:val="FirstParagraph"/>
        <w:spacing w:before="0" w:after="0"/>
        <w:jc w:val="both"/>
        <w:rPr>
          <w:sz w:val="20"/>
          <w:szCs w:val="20"/>
        </w:rPr>
      </w:pPr>
      <w:r w:rsidRPr="00053D65">
        <w:rPr>
          <w:sz w:val="20"/>
          <w:szCs w:val="20"/>
        </w:rPr>
        <w:t>The project successfully linked pretraining design choices to downstream forecasting performance. Key verified findings include:</w:t>
      </w:r>
    </w:p>
    <w:p w14:paraId="7E65C285" w14:textId="77777777" w:rsidR="00107BF6" w:rsidRPr="00053D65" w:rsidRDefault="00000000" w:rsidP="00D939D0">
      <w:pPr>
        <w:numPr>
          <w:ilvl w:val="0"/>
          <w:numId w:val="3"/>
        </w:numPr>
        <w:spacing w:after="0"/>
        <w:jc w:val="both"/>
        <w:rPr>
          <w:sz w:val="20"/>
          <w:szCs w:val="20"/>
        </w:rPr>
      </w:pPr>
      <w:r w:rsidRPr="00053D65">
        <w:rPr>
          <w:b/>
          <w:bCs/>
          <w:sz w:val="20"/>
          <w:szCs w:val="20"/>
        </w:rPr>
        <w:t>Configuration Superiority:</w:t>
      </w:r>
      <w:r w:rsidRPr="00053D65">
        <w:rPr>
          <w:sz w:val="20"/>
          <w:szCs w:val="20"/>
        </w:rPr>
        <w:t xml:space="preserve"> Multi-seed evaluations confirmed that patch length </w:t>
      </w:r>
      <m:oMath>
        <m:r>
          <w:rPr>
            <w:rFonts w:ascii="Cambria Math" w:hAnsi="Cambria Math"/>
            <w:sz w:val="20"/>
            <w:szCs w:val="20"/>
          </w:rPr>
          <m:t>P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=</m:t>
        </m:r>
        <m:r>
          <w:rPr>
            <w:rFonts w:ascii="Cambria Math" w:hAnsi="Cambria Math"/>
            <w:sz w:val="20"/>
            <w:szCs w:val="20"/>
          </w:rPr>
          <m:t>32</m:t>
        </m:r>
      </m:oMath>
      <w:r w:rsidRPr="00053D65">
        <w:rPr>
          <w:sz w:val="20"/>
          <w:szCs w:val="20"/>
        </w:rPr>
        <w:t xml:space="preserve"> outperforms </w:t>
      </w:r>
      <m:oMath>
        <m:r>
          <w:rPr>
            <w:rFonts w:ascii="Cambria Math" w:hAnsi="Cambria Math"/>
            <w:sz w:val="20"/>
            <w:szCs w:val="20"/>
          </w:rPr>
          <m:t>P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=</m:t>
        </m:r>
        <m:r>
          <w:rPr>
            <w:rFonts w:ascii="Cambria Math" w:hAnsi="Cambria Math"/>
            <w:sz w:val="20"/>
            <w:szCs w:val="20"/>
          </w:rPr>
          <m:t>16</m:t>
        </m:r>
      </m:oMath>
      <w:r w:rsidRPr="00053D65">
        <w:rPr>
          <w:sz w:val="20"/>
          <w:szCs w:val="20"/>
        </w:rPr>
        <w:t xml:space="preserve"> and </w:t>
      </w:r>
      <m:oMath>
        <m:r>
          <w:rPr>
            <w:rFonts w:ascii="Cambria Math" w:hAnsi="Cambria Math"/>
            <w:sz w:val="20"/>
            <w:szCs w:val="20"/>
          </w:rPr>
          <m:t>P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=</m:t>
        </m:r>
        <m:r>
          <w:rPr>
            <w:rFonts w:ascii="Cambria Math" w:hAnsi="Cambria Math"/>
            <w:sz w:val="20"/>
            <w:szCs w:val="20"/>
          </w:rPr>
          <m:t>8</m:t>
        </m:r>
      </m:oMath>
      <w:r w:rsidRPr="00053D65">
        <w:rPr>
          <w:sz w:val="20"/>
          <w:szCs w:val="20"/>
        </w:rPr>
        <w:t xml:space="preserve"> in both masked reconstruction quality and runtime efficiency under a fixed step budget.</w:t>
      </w:r>
    </w:p>
    <w:p w14:paraId="20E469B8" w14:textId="77777777" w:rsidR="00107BF6" w:rsidRPr="00053D65" w:rsidRDefault="00000000" w:rsidP="00D939D0">
      <w:pPr>
        <w:numPr>
          <w:ilvl w:val="0"/>
          <w:numId w:val="3"/>
        </w:numPr>
        <w:spacing w:after="0"/>
        <w:jc w:val="both"/>
        <w:rPr>
          <w:sz w:val="20"/>
          <w:szCs w:val="20"/>
        </w:rPr>
      </w:pPr>
      <w:r w:rsidRPr="00053D65">
        <w:rPr>
          <w:b/>
          <w:bCs/>
          <w:sz w:val="20"/>
          <w:szCs w:val="20"/>
        </w:rPr>
        <w:t>Checkpoint Stability:</w:t>
      </w:r>
      <w:r w:rsidRPr="00053D65">
        <w:rPr>
          <w:sz w:val="20"/>
          <w:szCs w:val="20"/>
        </w:rPr>
        <w:t xml:space="preserve"> The optimal masked Mean Squared Error (MSE) of 0.3304 was achieved at step 2.04M, with a minimal 2.04% drift by the final checkpoint at step 2.11M, proving that validation-based checkpoint selection strongly outperforms recency-based selection.</w:t>
      </w:r>
    </w:p>
    <w:p w14:paraId="75B885FE" w14:textId="77777777" w:rsidR="00107BF6" w:rsidRPr="00053D65" w:rsidRDefault="00000000" w:rsidP="00D939D0">
      <w:pPr>
        <w:numPr>
          <w:ilvl w:val="0"/>
          <w:numId w:val="3"/>
        </w:numPr>
        <w:spacing w:after="0"/>
        <w:jc w:val="both"/>
        <w:rPr>
          <w:sz w:val="20"/>
          <w:szCs w:val="20"/>
        </w:rPr>
      </w:pPr>
      <w:r w:rsidRPr="00053D65">
        <w:rPr>
          <w:b/>
          <w:bCs/>
          <w:sz w:val="20"/>
          <w:szCs w:val="20"/>
        </w:rPr>
        <w:t>Transfer Learning Efficacy:</w:t>
      </w:r>
      <w:r w:rsidRPr="00053D65">
        <w:rPr>
          <w:sz w:val="20"/>
          <w:szCs w:val="20"/>
        </w:rPr>
        <w:t xml:space="preserve"> The pretrained TSFM model transferred robustly to downstream tasks, outperforming from-scratch baselines on 3 out of 4 tested datasets (Metro, Environmental Sensor Telemetry, and ETTh1).</w:t>
      </w:r>
    </w:p>
    <w:p w14:paraId="42F94C6C" w14:textId="77777777" w:rsidR="00107BF6" w:rsidRPr="00053D65" w:rsidRDefault="00000000" w:rsidP="00D939D0">
      <w:pPr>
        <w:numPr>
          <w:ilvl w:val="0"/>
          <w:numId w:val="3"/>
        </w:numPr>
        <w:spacing w:after="0"/>
        <w:jc w:val="both"/>
        <w:rPr>
          <w:sz w:val="20"/>
          <w:szCs w:val="20"/>
        </w:rPr>
      </w:pPr>
      <w:r w:rsidRPr="00053D65">
        <w:rPr>
          <w:b/>
          <w:bCs/>
          <w:sz w:val="20"/>
          <w:szCs w:val="20"/>
        </w:rPr>
        <w:t>State-of-the-Art Benchmark Comparison:</w:t>
      </w:r>
      <w:r w:rsidRPr="00053D65">
        <w:rPr>
          <w:sz w:val="20"/>
          <w:szCs w:val="20"/>
        </w:rPr>
        <w:t xml:space="preserve"> In direct evaluation against Google’s TimesFM, our initialized encoder model achieved </w:t>
      </w:r>
      <w:r w:rsidRPr="00053D65">
        <w:rPr>
          <w:b/>
          <w:bCs/>
          <w:sz w:val="20"/>
          <w:szCs w:val="20"/>
        </w:rPr>
        <w:t>Rank 1</w:t>
      </w:r>
      <w:r w:rsidRPr="00053D65">
        <w:rPr>
          <w:sz w:val="20"/>
          <w:szCs w:val="20"/>
        </w:rPr>
        <w:t xml:space="preserve"> overall. It yielded a </w:t>
      </w:r>
      <w:r w:rsidRPr="00053D65">
        <w:rPr>
          <w:b/>
          <w:bCs/>
          <w:sz w:val="20"/>
          <w:szCs w:val="20"/>
        </w:rPr>
        <w:t>33% lower mean MSE</w:t>
      </w:r>
      <w:r w:rsidRPr="00053D65">
        <w:rPr>
          <w:sz w:val="20"/>
          <w:szCs w:val="20"/>
        </w:rPr>
        <w:t>, winning 5 out of 7 standard forecasting benchmark datasets (ETTh1, ETTh2, Electricity, Traffic, and Weather).</w:t>
      </w:r>
      <w:bookmarkEnd w:id="2"/>
    </w:p>
    <w:sectPr w:rsidR="00107BF6" w:rsidRPr="00053D65" w:rsidSect="00612A98">
      <w:pgSz w:w="12240" w:h="15840"/>
      <w:pgMar w:top="873" w:right="1440" w:bottom="87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582744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7C2CFA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456488839">
    <w:abstractNumId w:val="0"/>
  </w:num>
  <w:num w:numId="2" w16cid:durableId="1746802411">
    <w:abstractNumId w:val="1"/>
  </w:num>
  <w:num w:numId="3" w16cid:durableId="17699586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07BF6"/>
    <w:rsid w:val="00053D65"/>
    <w:rsid w:val="00107BF6"/>
    <w:rsid w:val="0027336A"/>
    <w:rsid w:val="00502598"/>
    <w:rsid w:val="005842D5"/>
    <w:rsid w:val="00612A98"/>
    <w:rsid w:val="0080479D"/>
    <w:rsid w:val="009C57B0"/>
    <w:rsid w:val="00AB784E"/>
    <w:rsid w:val="00BB794E"/>
    <w:rsid w:val="00C94015"/>
    <w:rsid w:val="00D939D0"/>
    <w:rsid w:val="00E51267"/>
    <w:rsid w:val="00F94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DA4A0"/>
  <w15:docId w15:val="{F951778F-980C-46B2-B800-320D56991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BodyTextChar">
    <w:name w:val="Body Text Char"/>
    <w:basedOn w:val="DefaultParagraphFont"/>
    <w:link w:val="BodyText"/>
    <w:rsid w:val="00D939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vishnu-17o7/TSF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488</Words>
  <Characters>2788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Vishnu V</cp:lastModifiedBy>
  <cp:revision>12</cp:revision>
  <dcterms:created xsi:type="dcterms:W3CDTF">2026-06-29T14:16:00Z</dcterms:created>
  <dcterms:modified xsi:type="dcterms:W3CDTF">2026-06-29T14:40:00Z</dcterms:modified>
</cp:coreProperties>
</file>