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Feature-Bootstrapped Masked TSFM: Theory, Complexity, and Controlled Ablations for Reproducible Time-Series Pretraining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paper presents a reproducible time-series pretraining study and analyzes it at four levels: formal objective design, computational complexity, deterministic single-seed behavior, and multi-seed statistical behavior. The model uses RevIN, convolutional patch tokenization, a Transformer encoder backbone, and an MLP reconstruction head under a masked latent reconstruction objective. The data regime combines raw-series ingestion when available with feature-bootstrap synthesis from statistical descriptors. In the present corpus, the study uses 44 feature tables and no raw-series archives. We derive objective and complexity properties with respect to context length and patch length, and report deterministic and seed-stratified ablations over mask ratio and patch length. Multi-seed results indicate that patch length 32 is preferable to 16 and 8 under the tested budget, while an extreme single-seed patch-8 failure is not consistently reproduced across seeds. We additionally evaluate late training checkpoints (epochs 60–62, steps 2.04M–2.11M) on a deterministic 8192-window holdout and find best masked MSE 0.3304 at step 2.04M, with a +2.04% drift by the final checkpoint. The paper emphasizes uncertainty-aware claims rather than internet-scale zero-shot claims.</w:t>
      </w:r>
    </w:p>
    <w:p>
      <w:pPr>
        <w:pStyle w:val="FirstParagraph"/>
      </w:pPr>
      <w:r>
        <w:t xml:space="preserve">time-series foundation model, masked reconstruction, transformer encoder, RevIN, synthetic pretraining, reproducibility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Large pretrained models changed natural language and vision workflows by turning pretraining into a reusable upstream stage</w:t>
      </w:r>
      <w:r>
        <w:t xml:space="preserve"> </w:t>
      </w:r>
      <w:r>
        <w:t xml:space="preserve">. Time-series forecasting research now follows the same direction through patch-based transformers and foundation-model pretraining</w:t>
      </w:r>
      <w:r>
        <w:t xml:space="preserve"> </w:t>
      </w:r>
      <w:r>
        <w:t xml:space="preserve">. The central challenge is practical: many teams do not have internet-scale corpora, but they still need a principled pretraining recipe with transparent assumptions.</w:t>
      </w:r>
    </w:p>
    <w:p>
      <w:pPr>
        <w:pStyle w:val="BodyText"/>
      </w:pPr>
      <w:r>
        <w:t xml:space="preserve">This paper studies a local TSFM-style pretraining pipeline. The method differs from decoder-only horizon prediction models such as TimesFM</w:t>
      </w:r>
      <w:r>
        <w:t xml:space="preserve"> </w:t>
      </w:r>
      <w:r>
        <w:t xml:space="preserve">: it trains an encoder with a masked latent reconstruction objective and a feature-bootstrap synthesis path when raw series are absent.</w:t>
      </w:r>
    </w:p>
    <w:p>
      <w:pPr>
        <w:pStyle w:val="BodyText"/>
      </w:pPr>
      <w:r>
        <w:t xml:space="preserve">The contribution is technical rather than promotional. We provide:</w:t>
      </w:r>
    </w:p>
    <w:p>
      <w:pPr>
        <w:numPr>
          <w:ilvl w:val="0"/>
          <w:numId w:val="1001"/>
        </w:numPr>
      </w:pPr>
      <w:r>
        <w:t xml:space="preserve">a formal problem statement and objective-level derivation for masked patch reconstruction in this codebase,</w:t>
      </w:r>
    </w:p>
    <w:p>
      <w:pPr>
        <w:numPr>
          <w:ilvl w:val="0"/>
          <w:numId w:val="1001"/>
        </w:numPr>
      </w:pPr>
      <w:r>
        <w:t xml:space="preserve">a complexity analysis that exposes patch-length trade-offs in attention and memory,</w:t>
      </w:r>
    </w:p>
    <w:p>
      <w:pPr>
        <w:numPr>
          <w:ilvl w:val="0"/>
          <w:numId w:val="1001"/>
        </w:numPr>
      </w:pPr>
      <w:r>
        <w:t xml:space="preserve">deterministic ablations over mask ratio and patch length with machine-readable artifacts.</w:t>
      </w:r>
    </w:p>
    <w:p>
      <w:pPr>
        <w:pStyle w:val="FirstParagraph"/>
      </w:pPr>
      <w:r>
        <w:t xml:space="preserve">We restrict claims to measured evidence from this study. We do not claim state-of-the-art zero-shot forecasting.</w:t>
      </w:r>
    </w:p>
    <w:bookmarkEnd w:id="20"/>
    <w:bookmarkStart w:id="25" w:name="related-work"/>
    <w:p>
      <w:pPr>
        <w:pStyle w:val="Heading1"/>
      </w:pPr>
      <w:r>
        <w:t xml:space="preserve">Related Work</w:t>
      </w:r>
    </w:p>
    <w:bookmarkStart w:id="21" w:name="X867f8e2a7fc7ff75a84ab25db0ca53b789972f4"/>
    <w:p>
      <w:pPr>
        <w:pStyle w:val="Heading2"/>
      </w:pPr>
      <w:r>
        <w:t xml:space="preserve">Foundation and Transfer Models for Forecasting</w:t>
      </w:r>
    </w:p>
    <w:p>
      <w:pPr>
        <w:pStyle w:val="FirstParagraph"/>
      </w:pPr>
      <w:r>
        <w:t xml:space="preserve">Early global forecasting models such as DeepAR</w:t>
      </w:r>
      <w:r>
        <w:t xml:space="preserve"> </w:t>
      </w:r>
      <w:r>
        <w:t xml:space="preserve">, N-BEATS</w:t>
      </w:r>
      <w:r>
        <w:t xml:space="preserve"> </w:t>
      </w:r>
      <w:r>
        <w:t xml:space="preserve">, and Temporal Fusion Transformer</w:t>
      </w:r>
      <w:r>
        <w:t xml:space="preserve"> </w:t>
      </w:r>
      <w:r>
        <w:t xml:space="preserve"> </w:t>
      </w:r>
      <w:r>
        <w:t xml:space="preserve">established strong supervised baselines. Transformer variants then focused on long context and efficient sequence modeling, including Informer</w:t>
      </w:r>
      <w:r>
        <w:t xml:space="preserve"> </w:t>
      </w:r>
      <w:r>
        <w:t xml:space="preserve">, Autoformer</w:t>
      </w:r>
      <w:r>
        <w:t xml:space="preserve"> </w:t>
      </w:r>
      <w:r>
        <w:t xml:space="preserve">, FEDformer</w:t>
      </w:r>
      <w:r>
        <w:t xml:space="preserve"> </w:t>
      </w:r>
      <w:r>
        <w:t xml:space="preserve">, DLinear</w:t>
      </w:r>
      <w:r>
        <w:t xml:space="preserve"> </w:t>
      </w:r>
      <w:r>
        <w:t xml:space="preserve">, and iTransformer</w:t>
      </w:r>
      <w:r>
        <w:t xml:space="preserve"> </w:t>
      </w:r>
      <w:r>
        <w:t xml:space="preserve">. PatchTST showed that patch tokenization improves long-horizon transfer behavior</w:t>
      </w:r>
      <w:r>
        <w:t xml:space="preserve"> </w:t>
      </w:r>
      <w:r>
        <w:t xml:space="preserve">. TimesFM extended this direction to decoder-only foundation pretraining at larger scale</w:t>
      </w:r>
      <w:r>
        <w:t xml:space="preserve"> </w:t>
      </w:r>
      <w:r>
        <w:t xml:space="preserve">.</w:t>
      </w:r>
    </w:p>
    <w:bookmarkEnd w:id="21"/>
    <w:bookmarkStart w:id="22" w:name="X418878615f4fe87ae67c6c826d3ff7c4de42cf5"/>
    <w:p>
      <w:pPr>
        <w:pStyle w:val="Heading2"/>
      </w:pPr>
      <w:r>
        <w:t xml:space="preserve">Masked Modeling and Representation Learning</w:t>
      </w:r>
    </w:p>
    <w:p>
      <w:pPr>
        <w:pStyle w:val="FirstParagraph"/>
      </w:pPr>
      <w:r>
        <w:t xml:space="preserve">Masked prediction objectives were first standardized in language and then generalized to vision</w:t>
      </w:r>
      <w:r>
        <w:t xml:space="preserve"> </w:t>
      </w:r>
      <w:r>
        <w:t xml:space="preserve">. The key principle is to force conditional reconstruction from partial context. Our objective follows the same family but reconstructs latent patch embeddings instead of tokens or pixels.</w:t>
      </w:r>
    </w:p>
    <w:bookmarkEnd w:id="22"/>
    <w:bookmarkStart w:id="23" w:name="normalization-and-distribution-shift"/>
    <w:p>
      <w:pPr>
        <w:pStyle w:val="Heading2"/>
      </w:pPr>
      <w:r>
        <w:t xml:space="preserve">Normalization and Distribution Shift</w:t>
      </w:r>
    </w:p>
    <w:p>
      <w:pPr>
        <w:pStyle w:val="FirstParagraph"/>
      </w:pPr>
      <w:r>
        <w:t xml:space="preserve">Distribution shift in temporal amplitude and variance can degrade forecasting transfer. RevIN addresses this by instance-level normalization with reversible affine parameters</w:t>
      </w:r>
      <w:r>
        <w:t xml:space="preserve"> </w:t>
      </w:r>
      <w:r>
        <w:t xml:space="preserve">. This mechanism is central in our implementation because synthetic fallback data and heterogeneous datasets induce scale mismatch.</w:t>
      </w:r>
    </w:p>
    <w:bookmarkEnd w:id="23"/>
    <w:bookmarkStart w:id="24" w:name="synthetic-data-for-time-series"/>
    <w:p>
      <w:pPr>
        <w:pStyle w:val="Heading2"/>
      </w:pPr>
      <w:r>
        <w:t xml:space="preserve">Synthetic Data for Time Series</w:t>
      </w:r>
    </w:p>
    <w:p>
      <w:pPr>
        <w:pStyle w:val="FirstParagraph"/>
      </w:pPr>
      <w:r>
        <w:t xml:space="preserve">Synthetic generation from stylized temporal components has long roots in classical time-series analysis</w:t>
      </w:r>
      <w:r>
        <w:t xml:space="preserve"> </w:t>
      </w:r>
      <w:r>
        <w:t xml:space="preserve">. Recent forecasting papers also mix real and synthetic corpora to improve coverage of pattern space</w:t>
      </w:r>
      <w:r>
        <w:t xml:space="preserve"> </w:t>
      </w:r>
      <w:r>
        <w:t xml:space="preserve">. Our work studies a constrained version of this idea using feature tables as synthesis control signals.</w:t>
      </w:r>
    </w:p>
    <w:bookmarkEnd w:id="24"/>
    <w:bookmarkEnd w:id="25"/>
    <w:bookmarkStart w:id="27" w:name="X019a312eab94853d8dc6aa71f11e440a8406f5f"/>
    <w:p>
      <w:pPr>
        <w:pStyle w:val="Heading1"/>
      </w:pPr>
      <w:r>
        <w:t xml:space="preserve">Methodological Positioning Relative to Decoder-Only TSFMs</w:t>
      </w:r>
    </w:p>
    <w:p>
      <w:pPr>
        <w:pStyle w:val="FirstParagraph"/>
      </w:pPr>
      <w:r>
        <w:t xml:space="preserve">Our implementation and TimesFM share a patch-based representation view, but they optimize different targets. TimesFM trains a decoder-only model for future patch prediction</w:t>
      </w:r>
      <w:r>
        <w:t xml:space="preserve"> </w:t>
      </w:r>
      <w:r>
        <w:t xml:space="preserve">. This study trains an encoder for latent reconstruction under random patch masking. Table </w:t>
      </w:r>
      <w:hyperlink w:anchor="tab:position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 methodological difference.</w:t>
      </w:r>
    </w:p>
    <w:bookmarkStart w:id="26" w:name="tab:positioning"/>
    <w:p>
      <w:pPr>
        <w:pStyle w:val="TableCaption"/>
      </w:pPr>
      <w:r>
        <w:t xml:space="preserve">Methodological Positioning of This Work vs. Decoder-Only TimesFM</w:t>
      </w:r>
    </w:p>
    <w:tbl>
      <w:tblPr>
        <w:tblStyle w:val="Table"/>
        <w:tblW w:type="pct" w:w="4400"/>
        <w:tblLayout w:type="fixed"/>
        <w:tblLook w:firstRow="1" w:lastRow="0" w:firstColumn="0" w:lastColumn="0" w:noHBand="0" w:noVBand="0" w:val="0020"/>
        <w:tblCaption w:val="Methodological Positioning of This Work vs. Decoder-Only TimesFM"/>
      </w:tblPr>
      <w:tblGrid>
        <w:gridCol w:w="2376"/>
        <w:gridCol w:w="2296"/>
        <w:gridCol w:w="22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Decoder-Only TimesFM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Next/future patch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latent patch reconstruction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decoder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Internet-scale mixed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corpus with feature bootstrap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claim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Zero-shot forecasting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behavior and reproducibility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 emphasis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forecasting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optimization ablations</w:t>
            </w:r>
          </w:p>
        </w:tc>
      </w:tr>
    </w:tbl>
    <w:bookmarkEnd w:id="26"/>
    <w:bookmarkEnd w:id="27"/>
    <w:bookmarkStart w:id="31" w:name="problem-setup-and-notation"/>
    <w:p>
      <w:pPr>
        <w:pStyle w:val="Heading1"/>
      </w:pPr>
      <w:r>
        <w:t xml:space="preserve">Problem Setup and Notation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:</m:t>
            </m:r>
            <m:sSub>
              <m:e>
                <m:r>
                  <m:t>T</m:t>
                </m:r>
              </m:e>
              <m:sub>
                <m:r>
                  <m:t>n</m:t>
                </m:r>
              </m:sub>
            </m:sSub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</m:e>
            </m:d>
          </m:sup>
        </m:sSubSup>
      </m:oMath>
      <w:r>
        <w:t xml:space="preserve"> </w:t>
      </w:r>
      <w:r>
        <w:t xml:space="preserve">denote univariate series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corpus</w:t>
      </w:r>
      <w:r>
        <w:t xml:space="preserve"> </w:t>
      </w:r>
      <m:oMath>
        <m:r>
          <m:rPr>
            <m:sty m:val="p"/>
            <m:scr m:val="script"/>
          </m:rPr>
          <m:t>D</m:t>
        </m:r>
      </m:oMath>
      <w:r>
        <w:t xml:space="preserve">. For a fixed context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stride</w:t>
      </w:r>
      <w:r>
        <w:t xml:space="preserve"> </w:t>
      </w:r>
      <m:oMath>
        <m:r>
          <m:t>S</m:t>
        </m:r>
      </m:oMath>
      <w:r>
        <w:t xml:space="preserve">, the dataset builder extracts windows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k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L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sup>
          </m:sSub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d>
          <m:dPr>
            <m:begChr m:val="⌊"/>
            <m:endChr m:val="⌋"/>
            <m:sepChr m:val="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L</m:t>
                </m:r>
              </m:num>
              <m:den>
                <m:r>
                  <m:t>S</m:t>
                </m:r>
              </m:den>
            </m:f>
          </m:e>
        </m:d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Each window is mapped to tensor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L</m:t>
            </m:r>
            <m:r>
              <m:rPr>
                <m:sty m:val="p"/>
              </m:rPr>
              <m:t>×</m:t>
            </m:r>
            <m:r>
              <m:t>1</m:t>
            </m:r>
          </m:sup>
        </m:sSup>
      </m:oMath>
      <w:r>
        <w:t xml:space="preserve">. The pretraining objective is not future horizon prediction; it is masked latent reconstruction over patch tokens.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FirstParagraph"/>
      </w:pPr>
      <w:r>
        <w:t xml:space="preserve">We make the following assumptions for analysis and interpretation.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A1 (Finite second moments):</w:t>
      </w:r>
      <w:r>
        <w:t xml:space="preserve"> </w:t>
      </w:r>
      <w:r>
        <w:t xml:space="preserve">each training window has finite mean and variance.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A2 (Window-local regularity):</w:t>
      </w:r>
      <w:r>
        <w:t xml:space="preserve"> </w:t>
      </w:r>
      <w:r>
        <w:t xml:space="preserve">after RevIN, local statistics are stable enough for shared encoder weights.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A3 (Feature control validity):</w:t>
      </w:r>
      <w:r>
        <w:t xml:space="preserve"> </w:t>
      </w:r>
      <w:r>
        <w:t xml:space="preserve">synthesis features (mean, variance, autocorrelation proxy, trend, season period, spike proxy) encode usable first-order structure.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A4 (Missing-value handling):</w:t>
      </w:r>
      <w:r>
        <w:t xml:space="preserve"> </w:t>
      </w:r>
      <w:r>
        <w:t xml:space="preserve">non-finite observations removed during loading do not introduce directional bias larger than the modeled variance.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A5 (Deterministic protocol for baseline ablations):</w:t>
      </w:r>
      <w:r>
        <w:t xml:space="preserve"> </w:t>
      </w:r>
      <w:r>
        <w:t xml:space="preserve">fixed seed and single-thread feature synthesis remove run-order nondeterminism.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A6 (Seed-stratified protocol for uncertainty):</w:t>
      </w:r>
      <w:r>
        <w:t xml:space="preserve"> </w:t>
      </w:r>
      <w:r>
        <w:t xml:space="preserve">varying both data-synthesis seed and model seed approximates run-to-run uncertainty in this constrained budget.</w:t>
      </w:r>
    </w:p>
    <w:bookmarkEnd w:id="28"/>
    <w:bookmarkStart w:id="30" w:name="notation-table"/>
    <w:p>
      <w:pPr>
        <w:pStyle w:val="Heading2"/>
      </w:pPr>
      <w:r>
        <w:t xml:space="preserve">Notation Table</w:t>
      </w:r>
    </w:p>
    <w:p>
      <w:pPr>
        <w:pStyle w:val="FirstParagraph"/>
      </w:pPr>
      <w:r>
        <w:t xml:space="preserve">Table </w:t>
      </w:r>
      <w:hyperlink w:anchor="tab:notat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symbols used throughout the derivations.</w:t>
      </w:r>
    </w:p>
    <w:bookmarkStart w:id="29" w:name="tab:notation"/>
    <w:p>
      <w:pPr>
        <w:pStyle w:val="TableCaption"/>
      </w:pPr>
      <w:r>
        <w:t xml:space="preserve">Notation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Context length in time points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Sliding-window stride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Patch length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Embedding dimension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Mask 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 mask over tokens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Transformer encoder layers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E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Reconstructed and target patch embeddings</w:t>
            </w:r>
          </w:p>
        </w:tc>
      </w:tr>
    </w:tbl>
    <w:bookmarkEnd w:id="29"/>
    <w:bookmarkEnd w:id="30"/>
    <w:bookmarkEnd w:id="31"/>
    <w:bookmarkStart w:id="34" w:name="feature-bootstrapped-corpus-construction"/>
    <w:p>
      <w:pPr>
        <w:pStyle w:val="Heading1"/>
      </w:pPr>
      <w:r>
        <w:t xml:space="preserve">Feature-Bootstrapped Corpus Construction</w:t>
      </w:r>
    </w:p>
    <w:bookmarkStart w:id="32" w:name="raw-mode"/>
    <w:p>
      <w:pPr>
        <w:pStyle w:val="Heading2"/>
      </w:pPr>
      <w:r>
        <w:t xml:space="preserve">Raw Mode</w:t>
      </w:r>
    </w:p>
    <w:p>
      <w:pPr>
        <w:pStyle w:val="FirstParagraph"/>
      </w:pPr>
      <w:r>
        <w:t xml:space="preserve">The loader searches recursively for</w:t>
      </w:r>
      <w:r>
        <w:t xml:space="preserve"> </w:t>
      </w:r>
      <w:r>
        <w:rPr>
          <w:rStyle w:val="VerbatimChar"/>
        </w:rPr>
        <w:t xml:space="preserve">.tsf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files and uses</w:t>
      </w:r>
      <w:r>
        <w:t xml:space="preserve"> </w:t>
      </w:r>
      <w:r>
        <w:rPr>
          <w:rStyle w:val="VerbatimChar"/>
        </w:rPr>
        <w:t xml:space="preserve">sktime</w:t>
      </w:r>
      <w:r>
        <w:t xml:space="preserve"> </w:t>
      </w:r>
      <w:r>
        <w:t xml:space="preserve">readers when available. Numeric extraction converts each object to finite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arrays.</w:t>
      </w:r>
    </w:p>
    <w:bookmarkEnd w:id="32"/>
    <w:bookmarkStart w:id="33" w:name="feature-fallback-mode"/>
    <w:p>
      <w:pPr>
        <w:pStyle w:val="Heading2"/>
      </w:pPr>
      <w:r>
        <w:t xml:space="preserve">Feature-Fallback Mode</w:t>
      </w:r>
    </w:p>
    <w:p>
      <w:pPr>
        <w:pStyle w:val="FirstParagraph"/>
      </w:pPr>
      <w:r>
        <w:t xml:space="preserve">If no raw files exist, the loader reads feature-statistics rows and synthesizes pseudo-series. For each row, let target mean</w:t>
      </w:r>
      <w:r>
        <w:t xml:space="preserve"> </w:t>
      </w:r>
      <m:oMath>
        <m:r>
          <m:t>μ</m:t>
        </m:r>
      </m:oMath>
      <w:r>
        <w:t xml:space="preserve">, target standard deviation</w:t>
      </w:r>
      <w:r>
        <w:t xml:space="preserve"> </w:t>
      </w:r>
      <m:oMath>
        <m:r>
          <m:t>σ</m:t>
        </m:r>
      </m:oMath>
      <w:r>
        <w:t xml:space="preserve">, autocorrelation proxy</w:t>
      </w:r>
      <w:r>
        <w:t xml:space="preserve"> </w:t>
      </w:r>
      <m:oMath>
        <m:r>
          <m:t>a</m:t>
        </m:r>
      </m:oMath>
      <w:r>
        <w:t xml:space="preserve">, linear trend slope</w:t>
      </w:r>
      <w:r>
        <w:t xml:space="preserve"> </w:t>
      </w:r>
      <m:oMath>
        <m:r>
          <m:t>b</m:t>
        </m:r>
      </m:oMath>
      <w:r>
        <w:t xml:space="preserve">, seasonal period</w:t>
      </w:r>
      <w:r>
        <w:t xml:space="preserve"> </w:t>
      </w:r>
      <m:oMath>
        <m:r>
          <m:t>P</m:t>
        </m:r>
      </m:oMath>
      <w:r>
        <w:t xml:space="preserve">, and spike controls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r>
            <m:t>b</m:t>
          </m:r>
          <m:r>
            <m:t>t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a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Gaussian noise,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 random walk term, and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sparse spike noise. The generated sequence is then rescaled to match target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In this study, the corpus inventory is: raw-series archive count = 0 and feature-table count = 44.</w:t>
      </w:r>
    </w:p>
    <w:bookmarkEnd w:id="33"/>
    <w:bookmarkEnd w:id="34"/>
    <w:bookmarkStart w:id="38" w:name="model-architecture"/>
    <w:p>
      <w:pPr>
        <w:pStyle w:val="Heading1"/>
      </w:pPr>
      <w:r>
        <w:t xml:space="preserve">Model Architecture</w:t>
      </w:r>
    </w:p>
    <w:bookmarkStart w:id="35" w:name="revin-layer"/>
    <w:p>
      <w:pPr>
        <w:pStyle w:val="Heading2"/>
      </w:pPr>
      <w:r>
        <w:t xml:space="preserve">RevIN Layer</w:t>
      </w:r>
    </w:p>
    <w:p>
      <w:pPr>
        <w:pStyle w:val="FirstParagraph"/>
      </w:pPr>
      <w:r>
        <w:t xml:space="preserve">Given input window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, RevIN computes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W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⊙</m:t>
          </m:r>
          <m:f>
            <m:fPr>
              <m:type m:val="bar"/>
            </m:fPr>
            <m:num>
              <m:r>
                <m:rPr>
                  <m:sty m:val="b"/>
                </m:rPr>
                <m:t>W</m:t>
              </m:r>
              <m:r>
                <m:rPr>
                  <m:sty m:val="p"/>
                </m:rPr>
                <m:t>−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W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b"/>
                        </m:rPr>
                        <m:t>W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are learnable affine parameters.</w:t>
      </w:r>
    </w:p>
    <w:bookmarkEnd w:id="35"/>
    <w:bookmarkStart w:id="36" w:name="patch-tokenization"/>
    <w:p>
      <w:pPr>
        <w:pStyle w:val="Heading2"/>
      </w:pPr>
      <w:r>
        <w:t xml:space="preserve">Patch Tokenization</w:t>
      </w:r>
    </w:p>
    <w:p>
      <w:pPr>
        <w:pStyle w:val="FirstParagraph"/>
      </w:pPr>
      <w:r>
        <w:t xml:space="preserve">For patch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context length</w:t>
      </w:r>
      <w:r>
        <w:t xml:space="preserve"> </w:t>
      </w:r>
      <m:oMath>
        <m:r>
          <m:t>L</m:t>
        </m:r>
      </m:oMath>
      <w:r>
        <w:t xml:space="preserve">, token count is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implementation uses Conv1d with kernel and stride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 obtain patch embeddings</w:t>
      </w:r>
      <w:r>
        <w:t xml:space="preserve"> </w:t>
      </w:r>
      <m:oMath>
        <m:r>
          <m:rPr>
            <m:sty m:val="b"/>
          </m:rPr>
          <m:t>E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then adds learned positional embeddings.</w:t>
      </w:r>
    </w:p>
    <w:bookmarkEnd w:id="36"/>
    <w:bookmarkStart w:id="37" w:name="masking-and-encoder"/>
    <w:p>
      <w:pPr>
        <w:pStyle w:val="Heading2"/>
      </w:pPr>
      <w:r>
        <w:t xml:space="preserve">Masking and Encoder</w:t>
      </w:r>
    </w:p>
    <w:p>
      <w:pPr>
        <w:pStyle w:val="FirstParagraph"/>
      </w:pPr>
      <w:r>
        <w:t xml:space="preserve">Let mask vector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</m:oMath>
      <w:r>
        <w:t xml:space="preserve"> </w:t>
      </w:r>
      <w:r>
        <w:t xml:space="preserve">for mask ratio</w:t>
      </w:r>
      <w:r>
        <w:t xml:space="preserve"> </w:t>
      </w:r>
      <m:oMath>
        <m:r>
          <m:t>ρ</m:t>
        </m:r>
      </m:oMath>
      <w:r>
        <w:t xml:space="preserve">. Masked embeddings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"/>
                </m:rPr>
                <m:t>E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mask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"/>
                          </m:rPr>
                          <m:t>e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mask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nor/>
                <m:sty m:val="p"/>
              </m:rPr>
              <m:t>mask</m:t>
            </m:r>
          </m:sub>
        </m:sSub>
      </m:oMath>
      <w:r>
        <w:t xml:space="preserve"> </w:t>
      </w:r>
      <w:r>
        <w:t xml:space="preserve">is a learned mask token. A Transformer encoder stack maps</w:t>
      </w:r>
      <w:r>
        <w:t xml:space="preserve"> </w:t>
      </w:r>
      <m:oMath>
        <m:sSup>
          <m:e>
            <m:r>
              <m:rPr>
                <m:sty m:val="b"/>
              </m:rPr>
              <m:t>E</m:t>
            </m:r>
          </m:e>
          <m:sup>
            <m:r>
              <m:rPr>
                <m:nor/>
                <m:sty m:val="p"/>
              </m:rPr>
              <m:t>mask</m:t>
            </m:r>
          </m:sup>
        </m:sSup>
      </m:oMath>
      <w:r>
        <w:t xml:space="preserve"> </w:t>
      </w:r>
      <w:r>
        <w:t xml:space="preserve">to latent outputs, then an MLP reconstruction head predicts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E</m:t>
            </m:r>
          </m:e>
        </m:acc>
      </m:oMath>
      <w:r>
        <w:t xml:space="preserve">.</w:t>
      </w:r>
    </w:p>
    <w:bookmarkEnd w:id="37"/>
    <w:bookmarkEnd w:id="38"/>
    <w:bookmarkStart w:id="43" w:name="objective-optimization-and-stability"/>
    <w:p>
      <w:pPr>
        <w:pStyle w:val="Heading1"/>
      </w:pPr>
      <w:r>
        <w:t xml:space="preserve">Objective, Optimization, and Stability</w:t>
      </w:r>
    </w:p>
    <w:bookmarkStart w:id="39" w:name="masked-reconstruction-objective"/>
    <w:p>
      <w:pPr>
        <w:pStyle w:val="Heading2"/>
      </w:pPr>
      <w:r>
        <w:t xml:space="preserve">Masked Reconstruction Objective</w:t>
      </w:r>
    </w:p>
    <w:p>
      <w:pPr>
        <w:pStyle w:val="FirstParagraph"/>
      </w:pPr>
      <w:r>
        <w:t xml:space="preserve">The training loss is masked MSE on latent patch embeddings: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mask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d>
                <m:dPr>
                  <m:begChr m:val="∥"/>
                  <m:endChr m:val="∥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b"/>
                            </m:rP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 the full-token latent error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acc>
              <m:accPr>
                <m:chr m:val="̂"/>
              </m:accPr>
              <m:e>
                <m:r>
                  <m:rPr>
                    <m:sty m:val="b"/>
                  </m:rP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"/>
              </m:rPr>
              <m:t>E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Under i.i.d. masking and concentration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mask</m:t>
            </m:r>
          </m:sub>
        </m:sSub>
      </m:oMath>
      <w:r>
        <w:t xml:space="preserve"> </w:t>
      </w:r>
      <w:r>
        <w:t xml:space="preserve">is a consistent estimator of the mean latent error over tokens. The estimator variance increases when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very small and optimization difficulty increases when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very large.</w:t>
      </w:r>
    </w:p>
    <w:bookmarkEnd w:id="39"/>
    <w:bookmarkStart w:id="40" w:name="estimator-property-proof-sketch"/>
    <w:p>
      <w:pPr>
        <w:pStyle w:val="Heading2"/>
      </w:pPr>
      <w:r>
        <w:t xml:space="preserve">Estimator Property (Proof Sketch)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rPr>
                <m:sty m:val="p"/>
              </m:rPr>
              <m:t>ℓ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ℓ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i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den>
        </m:f>
      </m:oMath>
      <w:r>
        <w:t xml:space="preserve">. With independent Bernoulli masking, conditioned 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ℓ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≈</m:t>
          </m:r>
          <m:acc>
            <m:accPr>
              <m:chr m:val="‾"/>
            </m:accPr>
            <m:e>
              <m:r>
                <m:rPr>
                  <m:sty m:val="p"/>
                </m:rPr>
                <m:t>ℓ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approximation tightens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because denominator concentration improves.</w:t>
      </w:r>
    </w:p>
    <w:p>
      <w:pPr>
        <w:pStyle w:val="BodyText"/>
      </w:pPr>
      <w:r>
        <w:t xml:space="preserve">The argument follows ratio-estimator concentration: numerator and denominator are sums of independent bounded random variables. In our setup,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tested patch lengths; therefore denominator variability is non-negligible but controlled for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}</m:t>
        </m:r>
      </m:oMath>
      <w:r>
        <w:t xml:space="preserve">.</w:t>
      </w:r>
    </w:p>
    <w:bookmarkEnd w:id="40"/>
    <w:bookmarkStart w:id="41" w:name="gradient-accumulation"/>
    <w:p>
      <w:pPr>
        <w:pStyle w:val="Heading2"/>
      </w:pPr>
      <w:r>
        <w:t xml:space="preserve">Gradient Accumulation</w:t>
      </w:r>
    </w:p>
    <w:p>
      <w:pPr>
        <w:pStyle w:val="FirstParagraph"/>
      </w:pPr>
      <w:r>
        <w:t xml:space="preserve">With accumulation factor</w:t>
      </w:r>
      <w:r>
        <w:t xml:space="preserve"> </w:t>
      </w:r>
      <m:oMath>
        <m:r>
          <m:t>K</m:t>
        </m:r>
      </m:oMath>
      <w:r>
        <w:t xml:space="preserve">, micro-batch gradients are averaged before optimizer step: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</m:e>
          </m:nary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reduces gradient variance by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independent micro-batches.</w:t>
      </w:r>
    </w:p>
    <w:p>
      <w:pPr>
        <w:pStyle w:val="BodyText"/>
      </w:pP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g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be unbiased per-micro-batch gradients with covariance</w:t>
      </w:r>
      <w:r>
        <w:t xml:space="preserve"> </w:t>
      </w:r>
      <m:oMath>
        <m:r>
          <m:t>Σ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sup>
                  </m:sSup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t>Σ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explains the empirical stability gain from accumulation in low-memory regimes.</w:t>
      </w:r>
    </w:p>
    <w:bookmarkEnd w:id="41"/>
    <w:bookmarkStart w:id="42" w:name="stability-controls"/>
    <w:p>
      <w:pPr>
        <w:pStyle w:val="Heading2"/>
      </w:pPr>
      <w:r>
        <w:t xml:space="preserve">Stability Controls</w:t>
      </w:r>
    </w:p>
    <w:p>
      <w:pPr>
        <w:pStyle w:val="FirstParagraph"/>
      </w:pPr>
      <w:r>
        <w:t xml:space="preserve">The implementation uses AdamW, gradient norm clipping, optional AMP, and optional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. These controls target training stability and throughput rather than changing objective semantics.</w:t>
      </w:r>
    </w:p>
    <w:bookmarkEnd w:id="42"/>
    <w:bookmarkEnd w:id="43"/>
    <w:bookmarkStart w:id="46" w:name="complexity-analysis"/>
    <w:p>
      <w:pPr>
        <w:pStyle w:val="Heading1"/>
      </w:pPr>
      <w:r>
        <w:t xml:space="preserve">Complexity Analysis</w:t>
      </w:r>
    </w:p>
    <w:p>
      <w:pPr>
        <w:pStyle w:val="FirstParagraph"/>
      </w:pPr>
      <w:r>
        <w:t xml:space="preserve">For batch size</w:t>
      </w:r>
      <w:r>
        <w:t xml:space="preserve"> </w:t>
      </w:r>
      <m:oMath>
        <m:r>
          <m:t>B</m:t>
        </m:r>
      </m:oMath>
      <w:r>
        <w:t xml:space="preserve">, token count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P</m:t>
        </m:r>
      </m:oMath>
      <w:r>
        <w:t xml:space="preserve">, embedding width</w:t>
      </w:r>
      <w:r>
        <w:t xml:space="preserve"> </w:t>
      </w:r>
      <m:oMath>
        <m:r>
          <m:t>d</m:t>
        </m:r>
      </m:oMath>
      <w:r>
        <w:t xml:space="preserve">, and encoder depth</w:t>
      </w:r>
      <w:r>
        <w:t xml:space="preserve"> </w:t>
      </w:r>
      <m:oMath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layer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script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N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encoder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script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N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 increasing patch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decreases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reduces the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term. This gives a direct compute-speed advantage but can discard fine local dynamics when patches become too coarse.</w:t>
      </w:r>
    </w:p>
    <w:p>
      <w:pPr>
        <w:pStyle w:val="BodyText"/>
      </w:pPr>
      <w:r>
        <w:t xml:space="preserve">Memory for token activations scales as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N</m:t>
            </m:r>
            <m:r>
              <m:t>d</m:t>
            </m:r>
          </m:e>
        </m:d>
      </m:oMath>
      <w:r>
        <w:t xml:space="preserve">, while attention maps contribute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Start w:id="44" w:name="patch-length-scaling-ratios"/>
    <w:p>
      <w:pPr>
        <w:pStyle w:val="Heading2"/>
      </w:pPr>
      <w:r>
        <w:t xml:space="preserve">Patch-Length Scaling Ratios</w:t>
      </w:r>
    </w:p>
    <w:p>
      <w:pPr>
        <w:pStyle w:val="FirstParagraph"/>
      </w:pPr>
      <w:r>
        <w:t xml:space="preserve">For fixed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moving from patch length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changes token count from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. The dominant attention ratio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N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Therefore, doubling patch length quarters the attention term. This ratio-level result predicts runtime trends but does not guarantee improved optimization because representational granularity also changes.</w:t>
      </w:r>
    </w:p>
    <w:bookmarkEnd w:id="44"/>
    <w:bookmarkStart w:id="45" w:name="compute-normalized-objective-view"/>
    <w:p>
      <w:pPr>
        <w:pStyle w:val="Heading2"/>
      </w:pPr>
      <w:r>
        <w:t xml:space="preserve">Compute-Normalized Objective View</w:t>
      </w:r>
    </w:p>
    <w:p>
      <w:pPr>
        <w:pStyle w:val="FirstParagraph"/>
      </w:pPr>
      <w:r>
        <w:t xml:space="preserve">For practical model selection under fixed hardware budgets, we define a compute-normalized criterion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J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ρ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mask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ρ</m:t>
                  </m:r>
                </m:e>
              </m:d>
            </m:e>
          </m:d>
          <m:r>
            <m:rPr>
              <m:sty m:val="p"/>
            </m:rPr>
            <m:t>+</m:t>
          </m:r>
          <m:r>
            <m:t>λ</m:t>
          </m:r>
          <m:r>
            <m:t> </m:t>
          </m:r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a budget preference scalar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≈</m:t>
          </m:r>
          <m:r>
            <m:t>α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β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captures the dominant attention and projection terms. For two patch lengths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preferred when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mask</m:t>
                  </m:r>
                </m:sub>
              </m:sSub>
            </m:e>
          </m:d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t>Δ</m:t>
          </m:r>
          <m:r>
            <m:rPr>
              <m:sty m:val="p"/>
              <m:scr m:val="script"/>
            </m:rP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denoting value at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minus value at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. This framing makes explicit that a slightly worse reconstruction loss can still be acceptable if compute savings are large enough for downstream throughput goals.</w:t>
      </w:r>
    </w:p>
    <w:bookmarkEnd w:id="45"/>
    <w:bookmarkEnd w:id="46"/>
    <w:bookmarkStart w:id="51" w:name="experimental-protocol"/>
    <w:p>
      <w:pPr>
        <w:pStyle w:val="Heading1"/>
      </w:pPr>
      <w:r>
        <w:t xml:space="preserve">Experimental Protocol</w:t>
      </w:r>
    </w:p>
    <w:bookmarkStart w:id="47" w:name="single-seed-deterministic-baseline"/>
    <w:p>
      <w:pPr>
        <w:pStyle w:val="Heading2"/>
      </w:pPr>
      <w:r>
        <w:t xml:space="preserve">Single-Seed Deterministic Baseline</w:t>
      </w:r>
    </w:p>
    <w:p>
      <w:pPr>
        <w:pStyle w:val="FirstParagraph"/>
      </w:pPr>
      <w:r>
        <w:t xml:space="preserve">We first report a strict deterministic baseline (one seed, fixed settings) to establish comparability under a controlled budget. The configuration is:</w:t>
      </w:r>
    </w:p>
    <w:p>
      <w:pPr>
        <w:numPr>
          <w:ilvl w:val="0"/>
          <w:numId w:val="1003"/>
        </w:numPr>
      </w:pPr>
      <w:r>
        <w:t xml:space="preserve">seed = 42,</w:t>
      </w:r>
    </w:p>
    <w:p>
      <w:pPr>
        <w:numPr>
          <w:ilvl w:val="0"/>
          <w:numId w:val="1003"/>
        </w:numPr>
      </w:pPr>
      <w:r>
        <w:t xml:space="preserve">feature fallback enabled,</w:t>
      </w:r>
    </w:p>
    <w:p>
      <w:pPr>
        <w:numPr>
          <w:ilvl w:val="0"/>
          <w:numId w:val="1003"/>
        </w:numPr>
      </w:pPr>
      <w:r>
        <w:t xml:space="preserve">single-worker feature processing to avoid run-order nondeterminism,</w:t>
      </w:r>
    </w:p>
    <w:p>
      <w:pPr>
        <w:numPr>
          <w:ilvl w:val="0"/>
          <w:numId w:val="1003"/>
        </w:numPr>
      </w:pPr>
      <w:r>
        <w:t xml:space="preserve">fixed row cap per feature table,</w:t>
      </w:r>
    </w:p>
    <w:p>
      <w:pPr>
        <w:numPr>
          <w:ilvl w:val="0"/>
          <w:numId w:val="1003"/>
        </w:numPr>
      </w:pPr>
      <w:r>
        <w:t xml:space="preserve">one epoch with a fixed 20-step budget,</w:t>
      </w:r>
    </w:p>
    <w:p>
      <w:pPr>
        <w:numPr>
          <w:ilvl w:val="0"/>
          <w:numId w:val="1003"/>
        </w:numPr>
      </w:pPr>
      <w:r>
        <w:t xml:space="preserve">no checkpoint saving during ablations.</w:t>
      </w:r>
    </w:p>
    <w:bookmarkEnd w:id="47"/>
    <w:bookmarkStart w:id="49" w:name="multi-seed-protocol-for-uncertainty"/>
    <w:p>
      <w:pPr>
        <w:pStyle w:val="Heading2"/>
      </w:pPr>
      <w:r>
        <w:t xml:space="preserve">Multi-Seed Protocol for Uncertainty</w:t>
      </w:r>
    </w:p>
    <w:p>
      <w:pPr>
        <w:pStyle w:val="FirstParagraph"/>
      </w:pPr>
      <w:r>
        <w:t xml:space="preserve">The deterministic baseline is useful for reproducibility checks but insufficient for uncertainty estimation. We therefore run a seed-stratified protocol with seeds</w:t>
      </w:r>
      <w:r>
        <w:t xml:space="preserve"> </w:t>
      </w:r>
      <m:oMath>
        <m:r>
          <m:rPr>
            <m:sty m:val="p"/>
          </m:rPr>
          <m:t>{</m:t>
        </m:r>
        <m:r>
          <m:t>11</m:t>
        </m:r>
        <m:r>
          <m:rPr>
            <m:sty m:val="p"/>
          </m:rPr>
          <m:t>,</m:t>
        </m:r>
        <m:r>
          <m:t>42</m:t>
        </m:r>
        <m:r>
          <m:rPr>
            <m:sty m:val="p"/>
          </m:rPr>
          <m:t>,</m:t>
        </m:r>
        <m:r>
          <m:t>123</m:t>
        </m:r>
        <m:r>
          <m:rPr>
            <m:sty m:val="p"/>
          </m:rPr>
          <m:t>}</m:t>
        </m:r>
      </m:oMath>
      <w:r>
        <w:t xml:space="preserve"> </w:t>
      </w:r>
      <w:r>
        <w:t xml:space="preserve">where each seed controls:</w:t>
      </w:r>
    </w:p>
    <w:p>
      <w:pPr>
        <w:numPr>
          <w:ilvl w:val="0"/>
          <w:numId w:val="1004"/>
        </w:numPr>
      </w:pPr>
      <w:r>
        <w:t xml:space="preserve">feature-row sampling in synthetic corpus construction,</w:t>
      </w:r>
    </w:p>
    <w:p>
      <w:pPr>
        <w:numPr>
          <w:ilvl w:val="0"/>
          <w:numId w:val="1004"/>
        </w:numPr>
      </w:pPr>
      <w:r>
        <w:t xml:space="preserve">model parameter initialization,</w:t>
      </w:r>
    </w:p>
    <w:p>
      <w:pPr>
        <w:numPr>
          <w:ilvl w:val="0"/>
          <w:numId w:val="1004"/>
        </w:numPr>
      </w:pPr>
      <w:r>
        <w:t xml:space="preserve">DataLoader shuffling order.</w:t>
      </w:r>
    </w:p>
    <w:p>
      <w:pPr>
        <w:pStyle w:val="FirstParagraph"/>
      </w:pPr>
      <w:r>
        <w:t xml:space="preserve">For each seed, the corpus is regenerated once and reused across the five ablation settings. This yields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replicates per setting with matched protocol and controlled budget.</w:t>
      </w:r>
    </w:p>
    <w:p>
      <w:pPr>
        <w:pStyle w:val="BodyText"/>
      </w:pPr>
      <w:r>
        <w:t xml:space="preserve">Confidence intervals are reported as half-widths using Student-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e>
            <m:sub>
              <m:r>
                <m:t>95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</w:p>
    <w:bookmarkStart w:id="48" w:name="tab:fixed_hparams"/>
    <w:p>
      <w:pPr>
        <w:pStyle w:val="TableCaption"/>
      </w:pPr>
      <w:r>
        <w:t xml:space="preserve">Fixed Hyperparameters for Both Baseline and Multi-Seed Ablations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Hyperparameters for Both Baseline and Multi-Seed Abla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steps per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length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dimension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Heads /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 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, wd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cap per feature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 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</w:tr>
    </w:tbl>
    <w:bookmarkEnd w:id="48"/>
    <w:bookmarkEnd w:id="49"/>
    <w:bookmarkStart w:id="50" w:name="ablation-axes"/>
    <w:p>
      <w:pPr>
        <w:pStyle w:val="Heading2"/>
      </w:pPr>
      <w:r>
        <w:t xml:space="preserve">Ablation Axes</w:t>
      </w:r>
    </w:p>
    <w:p>
      <w:pPr>
        <w:pStyle w:val="FirstParagraph"/>
      </w:pPr>
      <w:r>
        <w:t xml:space="preserve">We study two factors under fixed remaining hyperparameters:</w:t>
      </w:r>
    </w:p>
    <w:p>
      <w:pPr>
        <w:numPr>
          <w:ilvl w:val="0"/>
          <w:numId w:val="1005"/>
        </w:numPr>
      </w:pPr>
      <w:r>
        <w:t xml:space="preserve">mask ratio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}</m:t>
        </m:r>
      </m:oMath>
      <w:r>
        <w:t xml:space="preserve"> </w:t>
      </w:r>
      <w:r>
        <w:t xml:space="preserve">at patch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</w:p>
    <w:p>
      <w:pPr>
        <w:numPr>
          <w:ilvl w:val="0"/>
          <w:numId w:val="1005"/>
        </w:numPr>
      </w:pPr>
      <w:r>
        <w:t xml:space="preserve">patch length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at mask ratio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bookmarkEnd w:id="50"/>
    <w:bookmarkEnd w:id="51"/>
    <w:bookmarkStart w:id="69" w:name="results"/>
    <w:p>
      <w:pPr>
        <w:pStyle w:val="Heading1"/>
      </w:pPr>
      <w:r>
        <w:t xml:space="preserve">Results</w:t>
      </w:r>
    </w:p>
    <w:bookmarkStart w:id="54" w:name="single-seed-baseline-seed-42"/>
    <w:p>
      <w:pPr>
        <w:pStyle w:val="Heading2"/>
      </w:pPr>
      <w:r>
        <w:t xml:space="preserve">Single-Seed Baseline (Seed = 42)</w:t>
      </w:r>
    </w:p>
    <w:p>
      <w:pPr>
        <w:pStyle w:val="FirstParagraph"/>
      </w:pPr>
      <w:r>
        <w:t xml:space="preserve">Table </w:t>
      </w:r>
      <w:hyperlink w:anchor="tab:mask_ablat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Table </w:t>
      </w:r>
      <w:hyperlink w:anchor="tab:patch_ablatio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summarize the deterministic baseline. In that single-seed baseline, patch length 8 produced an extreme instability event.</w:t>
      </w:r>
    </w:p>
    <w:bookmarkStart w:id="52" w:name="tab:mask_ablation"/>
    <w:p>
      <w:pPr>
        <w:pStyle w:val="TableCaption"/>
      </w:pPr>
      <w:r>
        <w:t xml:space="preserve">Single-Seed Baseline: Mask-Ratio Ablation (Patch Length = 16)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ngle-Seed Baseline: Mask-Ratio Ablation (Patch Length = 16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Mask Ratio</w:t>
            </w:r>
            <w: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Masked 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Epoch Time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1.6166</w:t>
            </w:r>
          </w:p>
        </w:tc>
      </w:tr>
    </w:tbl>
    <w:bookmarkEnd w:id="52"/>
    <w:bookmarkStart w:id="53" w:name="tab:patch_ablation"/>
    <w:p>
      <w:pPr>
        <w:pStyle w:val="TableCaption"/>
      </w:pPr>
      <w:r>
        <w:t xml:space="preserve">Single-Seed Baseline: Patch-Length Ablation (Mask Ratio = 0.4)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ngle-Seed Baseline: Patch-Length Ablation (Mask Ratio = 0.4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Patch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Tokens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Masked 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Epoch Time 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2.8254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14497.09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12848.49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9853.74</w:t>
            </w:r>
          </w:p>
        </w:tc>
      </w:tr>
    </w:tbl>
    <w:bookmarkEnd w:id="53"/>
    <w:bookmarkEnd w:id="54"/>
    <w:bookmarkStart w:id="56" w:name="multi-seed-mask-ratio-analysis"/>
    <w:p>
      <w:pPr>
        <w:pStyle w:val="Heading2"/>
      </w:pPr>
      <w:r>
        <w:t xml:space="preserve">Multi-Seed Mask-Ratio Analysis</w:t>
      </w:r>
    </w:p>
    <w:p>
      <w:pPr>
        <w:pStyle w:val="FirstParagraph"/>
      </w:pPr>
      <w:r>
        <w:t xml:space="preserve">Table </w:t>
      </w:r>
      <w:hyperlink w:anchor="tab:mask_multise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shows that under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seed-stratified repeats, the three tested mask ratios are close in mean loss. The ordering slightly favors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0.2</m:t>
        </m:r>
      </m:oMath>
      <w:r>
        <w:t xml:space="preserve">, but confidence intervals are wide relative to mean differences.</w:t>
      </w:r>
    </w:p>
    <w:bookmarkStart w:id="55" w:name="tab:mask_multiseed"/>
    <w:p>
      <w:pPr>
        <w:pStyle w:val="TableCaption"/>
      </w:pPr>
      <w:r>
        <w:t xml:space="preserve">Multi-Seed Mask-Ratio Results (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Patch Length = 16)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ulti-Seed Mask-Ratio Results (n=3, Patch Length = 16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 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  <m:oMath>
              <m:sSub>
                <m:e>
                  <m:r>
                    <m:t>​</m:t>
                  </m:r>
                </m:e>
                <m:sub>
                  <m:r>
                    <m:t>95</m:t>
                  </m:r>
                </m:sub>
              </m:sSub>
            </m:oMath>
            <w:r>
              <w:t xml:space="preserve"> </w:t>
            </w:r>
            <w:r>
              <w:t xml:space="preserve">HW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1.4642</w:t>
            </w:r>
          </w:p>
        </w:tc>
      </w:tr>
    </w:tbl>
    <w:bookmarkEnd w:id="55"/>
    <w:bookmarkEnd w:id="56"/>
    <w:bookmarkStart w:id="58" w:name="multi-seed-patch-length-analysis"/>
    <w:p>
      <w:pPr>
        <w:pStyle w:val="Heading2"/>
      </w:pPr>
      <w:r>
        <w:t xml:space="preserve">Multi-Seed Patch-Length Analysis</w:t>
      </w:r>
    </w:p>
    <w:p>
      <w:pPr>
        <w:pStyle w:val="FirstParagraph"/>
      </w:pPr>
      <w:r>
        <w:t xml:space="preserve">Table </w:t>
      </w:r>
      <w:hyperlink w:anchor="tab:patch_multisee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indicates that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gives the lowest mean masked MSE and the shortest epoch time among tested patch sizes. Patch length 8 remains the worst mean objective and slowest runtime.</w:t>
      </w:r>
    </w:p>
    <w:bookmarkStart w:id="57" w:name="tab:patch_multiseed"/>
    <w:p>
      <w:pPr>
        <w:pStyle w:val="TableCaption"/>
      </w:pPr>
      <w:r>
        <w:t xml:space="preserve">Multi-Seed Patch-Length Results (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Mask Ratio = 0.4)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ulti-Seed Patch-Length Results (n=3, Mask Ratio = 0.4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 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  <m:oMath>
              <m:sSub>
                <m:e>
                  <m:r>
                    <m:t>​</m:t>
                  </m:r>
                </m:e>
                <m:sub>
                  <m:r>
                    <m:t>95</m:t>
                  </m:r>
                </m:sub>
              </m:sSub>
            </m:oMath>
            <w:r>
              <w:t xml:space="preserve"> </w:t>
            </w:r>
            <w:r>
              <w:t xml:space="preserve">HW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15656.90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13884.19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11458.53</w:t>
            </w:r>
          </w:p>
        </w:tc>
      </w:tr>
    </w:tbl>
    <w:bookmarkEnd w:id="57"/>
    <w:bookmarkEnd w:id="58"/>
    <w:bookmarkStart w:id="60" w:name="X589b2b03f70bc4ccb1082e532a2f33117690a70"/>
    <w:p>
      <w:pPr>
        <w:pStyle w:val="Heading2"/>
      </w:pPr>
      <w:r>
        <w:t xml:space="preserve">Effect-Size View Relative to Baseline Configuration</w:t>
      </w:r>
    </w:p>
    <w:p>
      <w:pPr>
        <w:pStyle w:val="FirstParagraph"/>
      </w:pPr>
      <w:r>
        <w:t xml:space="preserve">Using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=</m:t>
            </m:r>
            <m:r>
              <m:t>16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=</m:t>
            </m:r>
            <m:r>
              <m:t>0.4</m:t>
            </m:r>
          </m:e>
        </m:d>
      </m:oMath>
      <w:r>
        <w:t xml:space="preserve"> </w:t>
      </w:r>
      <w:r>
        <w:t xml:space="preserve">as baseline, Table </w:t>
      </w:r>
      <w:hyperlink w:anchor="tab:effec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reports relative effects. Patch length changes dominate mask-ratio changes in this budget.</w:t>
      </w:r>
    </w:p>
    <w:bookmarkStart w:id="59" w:name="tab:effects"/>
    <w:p>
      <w:pPr>
        <w:pStyle w:val="TableCaption"/>
      </w:pPr>
      <w:r>
        <w:t xml:space="preserve">Relative Effects vs Baseline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=</m:t>
            </m:r>
            <m:r>
              <m:t>16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=</m:t>
            </m:r>
            <m:r>
              <m:t>0.4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Relative Effects vs Baseline (P=16,\rho=0.4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t xml:space="preserve">MSE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4.83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1.77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</w:tr>
    </w:tbl>
    <w:bookmarkEnd w:id="59"/>
    <w:bookmarkEnd w:id="60"/>
    <w:bookmarkStart w:id="61" w:name="outlier-reconciliation"/>
    <w:p>
      <w:pPr>
        <w:pStyle w:val="Heading2"/>
      </w:pPr>
      <w:r>
        <w:t xml:space="preserve">Outlier Reconciliation</w:t>
      </w:r>
    </w:p>
    <w:p>
      <w:pPr>
        <w:pStyle w:val="FirstParagraph"/>
      </w:pPr>
      <w:r>
        <w:t xml:space="preserve">The single-seed baseline recorded a catastrophic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outlier. The multi-seed protocol did not consistently reproduce that magnitude of failure. This suggests that the baseline divergence reflects a specific interaction among sampled synthetic rows, initialization, and short budget rather than an invariant property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. Practically, the more robust claim is weaker but still meaningful: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less favorable than 16 and 32 under this budget, even when catastrophic instability is not consistently observed.</w:t>
      </w:r>
    </w:p>
    <w:bookmarkEnd w:id="61"/>
    <w:bookmarkStart w:id="62" w:name="compute-normalized-interpretation"/>
    <w:p>
      <w:pPr>
        <w:pStyle w:val="Heading2"/>
      </w:pPr>
      <w:r>
        <w:t xml:space="preserve">Compute-Normalized Interpretation</w:t>
      </w:r>
    </w:p>
    <w:p>
      <w:pPr>
        <w:pStyle w:val="FirstParagraph"/>
      </w:pPr>
      <w:r>
        <w:t xml:space="preserve">The empirical results are consistent with the objective in</w:t>
      </w:r>
      <w:r>
        <w:t xml:space="preserve"> </w:t>
      </w:r>
      <w:hyperlink w:anchor="eq:compute_obj">
        <w:r>
          <w:rPr>
            <w:rStyle w:val="Hyperlink"/>
          </w:rPr>
          <w:t xml:space="preserve">[eq:compute_obj]</w:t>
        </w:r>
      </w:hyperlink>
      <w:r>
        <w:t xml:space="preserve">. Relative to baseline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=</m:t>
            </m:r>
            <m:r>
              <m:t>16</m:t>
            </m:r>
          </m:e>
        </m:d>
      </m:oMath>
      <w:r>
        <w:t xml:space="preserve">, moving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improves loss and reduces runtime. Moving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increases runtime substantially and worsens mean loss. Therefore, under nonzero</w:t>
      </w:r>
      <w:r>
        <w:t xml:space="preserve"> </w:t>
      </w:r>
      <m:oMath>
        <m:r>
          <m:t>λ</m:t>
        </m:r>
      </m:oMath>
      <w:r>
        <w:t xml:space="preserve">, the compute-normalized objective strongly prefers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in this experiment.</w:t>
      </w:r>
    </w:p>
    <w:bookmarkEnd w:id="62"/>
    <w:bookmarkStart w:id="64" w:name="stability-efficiency-frontier"/>
    <w:p>
      <w:pPr>
        <w:pStyle w:val="Heading2"/>
      </w:pPr>
      <w:r>
        <w:t xml:space="preserve">Stability-Efficiency Frontier</w:t>
      </w:r>
    </w:p>
    <w:p>
      <w:pPr>
        <w:pStyle w:val="FirstParagraph"/>
      </w:pPr>
      <w:r>
        <w:t xml:space="preserve">Mean loss alone is not sufficient for deployment-oriented selection. We therefore derive two additional diagnostics from the multi-seed aggregates: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is mean masked MSE,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its sample standard deviation,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is mean epoch time for configuration</w:t>
      </w:r>
      <w:r>
        <w:t xml:space="preserve"> </w:t>
      </w:r>
      <m:oMath>
        <m:r>
          <m:t>c</m:t>
        </m:r>
      </m:oMath>
      <w:r>
        <w:t xml:space="preserve">. Lower CV indicates greater seed-level stability; larger SEI indicates better joint objective-time efficiency.</w:t>
      </w:r>
    </w:p>
    <w:p>
      <w:pPr>
        <w:pStyle w:val="BodyText"/>
      </w:pPr>
      <w:r>
        <w:t xml:space="preserve">Table </w:t>
      </w:r>
      <w:hyperlink w:anchor="tab:frontier_metric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shows three useful properties. First, patch-32 has the lowest variability (CV</w:t>
      </w:r>
      <w:r>
        <w:t xml:space="preserve"> </w:t>
      </w:r>
      <m:oMath>
        <m:r>
          <m:rPr>
            <m:sty m:val="p"/>
          </m:rPr>
          <m:t>=</m:t>
        </m:r>
        <m:r>
          <m:t>0.0608</m:t>
        </m:r>
      </m:oMath>
      <w:r>
        <w:t xml:space="preserve">). Second, patch-32 yields the strongest joint efficiency (SEI</w:t>
      </w:r>
      <w:r>
        <w:t xml:space="preserve"> </w:t>
      </w:r>
      <m:oMath>
        <m:r>
          <m:rPr>
            <m:sty m:val="p"/>
          </m:rPr>
          <m:t>=</m:t>
        </m:r>
        <m:r>
          <m:t>3.0638</m:t>
        </m:r>
      </m:oMath>
      <w:r>
        <w:t xml:space="preserve">), which is</w:t>
      </w:r>
      <w:r>
        <w:t xml:space="preserve"> </w:t>
      </w:r>
      <m:oMath>
        <m:r>
          <m:t>1.696</m:t>
        </m:r>
        <m:r>
          <m:rPr>
            <m:sty m:val="p"/>
          </m:rPr>
          <m:t>×</m:t>
        </m:r>
      </m:oMath>
      <w:r>
        <w:t xml:space="preserve"> </w:t>
      </w:r>
      <w:r>
        <w:t xml:space="preserve">the baseline patch-16 setting and</w:t>
      </w:r>
      <w:r>
        <w:t xml:space="preserve"> </w:t>
      </w:r>
      <m:oMath>
        <m:r>
          <m:t>3.153</m:t>
        </m:r>
        <m:r>
          <m:rPr>
            <m:sty m:val="p"/>
          </m:rPr>
          <m:t>×</m:t>
        </m:r>
      </m:oMath>
      <w:r>
        <w:t xml:space="preserve"> </w:t>
      </w:r>
      <w:r>
        <w:t xml:space="preserve">patch-8. Third, mask-ratio variants at patch-16 are nearly tied on both CV and SEI, reinforcing that patch length is the dominant axis under this budget.</w:t>
      </w:r>
    </w:p>
    <w:bookmarkStart w:id="63" w:name="tab:frontier_metrics"/>
    <w:p>
      <w:pPr>
        <w:pStyle w:val="TableCaption"/>
      </w:pPr>
      <w:r>
        <w:t xml:space="preserve">Derived Stability and Efficiency Metrics from Multi-Seed Aggregates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rived Stability and Efficiency Metrics from Multi-Seed Aggregat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SEI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0.3721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1.7284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1.8067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0.3757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3.0638</w:t>
            </w:r>
          </w:p>
        </w:tc>
      </w:tr>
    </w:tbl>
    <w:bookmarkEnd w:id="63"/>
    <w:bookmarkEnd w:id="64"/>
    <w:bookmarkStart w:id="68" w:name="X4a376e5f0d6572845b98c556749bae135bead94"/>
    <w:p>
      <w:pPr>
        <w:pStyle w:val="Heading2"/>
      </w:pPr>
      <w:r>
        <w:t xml:space="preserve">Final Checkpoint Sweep on Long-Run Training Artifacts</w:t>
      </w:r>
    </w:p>
    <w:p>
      <w:pPr>
        <w:pStyle w:val="FirstParagraph"/>
      </w:pPr>
      <w:r>
        <w:t xml:space="preserve">To move beyond short-budget ablations, we evaluated 15 late-training checkpoints (epochs 60–62; steps 2,040,000 to 2,110,000). Evaluation uses a deterministic validation subset of 8192 windows built from 13,899 synthesized series across 44 feature tables, with fixed mask ratio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Table </w:t>
      </w:r>
      <w:hyperlink w:anchor="tab:checkpoint_sweep_summar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reports the main aggregate outcomes. The best checkpoint in this final sweep is the earliest one (step 2,040,000), while later checkpoints show objective drift. Figure </w:t>
      </w:r>
      <w:hyperlink w:anchor="fig:checkpoint_tren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visualizes this trajectory, and Figure </w:t>
      </w:r>
      <w:hyperlink w:anchor="fig:checkpoint_frontier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speed-quality trade-off across checkpoints.</w:t>
      </w:r>
    </w:p>
    <w:bookmarkStart w:id="65" w:name="tab:checkpoint_sweep_summary"/>
    <w:p>
      <w:pPr>
        <w:pStyle w:val="TableCaption"/>
      </w:pPr>
      <w:r>
        <w:t xml:space="preserve">Final-Checkpoint Sweep Summary (15 Checkpoints)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l-Checkpoint Sweep Summary (15 Checkpoint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2.040M–2.110M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masked 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0.3304 @ step 2.040M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masked 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0.3372 @ step 2.110M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drift (final vs 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masked MSE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0.3343</m:t>
              </m:r>
              <m:r>
                <m:rPr>
                  <m:sty m:val="p"/>
                </m:rPr>
                <m:t>±</m:t>
              </m:r>
              <m:r>
                <m:t>0.0021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throughput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9106.68</m:t>
              </m:r>
              <m:r>
                <m:rPr>
                  <m:sty m:val="p"/>
                </m:rPr>
                <m:t>±</m:t>
              </m:r>
              <m:r>
                <m:t>97.85</m:t>
              </m:r>
            </m:oMath>
            <w:r>
              <w:t xml:space="preserve"> </w:t>
            </w:r>
            <w:r>
              <w:t xml:space="preserve">token/s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Full-token MSE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8.687 to 20.458</w:t>
            </w:r>
          </w:p>
        </w:tc>
      </w:tr>
    </w:tbl>
    <w:bookmarkEnd w:id="65"/>
    <w:bookmarkStart w:id="66" w:name="fig:checkpoint_tren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Late-checkpoint objective trajectory (dual-axis): full-token MSE (left axis) and masked MSE (right axis) over global step.</w:t>
      </w:r>
    </w:p>
    <w:bookmarkEnd w:id="66"/>
    <w:bookmarkStart w:id="67" w:name="fig:checkpoint_fronti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Speed-quality frontier for late checkpoints using masked MSE as quality and token throughput as speed.</w:t>
      </w:r>
    </w:p>
    <w:bookmarkEnd w:id="67"/>
    <w:p>
      <w:pPr>
        <w:pStyle w:val="BodyText"/>
      </w:pPr>
      <w:r>
        <w:t xml:space="preserve">The masked objective exhibits strong positive correlation with training step in this late regime (Pearson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0.973</m:t>
        </m:r>
      </m:oMath>
      <w:r>
        <w:t xml:space="preserve">), indicating that checkpoint recency is not a reliable proxy for objective quality here. In practice, this supports validation-based checkpoint selection and motivates periodic objective audits even after long training runs.</w:t>
      </w:r>
    </w:p>
    <w:bookmarkEnd w:id="68"/>
    <w:bookmarkEnd w:id="69"/>
    <w:bookmarkStart w:id="73" w:name="resource-footprint-analysis"/>
    <w:p>
      <w:pPr>
        <w:pStyle w:val="Heading1"/>
      </w:pPr>
      <w:r>
        <w:t xml:space="preserve">Resource Footprint Analysis</w:t>
      </w:r>
    </w:p>
    <w:p>
      <w:pPr>
        <w:pStyle w:val="FirstParagraph"/>
      </w:pPr>
      <w:r>
        <w:t xml:space="preserve">Beyond scalar epoch time, patch length changes the shape of the runtime bottleneck. Let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denote attention heads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bytes per scalar (4 for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). A first-order attention-map memory estimate per forward pass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rPr>
                  <m:nor/>
                  <m:sty m:val="p"/>
                </m:rPr>
                <m:t>attn</m:t>
              </m:r>
            </m:sub>
          </m:sSub>
          <m:r>
            <m:rPr>
              <m:sty m:val="p"/>
            </m:rPr>
            <m:t>≈</m:t>
          </m:r>
          <m:r>
            <m:t>B</m:t>
          </m:r>
          <m:r>
            <m:t>M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estimate ignores optimizer states and activation checkpointing, but it captures the patch-length trend because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enters quadratically.</w:t>
      </w:r>
    </w:p>
    <w:p>
      <w:pPr>
        <w:pStyle w:val="BodyText"/>
      </w:pPr>
      <w:r>
        <w:t xml:space="preserve">For the fixed configuration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=</m:t>
            </m:r>
            <m:r>
              <m:t>32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4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=</m:t>
            </m:r>
            <m:r>
              <m:t>8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512</m:t>
            </m:r>
          </m:e>
        </m:d>
      </m:oMath>
      <w:r>
        <w:t xml:space="preserve">, the attention-map contribution is shown in Table </w:t>
      </w:r>
      <w:hyperlink w:anchor="tab:attn_mem">
        <w:r>
          <w:rPr>
            <w:rStyle w:val="Hyperlink"/>
          </w:rPr>
          <w:t xml:space="preserve">11</w:t>
        </w:r>
      </w:hyperlink>
      <w:r>
        <w:t xml:space="preserve">. The ratio follows</w:t>
      </w:r>
      <w:r>
        <w:t xml:space="preserve"> </w:t>
      </w:r>
      <w:hyperlink w:anchor="eq:ratio">
        <w:r>
          <w:rPr>
            <w:rStyle w:val="Hyperlink"/>
          </w:rPr>
          <w:t xml:space="preserve">[eq:ratio]</w:t>
        </w:r>
      </w:hyperlink>
      <w:r>
        <w:t xml:space="preserve"> </w:t>
      </w:r>
      <w:r>
        <w:t xml:space="preserve">exactly.</w:t>
      </w:r>
    </w:p>
    <w:bookmarkStart w:id="70" w:name="tab:attn_mem"/>
    <w:p>
      <w:pPr>
        <w:pStyle w:val="TableCaption"/>
      </w:pPr>
      <w:r>
        <w:t xml:space="preserve">Approximate Attention-Map Memory per Forward Pass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roximate Attention-Map Memory per Forward Pas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Patch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Token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Relative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attn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16 MB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4 MB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1 MB</w:t>
            </w:r>
          </w:p>
        </w:tc>
      </w:tr>
    </w:tbl>
    <w:bookmarkEnd w:id="70"/>
    <w:p>
      <w:pPr>
        <w:pStyle w:val="BodyText"/>
      </w:pPr>
      <w:r>
        <w:t xml:space="preserve">The throughput table and memory estimate together explain why patch-32 is favored in this budget: it reduces both attention memory pressure and epoch runtime while retaining enough representational capacity for the latent objective.</w:t>
      </w:r>
    </w:p>
    <w:bookmarkStart w:id="72" w:name="Xb3f02d8ff119677654000b9c4cdc911d7a8e5e4"/>
    <w:p>
      <w:pPr>
        <w:pStyle w:val="Heading2"/>
      </w:pPr>
      <w:r>
        <w:t xml:space="preserve">Patch-Dependent Parameterization and Fairness</w:t>
      </w:r>
    </w:p>
    <w:p>
      <w:pPr>
        <w:pStyle w:val="FirstParagraph"/>
      </w:pPr>
      <w:r>
        <w:t xml:space="preserve">Patch ablations are close to, but not exactly, iso-parameter in this implementation. The patch-dependent portion of model parameters is the sum of Conv1d patch embedding parameters and positional embedding parameters: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d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512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, this gives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patch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8</m:t>
            </m:r>
          </m:e>
        </m:d>
        <m:r>
          <m:rPr>
            <m:sty m:val="p"/>
          </m:rPr>
          <m:t>=</m:t>
        </m:r>
        <m:r>
          <m:t>9344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patch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patch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32</m:t>
            </m:r>
          </m:e>
        </m:d>
        <m:r>
          <m:rPr>
            <m:sty m:val="p"/>
          </m:rPr>
          <m:t>=</m:t>
        </m:r>
        <m:r>
          <m:t>6272</m:t>
        </m:r>
      </m:oMath>
      <w:r>
        <w:t xml:space="preserve">. The run artifacts confirm total-parameter counts of 835</w:t>
      </w:r>
      <w:r>
        <w:t xml:space="preserve">,</w:t>
      </w:r>
      <w:r>
        <w:t xml:space="preserve">586 for patch-8 and 832</w:t>
      </w:r>
      <w:r>
        <w:t xml:space="preserve">,</w:t>
      </w:r>
      <w:r>
        <w:t xml:space="preserve">514 for patch-16/32.</w:t>
      </w:r>
    </w:p>
    <w:bookmarkStart w:id="71" w:name="tab:param_count"/>
    <w:p>
      <w:pPr>
        <w:pStyle w:val="TableCaption"/>
      </w:pPr>
      <w:r>
        <w:t xml:space="preserve">Measured Parameter Counts Across Patch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arameter Counts Across Patch Sett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Patch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Tokens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Total Params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Relative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835</w:t>
            </w:r>
            <w:r>
              <w:t xml:space="preserve">,</w:t>
            </w:r>
            <w:r>
              <w:t xml:space="preserve">586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+0.369%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832</w:t>
            </w:r>
            <w:r>
              <w:t xml:space="preserve">,</w:t>
            </w:r>
            <w:r>
              <w:t xml:space="preserve">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832</w:t>
            </w:r>
            <w:r>
              <w:t xml:space="preserve">,</w:t>
            </w:r>
            <w:r>
              <w:t xml:space="preserve">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0.000%</w:t>
            </w:r>
          </w:p>
        </w:tc>
      </w:tr>
    </w:tbl>
    <w:bookmarkEnd w:id="71"/>
    <w:p>
      <w:pPr>
        <w:pStyle w:val="BodyText"/>
      </w:pPr>
      <w:r>
        <w:t xml:space="preserve">The parameter mismatch is very small, so the observed objective and runtime differences are primarily attributable to tokenization granularity and attention scaling, not to large capacity disparities.</w:t>
      </w:r>
    </w:p>
    <w:bookmarkEnd w:id="72"/>
    <w:bookmarkEnd w:id="73"/>
    <w:bookmarkStart w:id="75" w:name="X95963742df872a9d9adc4454714bd316a54863c"/>
    <w:p>
      <w:pPr>
        <w:pStyle w:val="Heading1"/>
      </w:pPr>
      <w:r>
        <w:t xml:space="preserve">Step Budget vs. Wall-Clock Budget Interpretation</w:t>
      </w:r>
    </w:p>
    <w:p>
      <w:pPr>
        <w:pStyle w:val="FirstParagraph"/>
      </w:pPr>
      <w:r>
        <w:t xml:space="preserve">All ablations in this study are step-matched: each setting runs exactly 20 optimizer steps. This isolates objective behavior per update but does not equalize wall-clock optimization opportunity. Because step time depends strongly on patch length, fixed-time conclusions can differ from fixed-step conclusions.</w:t>
      </w:r>
    </w:p>
    <w:p>
      <w:pPr>
        <w:pStyle w:val="BodyText"/>
      </w:pPr>
      <w:r>
        <w:t xml:space="preserve">Let mean epoch time for configuration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rPr>
                <m:nor/>
                <m:sty m:val="p"/>
              </m:rPr>
              <m:t>epoch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and epoch step count be</w:t>
      </w:r>
      <w:r>
        <w:t xml:space="preserve"> </w:t>
      </w:r>
      <m:oMath>
        <m:r>
          <m:t>S</m:t>
        </m:r>
      </m:oMath>
      <w:r>
        <w:t xml:space="preserve">. Mean step time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step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epoch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wall-clock budget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seconds, expected available optimizer steps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S</m:t>
              </m:r>
            </m:e>
            <m:sub>
              <m:r>
                <m:rPr>
                  <m:nor/>
                  <m:sty m:val="p"/>
                </m:rPr>
                <m:t>wall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step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 measured means from Table </w:t>
      </w:r>
      <w:hyperlink w:anchor="tab:patch_multisee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, Table </w:t>
      </w:r>
      <w:hyperlink w:anchor="tab:wallclock_steps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gives concrete budget translations.</w:t>
      </w:r>
    </w:p>
    <w:bookmarkStart w:id="74" w:name="tab:wallclock_steps"/>
    <w:p>
      <w:pPr>
        <w:pStyle w:val="TableCaption"/>
      </w:pPr>
      <w:r>
        <w:t xml:space="preserve">Equivalent Optimizer Steps Under Fixed Wall-Clock Budgets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valent Optimizer Steps Under Fixed Wall-Clock Budge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Patch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Steps in 30s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Steps in 60s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Steps in 120s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2684</w:t>
            </w:r>
          </w:p>
        </w:tc>
      </w:tr>
    </w:tbl>
    <w:bookmarkEnd w:id="74"/>
    <w:p>
      <w:pPr>
        <w:pStyle w:val="BodyText"/>
      </w:pPr>
      <w:r>
        <w:t xml:space="preserve">At a 60-second budget, patch-32 receives about</w:t>
      </w:r>
      <w:r>
        <w:t xml:space="preserve"> </w:t>
      </w:r>
      <m:oMath>
        <m:r>
          <m:t>1.65</m:t>
        </m:r>
        <m:r>
          <m:rPr>
            <m:sty m:val="p"/>
          </m:rPr>
          <m:t>×</m:t>
        </m:r>
      </m:oMath>
      <w:r>
        <w:t xml:space="preserve"> </w:t>
      </w:r>
      <w:r>
        <w:t xml:space="preserve">more updates than patch-16 and</w:t>
      </w:r>
      <w:r>
        <w:t xml:space="preserve"> </w:t>
      </w:r>
      <m:oMath>
        <m:r>
          <m:t>2.93</m:t>
        </m:r>
        <m:r>
          <m:rPr>
            <m:sty m:val="p"/>
          </m:rPr>
          <m:t>×</m:t>
        </m:r>
      </m:oMath>
      <w:r>
        <w:t xml:space="preserve"> </w:t>
      </w:r>
      <w:r>
        <w:t xml:space="preserve">more than patch-8. Therefore, fixed-step and fixed-time evaluations answer different questions: fixed-step isolates per-update behavior, while fixed-time reflects practical training throughput. Reporting both perspectives is recommended for fair cross-configuration comparison.</w:t>
      </w:r>
    </w:p>
    <w:bookmarkEnd w:id="75"/>
    <w:bookmarkStart w:id="83" w:name="statistical-and-methodological-validity"/>
    <w:p>
      <w:pPr>
        <w:pStyle w:val="Heading1"/>
      </w:pPr>
      <w:r>
        <w:t xml:space="preserve">Statistical and Methodological Validity</w:t>
      </w:r>
    </w:p>
    <w:bookmarkStart w:id="76" w:name="internal-validity"/>
    <w:p>
      <w:pPr>
        <w:pStyle w:val="Heading2"/>
      </w:pPr>
      <w:r>
        <w:t xml:space="preserve">Internal Validity</w:t>
      </w:r>
    </w:p>
    <w:p>
      <w:pPr>
        <w:pStyle w:val="FirstParagraph"/>
      </w:pPr>
      <w:r>
        <w:t xml:space="preserve">We controlled optimizer, budget, architecture, and feature-processing settings. In the multi-seed study, each seed redefines both data sampling and initialization, so replicate variance includes both components.</w:t>
      </w:r>
    </w:p>
    <w:bookmarkEnd w:id="76"/>
    <w:bookmarkStart w:id="77" w:name="construct-validity"/>
    <w:p>
      <w:pPr>
        <w:pStyle w:val="Heading2"/>
      </w:pPr>
      <w:r>
        <w:t xml:space="preserve">Construct Validity</w:t>
      </w:r>
    </w:p>
    <w:p>
      <w:pPr>
        <w:pStyle w:val="FirstParagraph"/>
      </w:pPr>
      <w:r>
        <w:t xml:space="preserve">The dependent variable is masked latent MSE, not forecasting error. It captures representation reconstruction quality under masking and should not be conflated with direct horizon-forecast skill.</w:t>
      </w:r>
    </w:p>
    <w:bookmarkEnd w:id="77"/>
    <w:bookmarkStart w:id="78" w:name="precision-limits"/>
    <w:p>
      <w:pPr>
        <w:pStyle w:val="Heading2"/>
      </w:pPr>
      <w:r>
        <w:t xml:space="preserve">Precision Limits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seeds, confidence intervals are necessarily wide. The role of the current CI analysis is to prevent over-claiming and to identify which effects are large enough to survive small-sample uncertainty.</w:t>
      </w:r>
    </w:p>
    <w:bookmarkEnd w:id="78"/>
    <w:bookmarkStart w:id="80" w:name="Xb3b7032717e6ffa8812c83f0226eef292dbf01e"/>
    <w:p>
      <w:pPr>
        <w:pStyle w:val="Heading2"/>
      </w:pPr>
      <w:r>
        <w:t xml:space="preserve">Matched-Seed Nonparametric Robustness Check</w:t>
      </w:r>
    </w:p>
    <w:p>
      <w:pPr>
        <w:pStyle w:val="FirstParagraph"/>
      </w:pPr>
      <w:r>
        <w:t xml:space="preserve">For patch-length settings at fixed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0.4</m:t>
        </m:r>
      </m:oMath>
      <w:r>
        <w:t xml:space="preserve">, runs are matched by seed and can be analyzed with a Friedman test over per-seed ranks.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seeds,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 compared configurations, 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the rank sum for configuration</w:t>
      </w:r>
      <w:r>
        <w:t xml:space="preserve"> </w:t>
      </w:r>
      <m:oMath>
        <m:r>
          <m:t>j</m:t>
        </m:r>
      </m:oMath>
      <w:r>
        <w:t xml:space="preserve">. The statistic is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N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3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with lower masked MSE ranked better gives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32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0.6667</m:t>
        </m:r>
      </m:oMath>
      <w:r>
        <w:t xml:space="preserve">. The corresponding concordance effect size is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=</m:t>
          </m:r>
          <m:r>
            <m:t>0.1111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 chi-square approximation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0.7165</m:t>
        </m:r>
      </m:oMath>
      <w:r>
        <w:t xml:space="preserve"> </w:t>
      </w:r>
      <w:r>
        <w:t xml:space="preserve">(df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</m:oMath>
      <w:r>
        <w:t xml:space="preserve">).</w:t>
      </w:r>
    </w:p>
    <w:bookmarkStart w:id="79" w:name="tab:friedman_patch"/>
    <w:p>
      <w:pPr>
        <w:pStyle w:val="TableCaption"/>
      </w:pPr>
      <w:r>
        <w:t xml:space="preserve">Friedman Rank Analysis for Patch-Length Settings (</w:t>
      </w:r>
      <m:oMath>
        <m:r>
          <m:t>ρ</m:t>
        </m:r>
        <m:r>
          <m:rPr>
            <m:sty m:val="p"/>
          </m:rPr>
          <m:t>=</m:t>
        </m:r>
        <m:r>
          <m:t>0.4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Rank Analysis for Patch-Length Settings (\rho=0.4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Rank Sum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 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bookmarkEnd w:id="79"/>
    <w:p>
      <w:pPr>
        <w:pStyle w:val="BodyText"/>
      </w:pPr>
      <w:r>
        <w:t xml:space="preserve">This test does not support strong inferential claims, which is expected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 Its value is methodological: it quantifies ranking consistency and confirms that the patch-32 advantage is directional but statistically underpowered in the current budget.</w:t>
      </w:r>
    </w:p>
    <w:bookmarkEnd w:id="80"/>
    <w:bookmarkStart w:id="81" w:name="seed-count-planning"/>
    <w:p>
      <w:pPr>
        <w:pStyle w:val="Heading2"/>
      </w:pPr>
      <w:r>
        <w:t xml:space="preserve">Seed-Count Planning</w:t>
      </w:r>
    </w:p>
    <w:p>
      <w:pPr>
        <w:pStyle w:val="FirstParagraph"/>
      </w:pPr>
      <w:r>
        <w:t xml:space="preserve">Given observed standard deviation</w:t>
      </w:r>
      <w:r>
        <w:t xml:space="preserve"> </w:t>
      </w:r>
      <m:oMath>
        <m:r>
          <m:t>s</m:t>
        </m:r>
      </m:oMath>
      <w:r>
        <w:t xml:space="preserve">, target detectable mean difference</w:t>
      </w:r>
      <w:r>
        <w:t xml:space="preserve"> </w:t>
      </w:r>
      <m:oMath>
        <m:r>
          <m:t>δ</m:t>
        </m:r>
      </m:oMath>
      <w:r>
        <w:t xml:space="preserve">, and approximate normal critical value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</m:oMath>
      <w:r>
        <w:t xml:space="preserve">, a rough planning equation is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0.975</m:t>
                          </m:r>
                        </m:sub>
                      </m:sSub>
                      <m:r>
                        <m:t>s</m:t>
                      </m:r>
                    </m:num>
                    <m:den>
                      <m:r>
                        <m:t>δ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0.038</m:t>
        </m:r>
      </m:oMath>
      <w:r>
        <w:t xml:space="preserve"> </w:t>
      </w:r>
      <w:r>
        <w:t xml:space="preserve">from the mask-ratio repeats: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56</m:t>
        </m:r>
      </m:oMath>
      <w:r>
        <w:t xml:space="preserve"> </w:t>
      </w:r>
      <w:r>
        <w:t xml:space="preserve">seeds,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222</m:t>
        </m:r>
      </m:oMath>
      <w:r>
        <w:t xml:space="preserve"> </w:t>
      </w:r>
      <w:r>
        <w:t xml:space="preserve">seeds.</w:t>
      </w:r>
    </w:p>
    <w:p>
      <w:pPr>
        <w:pStyle w:val="FirstParagraph"/>
      </w:pPr>
      <w:r>
        <w:t xml:space="preserve">This back-of-the-envelope calculation explains 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 characterize large effects (for example patch-length shifts) but is underpowered for small mask-ratio deltas.</w:t>
      </w:r>
    </w:p>
    <w:bookmarkEnd w:id="81"/>
    <w:bookmarkStart w:id="82" w:name="external-validity"/>
    <w:p>
      <w:pPr>
        <w:pStyle w:val="Heading2"/>
      </w:pPr>
      <w:r>
        <w:t xml:space="preserve">External Validity</w:t>
      </w:r>
    </w:p>
    <w:p>
      <w:pPr>
        <w:pStyle w:val="FirstParagraph"/>
      </w:pPr>
      <w:r>
        <w:t xml:space="preserve">The present results arise from feature-bootstrapped univariate pretraining in one constrained corpus setting. External validity to multivariate settings, real-only corpora, and large-horizon zero-shot forecasting remains open.</w:t>
      </w:r>
    </w:p>
    <w:bookmarkEnd w:id="82"/>
    <w:bookmarkEnd w:id="83"/>
    <w:bookmarkStart w:id="84" w:name="Xca6f1b63af1d225ced294fb1ecbb51f7730b206"/>
    <w:p>
      <w:pPr>
        <w:pStyle w:val="Heading1"/>
      </w:pPr>
      <w:r>
        <w:t xml:space="preserve">Decision Analysis Under Small-Sample Uncertainty</w:t>
      </w:r>
    </w:p>
    <w:p>
      <w:pPr>
        <w:pStyle w:val="FirstParagraph"/>
      </w:pPr>
      <w:r>
        <w:t xml:space="preserve">The preceding sections report means, standard deviations, and configuration-wise confidence intervals. For model-selection decisions, pairwise differences versus baseline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=</m:t>
            </m:r>
            <m:r>
              <m:t>16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=</m:t>
            </m:r>
            <m:r>
              <m:t>0.4</m:t>
            </m:r>
          </m:e>
        </m:d>
      </m:oMath>
      <w:r>
        <w:t xml:space="preserve"> </w:t>
      </w:r>
      <w:r>
        <w:t xml:space="preserve">are often more actionable. Let metric difference be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approximate 95%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e>
            <m:sub>
              <m:r>
                <m:t>95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ν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conservative small-sample critical value, Table </w:t>
      </w:r>
      <w:hyperlink w:anchor="tab:pairwise_ci">
        <w:r>
          <w:rPr>
            <w:rStyle w:val="Hyperlink"/>
          </w:rPr>
          <w:t xml:space="preserve">[tab:pairwise_ci]</w:t>
        </w:r>
      </w:hyperlink>
      <w:r>
        <w:t xml:space="preserve"> </w:t>
      </w:r>
      <w:r>
        <w:t xml:space="preserve">summarizes uncertainty for both objective and runtime.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Masked MSE Difference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Epoch Time Difference in Seconds (95% CI)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ρ</m:t>
                  </m:r>
                  <m:r>
                    <m:rPr>
                      <m:sty m:val="p"/>
                    </m:rPr>
                    <m:t>=</m:t>
                  </m:r>
                  <m:r>
                    <m:t>0.2</m:t>
                  </m:r>
                </m:e>
              </m:d>
            </m:oMath>
            <w:r>
              <w:t xml:space="preserve"> </w:t>
            </w:r>
            <w:r>
              <w:t xml:space="preserve">vs baseline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0.0032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0.0860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0.0797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0.0800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0.0305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0.1905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ρ</m:t>
                  </m:r>
                  <m:r>
                    <m:rPr>
                      <m:sty m:val="p"/>
                    </m:rPr>
                    <m:t>=</m:t>
                  </m:r>
                  <m:r>
                    <m:t>0.6</m:t>
                  </m:r>
                </m:e>
              </m:d>
            </m:oMath>
            <w:r>
              <w:t xml:space="preserve"> </w:t>
            </w:r>
            <w:r>
              <w:t xml:space="preserve">vs baseline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0.0005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0.0856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0.0865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0.0109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0.0381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0.0164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ρ</m:t>
                  </m:r>
                  <m:r>
                    <m:rPr>
                      <m:sty m:val="p"/>
                    </m:rPr>
                    <m:t>=</m:t>
                  </m:r>
                  <m:r>
                    <m:t>0.4</m:t>
                  </m:r>
                </m:e>
              </m:d>
            </m:oMath>
            <w:r>
              <w:t xml:space="preserve"> </w:t>
            </w:r>
            <w:r>
              <w:t xml:space="preserve">vs baseline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0.0181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0.0968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0.1330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1.1412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t>1.1018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+</m:t>
                  </m:r>
                  <m:r>
                    <m:t>1.1805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32</m:t>
                  </m:r>
                  <m:r>
                    <m:rPr>
                      <m:sty m:val="p"/>
                    </m:rPr>
                    <m:t>,</m:t>
                  </m:r>
                  <m:r>
                    <m:t>ρ</m:t>
                  </m:r>
                  <m:r>
                    <m:rPr>
                      <m:sty m:val="p"/>
                    </m:rPr>
                    <m:t>=</m:t>
                  </m:r>
                  <m:r>
                    <m:t>0.4</m:t>
                  </m:r>
                </m:e>
              </m:d>
            </m:oMath>
            <w:r>
              <w:t xml:space="preserve"> </w:t>
            </w:r>
            <w:r>
              <w:t xml:space="preserve">vs baseline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0.0102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0.0800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0.0596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0.5810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0.6185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0.5435</m:t>
                  </m:r>
                </m:e>
              </m:d>
            </m:oMath>
          </w:p>
        </w:tc>
      </w:tr>
    </w:tbl>
    <w:p>
      <w:pPr>
        <w:pStyle w:val="BodyText"/>
      </w:pPr>
      <w:r>
        <w:t xml:space="preserve">Two conclusions follow. First, objective-level pairwise differences remain uncertain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because all masked-MSE intervals include zero. Second, runtime effects for patch changes are large and stable: patch-8 is reliably slower and patch-32 is reliably faster than baseline under the tested budget. In practical terms, patch-32 is currently justified by robust compute savings and favorable mean objective, while objective superiority alone should still be treated as provisional until seed count increases.</w:t>
      </w:r>
    </w:p>
    <w:bookmarkEnd w:id="84"/>
    <w:bookmarkStart w:id="89" w:name="X52ff2d3fb9ad798d718273b18077aeb7af3b8ef"/>
    <w:p>
      <w:pPr>
        <w:pStyle w:val="Heading1"/>
      </w:pPr>
      <w:r>
        <w:t xml:space="preserve">Discussion, Limitations, and Threats to Validity</w:t>
      </w:r>
    </w:p>
    <w:bookmarkStart w:id="85" w:name="scope-of-claims"/>
    <w:p>
      <w:pPr>
        <w:pStyle w:val="Heading2"/>
      </w:pPr>
      <w:r>
        <w:t xml:space="preserve">Scope of Claims</w:t>
      </w:r>
    </w:p>
    <w:p>
      <w:pPr>
        <w:pStyle w:val="FirstParagraph"/>
      </w:pPr>
      <w:r>
        <w:t xml:space="preserve">The evidence supports objective-level and compute-level conclusions for this implementation. It does not establish benchmark-level superiority over large-scale decoder-only forecasting foundations such as TimesFM</w:t>
      </w:r>
      <w:r>
        <w:t xml:space="preserve"> </w:t>
      </w:r>
      <w:r>
        <w:t xml:space="preserve">.</w:t>
      </w:r>
    </w:p>
    <w:bookmarkEnd w:id="85"/>
    <w:bookmarkStart w:id="86" w:name="synthetic-data-bias"/>
    <w:p>
      <w:pPr>
        <w:pStyle w:val="Heading2"/>
      </w:pPr>
      <w:r>
        <w:t xml:space="preserve">Synthetic Data Bias</w:t>
      </w:r>
    </w:p>
    <w:p>
      <w:pPr>
        <w:pStyle w:val="FirstParagraph"/>
      </w:pPr>
      <w:r>
        <w:t xml:space="preserve">Feature-bootstrap synthesis preserves coarse descriptors but can miss local motifs, changepoints, and exogenous couplings. The resulting representation space may differ from one learned on raw observational streams.</w:t>
      </w:r>
    </w:p>
    <w:bookmarkEnd w:id="86"/>
    <w:bookmarkStart w:id="87" w:name="budget-and-statistical-power"/>
    <w:p>
      <w:pPr>
        <w:pStyle w:val="Heading2"/>
      </w:pPr>
      <w:r>
        <w:t xml:space="preserve">Budget and Statistical Power</w:t>
      </w:r>
    </w:p>
    <w:p>
      <w:pPr>
        <w:pStyle w:val="FirstParagraph"/>
      </w:pPr>
      <w:r>
        <w:t xml:space="preserve">One epoch and 20 steps prioritize controlled comparisons over asymptotic convergence. The multi-seed extension improves robustness, but stronger inferential claims require larger seed counts and longer training horizons.</w:t>
      </w:r>
    </w:p>
    <w:bookmarkEnd w:id="87"/>
    <w:bookmarkStart w:id="88" w:name="design-implications"/>
    <w:p>
      <w:pPr>
        <w:pStyle w:val="Heading2"/>
      </w:pPr>
      <w:r>
        <w:t xml:space="preserve">Design Implications</w:t>
      </w:r>
    </w:p>
    <w:p>
      <w:pPr>
        <w:pStyle w:val="FirstParagraph"/>
      </w:pPr>
      <w:r>
        <w:t xml:space="preserve">Within this budgeted setup, three implementation implications are immediate:</w:t>
      </w:r>
    </w:p>
    <w:p>
      <w:pPr>
        <w:numPr>
          <w:ilvl w:val="0"/>
          <w:numId w:val="1007"/>
        </w:numPr>
      </w:pPr>
      <w:r>
        <w:t xml:space="preserve">prioritize patch-length search before fine mask-ratio search,</w:t>
      </w:r>
    </w:p>
    <w:p>
      <w:pPr>
        <w:numPr>
          <w:ilvl w:val="0"/>
          <w:numId w:val="1007"/>
        </w:numPr>
      </w:pPr>
      <w:r>
        <w:t xml:space="preserve">treat catastrophic single-seed failures as hypotheses to test, not conclusions,</w:t>
      </w:r>
    </w:p>
    <w:p>
      <w:pPr>
        <w:numPr>
          <w:ilvl w:val="0"/>
          <w:numId w:val="1007"/>
        </w:numPr>
      </w:pPr>
      <w:r>
        <w:t xml:space="preserve">report complete run-level statistics for post-hoc uncertainty analysis.</w:t>
      </w:r>
    </w:p>
    <w:bookmarkEnd w:id="88"/>
    <w:bookmarkEnd w:id="89"/>
    <w:bookmarkStart w:id="9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work presents a reproducible TSFM pretraining study that combines formal objective derivation, complexity analysis, deterministic baselines, multi-seed uncertainty reporting, and long-run checkpoint auditing. The main empirical result is that patch-length choice dominates mask-ratio choice in the tested budget,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outperforming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on both objective quality and runtime. A severe single-seed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instability is observed but not consistently reproduced across seeds, reinforcing the need for seed-stratified reporting. Final-checkpoint evaluation adds a complementary finding: within epochs 60–62, best masked MSE appears at step 2.04M and later checkpoints drift by about 2.04% by step 2.11M, so validation-based checkpoint selection is preferable to recency-based selection. The practical contribution is an auditable framework for objective-level model analysis.</w:t>
      </w:r>
    </w:p>
    <w:bookmarkEnd w:id="90"/>
    <w:bookmarkStart w:id="91" w:name="ratio-estimator-variance-order"/>
    <w:p>
      <w:pPr>
        <w:pStyle w:val="Heading1"/>
      </w:pPr>
      <w:r>
        <w:t xml:space="preserve">Ratio-Estimator Variance Order</w:t>
      </w:r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ℓ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l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 a first-order delta method on the ratio of sample means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, the leading variance term scales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ℓ</m:t>
                  </m:r>
                </m:e>
              </m:acc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O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ρ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smaller token counts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(larger patches) and smaller mask ratios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both affect estimator variance in opposite directions through optimization and denominator concentration.</w:t>
      </w:r>
    </w:p>
    <w:bookmarkEnd w:id="91"/>
    <w:bookmarkStart w:id="93" w:name="processed-token-budget-accounting"/>
    <w:p>
      <w:pPr>
        <w:pStyle w:val="Heading1"/>
      </w:pPr>
      <w:r>
        <w:t xml:space="preserve">Processed-Token Budget Accounting</w:t>
      </w:r>
    </w:p>
    <w:p>
      <w:pPr>
        <w:pStyle w:val="FirstParagraph"/>
      </w:pPr>
      <w:r>
        <w:t xml:space="preserve">For one epoch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optimizer steps, batch size</w:t>
      </w:r>
      <w:r>
        <w:t xml:space="preserve"> </w:t>
      </w:r>
      <m:oMath>
        <m:r>
          <m:t>B</m:t>
        </m:r>
      </m:oMath>
      <w:r>
        <w:t xml:space="preserve">, and token count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P</m:t>
        </m:r>
      </m:oMath>
      <w:r>
        <w:t xml:space="preserve">, processed token count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T</m:t>
              </m:r>
            </m:e>
            <m:sub>
              <m:r>
                <m:rPr>
                  <m:nor/>
                  <m:sty m:val="p"/>
                </m:rPr>
                <m:t>tokens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B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, 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512</m:t>
        </m:r>
      </m:oMath>
      <w:r>
        <w:t xml:space="preserve">, this gives the accounting in Table </w:t>
      </w:r>
      <w:hyperlink w:anchor="tab:token_budget">
        <w:r>
          <w:rPr>
            <w:rStyle w:val="Hyperlink"/>
          </w:rPr>
          <w:t xml:space="preserve">15</w:t>
        </w:r>
      </w:hyperlink>
      <w:r>
        <w:t xml:space="preserve">.</w:t>
      </w:r>
    </w:p>
    <w:bookmarkStart w:id="92" w:name="tab:token_budget"/>
    <w:p>
      <w:pPr>
        <w:pStyle w:val="TableCaption"/>
      </w:pPr>
      <w:r>
        <w:t xml:space="preserve">Token Budget per Epoch for Patch-Length Ablation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ken Budget per Epoch for Patch-Length Abl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Patch Length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Token Count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tokens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20480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10240</w:t>
            </w:r>
          </w:p>
        </w:tc>
      </w:tr>
    </w:tbl>
    <w:bookmarkEnd w:id="92"/>
    <w:bookmarkEnd w:id="93"/>
    <w:bookmarkStart w:id="94" w:name="raw-multi-seed-run-matrix"/>
    <w:p>
      <w:pPr>
        <w:pStyle w:val="Heading1"/>
      </w:pPr>
      <w:r>
        <w:t xml:space="preserve">Raw Multi-Seed Run Matrix</w:t>
      </w:r>
    </w:p>
    <w:p>
      <w:pPr>
        <w:pStyle w:val="FirstParagraph"/>
      </w:pPr>
      <w:r>
        <w:t xml:space="preserve">Table </w:t>
      </w:r>
      <w:hyperlink w:anchor="tab:run_matrix">
        <w:r>
          <w:rPr>
            <w:rStyle w:val="Hyperlink"/>
          </w:rPr>
          <w:t xml:space="preserve">[tab:run_matrix]</w:t>
        </w:r>
      </w:hyperlink>
      <w:r>
        <w:t xml:space="preserve"> </w:t>
      </w:r>
      <w:r>
        <w:t xml:space="preserve">reports the per-run values used to build aggregate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 Seed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Masked 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Epoch Time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0.332700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0.402134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1.5629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0.385115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0.388628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0.323565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0.419061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0.347816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0.9114</w:t>
            </w:r>
          </w:p>
        </w:tc>
      </w:tr>
    </w:tbl>
    <w:bookmarkEnd w:id="94"/>
    <w:bookmarkStart w:id="95" w:name="seed-level-ranking-consistency"/>
    <w:p>
      <w:pPr>
        <w:pStyle w:val="Heading1"/>
      </w:pPr>
      <w:r>
        <w:t xml:space="preserve">Seed-Level Ranking Consistency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be the set of ablation configurations and</w:t>
      </w:r>
      <w:r>
        <w:t xml:space="preserve"> </w:t>
      </w:r>
      <m:oMath>
        <m:r>
          <m:rPr>
            <m:sty m:val="p"/>
            <m:scr m:val="script"/>
          </m:rPr>
          <m:t>S</m:t>
        </m:r>
      </m:oMath>
      <w:r>
        <w:t xml:space="preserve"> </w:t>
      </w:r>
      <w:r>
        <w:t xml:space="preserve">the seed set. For each seed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  <m:scr m:val="script"/>
          </m:rPr>
          <m:t>S</m:t>
        </m:r>
      </m:oMath>
      <w:r>
        <w:t xml:space="preserve"> </w:t>
      </w:r>
      <w:r>
        <w:t xml:space="preserve">and configuration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  <m:scr m:val="script"/>
          </m:rPr>
          <m:t>C</m:t>
        </m:r>
      </m:oMath>
      <w:r>
        <w:t xml:space="preserve">, define objective score</w:t>
      </w:r>
      <w:r>
        <w:t xml:space="preserve"> </w:t>
      </w:r>
      <m:oMath>
        <m:sSub>
          <m:e>
            <m:r>
              <m:t>J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as final masked MSE. The per-seed winner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⋆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C</m:t>
              </m:r>
            </m:lim>
          </m:limLow>
          <m:sSub>
            <m:e>
              <m:r>
                <m:t>J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Configuration-level win count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p"/>
                  <m:scr m:val="double-struck"/>
                </m:rPr>
                <m:t>I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⋆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Table </w:t>
      </w:r>
      <w:hyperlink w:anchor="tab:seed_winners">
        <w:r>
          <w:rPr>
            <w:rStyle w:val="Hyperlink"/>
          </w:rPr>
          <w:t xml:space="preserve">[tab:seed_winners]</w:t>
        </w:r>
      </w:hyperlink>
      <w:r>
        <w:t xml:space="preserve"> </w:t>
      </w:r>
      <w:r>
        <w:t xml:space="preserve">reports the resulting seed-wise winners. While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is not universally optimal, it wins in two out of three seeds and has the best aggregate mean.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Winning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Masked MSE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0.3236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0.3901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0.3478</w:t>
            </w:r>
          </w:p>
        </w:tc>
      </w:tr>
    </w:tbl>
    <w:p>
      <w:pPr>
        <w:pStyle w:val="BodyText"/>
      </w:pPr>
      <w:r>
        <w:t xml:space="preserve">This pattern is informative for practitioners: optimization landscapes at small budgets can be seed-sensitive, and reporting only a single deterministic run can overstate or understate a configuration’s practical reliability.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A. Das, W. Kong, R. Sen, and Y. Zhou,</w:t>
      </w:r>
      <w:r>
        <w:t xml:space="preserve"> </w:t>
      </w:r>
      <w:r>
        <w:t xml:space="preserve">“A decoder-only foundation model for time-series forecasting,”</w:t>
      </w:r>
      <w:r>
        <w:t xml:space="preserve"> </w:t>
      </w:r>
      <w:r>
        <w:t xml:space="preserve">arXiv:2310.10688, 2024.</w:t>
      </w:r>
    </w:p>
    <w:p>
      <w:pPr>
        <w:pStyle w:val="BodyText"/>
      </w:pPr>
      <w:r>
        <w:t xml:space="preserve">Y. Nie, N. H. Nguyen, P. Sinthong, and J. Kalagnanam,</w:t>
      </w:r>
      <w:r>
        <w:t xml:space="preserve"> </w:t>
      </w:r>
      <w:r>
        <w:t xml:space="preserve">“A time series is worth 64 words: Long-term forecasting with transformers,”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</w:t>
      </w:r>
    </w:p>
    <w:p>
      <w:pPr>
        <w:pStyle w:val="BodyText"/>
      </w:pPr>
      <w:r>
        <w:t xml:space="preserve">T. Kim, J. Baek, H. Song, Y. Choi, and others,</w:t>
      </w:r>
      <w:r>
        <w:t xml:space="preserve"> </w:t>
      </w:r>
      <w:r>
        <w:t xml:space="preserve">“Reversible instance normalization for accurate time-series forecasting against distribution shift,”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2022.</w:t>
      </w:r>
    </w:p>
    <w:p>
      <w:pPr>
        <w:pStyle w:val="BodyText"/>
      </w:pPr>
      <w:r>
        <w:t xml:space="preserve">H. Zhou, S. Zhang, J. Peng, S. Zhang, J. Li, H. Xiong, and W. Zhang,</w:t>
      </w:r>
      <w:r>
        <w:t xml:space="preserve"> </w:t>
      </w:r>
      <w:r>
        <w:t xml:space="preserve">“Informer: Beyond efficient transformer for long sequence time-series forecasting,”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AAAI</w:t>
      </w:r>
      <w:r>
        <w:t xml:space="preserve">, 2021.</w:t>
      </w:r>
    </w:p>
    <w:p>
      <w:pPr>
        <w:pStyle w:val="BodyText"/>
      </w:pPr>
      <w:r>
        <w:t xml:space="preserve">H. Wu, J. Xu, J. Wang, and M. Long,</w:t>
      </w:r>
      <w:r>
        <w:t xml:space="preserve"> </w:t>
      </w:r>
      <w:r>
        <w:t xml:space="preserve">“Autoformer: Decomposition transformers with auto-correlation for long-term series forecasting,”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2021.</w:t>
      </w:r>
    </w:p>
    <w:p>
      <w:pPr>
        <w:pStyle w:val="BodyText"/>
      </w:pPr>
      <w:r>
        <w:t xml:space="preserve">T. Zhou, Z. Ma, Q. Wen, X. Wang, L. Sun, and R. Jin,</w:t>
      </w:r>
      <w:r>
        <w:t xml:space="preserve"> </w:t>
      </w:r>
      <w:r>
        <w:t xml:space="preserve">“FEDformer: Frequency enhanced decomposed transformer for long-term series forecasting,”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ICML</w:t>
      </w:r>
      <w:r>
        <w:t xml:space="preserve">, 2022.</w:t>
      </w:r>
    </w:p>
    <w:p>
      <w:pPr>
        <w:pStyle w:val="BodyText"/>
      </w:pPr>
      <w:r>
        <w:t xml:space="preserve">A. Zeng, M. Chen, L. Zhang, and Q. Xu,</w:t>
      </w:r>
      <w:r>
        <w:t xml:space="preserve"> </w:t>
      </w:r>
      <w:r>
        <w:t xml:space="preserve">“Are transformers effective for time series forecasting?”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AAAI</w:t>
      </w:r>
      <w:r>
        <w:t xml:space="preserve">, 2023.</w:t>
      </w:r>
    </w:p>
    <w:p>
      <w:pPr>
        <w:pStyle w:val="BodyText"/>
      </w:pPr>
      <w:r>
        <w:t xml:space="preserve">Y. Liu, T. Hu, H. Zhang, H. Wu, S. Wang, and M. Long,</w:t>
      </w:r>
      <w:r>
        <w:t xml:space="preserve"> </w:t>
      </w:r>
      <w:r>
        <w:t xml:space="preserve">“iTransformer: Inverted transformers are effective for time series forecasting,”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</w:t>
      </w:r>
    </w:p>
    <w:p>
      <w:pPr>
        <w:pStyle w:val="BodyText"/>
      </w:pPr>
      <w:r>
        <w:t xml:space="preserve">D. Salinas, V. Flunkert, J. Gasthaus, and T. Januschowski,</w:t>
      </w:r>
      <w:r>
        <w:t xml:space="preserve"> </w:t>
      </w:r>
      <w:r>
        <w:t xml:space="preserve">“DeepAR: Probabilistic forecasting with autoregressive recurrent networks,”</w:t>
      </w:r>
      <w:r>
        <w:t xml:space="preserve"> </w:t>
      </w:r>
      <w:r>
        <w:rPr>
          <w:i/>
          <w:iCs/>
        </w:rPr>
        <w:t xml:space="preserve">Int. J. Forecasting</w:t>
      </w:r>
      <w:r>
        <w:t xml:space="preserve">, vol. 36, no. 3, pp. 1181–1191, 2020.</w:t>
      </w:r>
    </w:p>
    <w:p>
      <w:pPr>
        <w:pStyle w:val="BodyText"/>
      </w:pPr>
      <w:r>
        <w:t xml:space="preserve">B. N. Oreshkin, D. Carpov, N. Chapados, and Y. Bengio,</w:t>
      </w:r>
      <w:r>
        <w:t xml:space="preserve"> </w:t>
      </w:r>
      <w:r>
        <w:t xml:space="preserve">“N-BEATS: Neural basis expansion analysis for interpretable time series forecasting,”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2020.</w:t>
      </w:r>
    </w:p>
    <w:p>
      <w:pPr>
        <w:pStyle w:val="BodyText"/>
      </w:pPr>
      <w:r>
        <w:t xml:space="preserve">B. Lim, S. Arik, N. Loeff, and T. Pfister,</w:t>
      </w:r>
      <w:r>
        <w:t xml:space="preserve"> </w:t>
      </w:r>
      <w:r>
        <w:t xml:space="preserve">“Temporal fusion transformers for interpretable multi-horizon time series forecasting,”</w:t>
      </w:r>
      <w:r>
        <w:t xml:space="preserve"> </w:t>
      </w:r>
      <w:r>
        <w:rPr>
          <w:i/>
          <w:iCs/>
        </w:rPr>
        <w:t xml:space="preserve">Int. J. Forecasting</w:t>
      </w:r>
      <w:r>
        <w:t xml:space="preserve">, vol. 37, no. 4, pp. 1748–1764, 2021.</w:t>
      </w:r>
    </w:p>
    <w:p>
      <w:pPr>
        <w:pStyle w:val="BodyText"/>
      </w:pPr>
      <w:r>
        <w:t xml:space="preserve">R. Godahewa, C. Bergmeir, G. Webb, R. Hyndman, and others,</w:t>
      </w:r>
      <w:r>
        <w:t xml:space="preserve"> </w:t>
      </w:r>
      <w:r>
        <w:t xml:space="preserve">“Monash time series forecasting archive,”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</w:t>
      </w:r>
    </w:p>
    <w:p>
      <w:pPr>
        <w:pStyle w:val="BodyText"/>
      </w:pPr>
      <w:r>
        <w:t xml:space="preserve">S. Makridakis, E. Spiliotis, and V. Assimakopoulos,</w:t>
      </w:r>
      <w:r>
        <w:t xml:space="preserve"> </w:t>
      </w:r>
      <w:r>
        <w:t xml:space="preserve">“The M4 competition: Results, findings, conclusion and way forward,”</w:t>
      </w:r>
      <w:r>
        <w:t xml:space="preserve"> </w:t>
      </w:r>
      <w:r>
        <w:rPr>
          <w:i/>
          <w:iCs/>
        </w:rPr>
        <w:t xml:space="preserve">Int. J. Forecasting</w:t>
      </w:r>
      <w:r>
        <w:t xml:space="preserve">, vol. 34, no. 4, pp. 802–808, 2018.</w:t>
      </w:r>
    </w:p>
    <w:p>
      <w:pPr>
        <w:pStyle w:val="BodyText"/>
      </w:pPr>
      <w:r>
        <w:t xml:space="preserve">S. Makridakis, E. Spiliotis, and V. Assimakopoulos,</w:t>
      </w:r>
      <w:r>
        <w:t xml:space="preserve"> </w:t>
      </w:r>
      <w:r>
        <w:t xml:space="preserve">“The M5 accuracy competition: Results, findings and conclusions,”</w:t>
      </w:r>
      <w:r>
        <w:t xml:space="preserve"> </w:t>
      </w:r>
      <w:r>
        <w:rPr>
          <w:i/>
          <w:iCs/>
        </w:rPr>
        <w:t xml:space="preserve">Int. J. Forecasting</w:t>
      </w:r>
      <w:r>
        <w:t xml:space="preserve">, vol. 38, no. 4, pp. 1346–1364, 2022.</w:t>
      </w:r>
    </w:p>
    <w:p>
      <w:pPr>
        <w:pStyle w:val="BodyText"/>
      </w:pPr>
      <w:r>
        <w:t xml:space="preserve">A. Vaswani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“Attention is all you 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2017.</w:t>
      </w:r>
    </w:p>
    <w:p>
      <w:pPr>
        <w:pStyle w:val="BodyText"/>
      </w:pPr>
      <w:r>
        <w:t xml:space="preserve">J. Devlin, M. Chang, K. Lee, and K. Toutanova,</w:t>
      </w:r>
      <w:r>
        <w:t xml:space="preserve"> </w:t>
      </w:r>
      <w:r>
        <w:t xml:space="preserve">“BERT: Pre-training of deep bidirectional transformers for language 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NAACL</w:t>
      </w:r>
      <w:r>
        <w:t xml:space="preserve">, 2019.</w:t>
      </w:r>
    </w:p>
    <w:p>
      <w:pPr>
        <w:pStyle w:val="BodyText"/>
      </w:pPr>
      <w:r>
        <w:t xml:space="preserve">T. Brown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are few-shot learners,”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2020.</w:t>
      </w:r>
    </w:p>
    <w:p>
      <w:pPr>
        <w:pStyle w:val="BodyText"/>
      </w:pPr>
      <w:r>
        <w:t xml:space="preserve">A. Dosovitskiy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“An image is worth 16x16 words: Transformers for image recognition at 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2021.</w:t>
      </w:r>
    </w:p>
    <w:p>
      <w:pPr>
        <w:pStyle w:val="BodyText"/>
      </w:pPr>
      <w:r>
        <w:t xml:space="preserve">K. He, X. Chen, S. Xie, Y. Li, P. Dollár, and R. Girshick,</w:t>
      </w:r>
      <w:r>
        <w:t xml:space="preserve"> </w:t>
      </w:r>
      <w:r>
        <w:t xml:space="preserve">“Masked autoencoders are scalable vision learners,”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CVPR</w:t>
      </w:r>
      <w:r>
        <w:t xml:space="preserve">, 2022.</w:t>
      </w:r>
    </w:p>
    <w:p>
      <w:pPr>
        <w:pStyle w:val="BodyText"/>
      </w:pPr>
      <w:r>
        <w:t xml:space="preserve">N. Gruver, M. Finzi, S. Qiu, and A. Wilson,</w:t>
      </w:r>
      <w:r>
        <w:t xml:space="preserve"> </w:t>
      </w:r>
      <w:r>
        <w:t xml:space="preserve">“Large language models are zero-shot time series forecasters,”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2023.</w:t>
      </w:r>
    </w:p>
    <w:p>
      <w:pPr>
        <w:pStyle w:val="BodyText"/>
      </w:pPr>
      <w:r>
        <w:t xml:space="preserve">G. Box, G. Jenkins, G. Reinsel, and G. Ljung,</w:t>
      </w:r>
      <w:r>
        <w:t xml:space="preserve"> </w:t>
      </w:r>
      <w:r>
        <w:rPr>
          <w:i/>
          <w:iCs/>
        </w:rPr>
        <w:t xml:space="preserve">Time Series Analysis: Forecasting and Control</w:t>
      </w:r>
      <w:r>
        <w:t xml:space="preserve">, 5th ed.</w:t>
      </w:r>
      <w:r>
        <w:t xml:space="preserve"> </w:t>
      </w:r>
      <w:r>
        <w:t xml:space="preserve">Hoboken, NJ, USA: Wiley, 2015.</w:t>
      </w:r>
    </w:p>
    <w:p>
      <w:pPr>
        <w:pStyle w:val="BodyText"/>
      </w:pPr>
      <w:r>
        <w:t xml:space="preserve">S. Taylor and B. Letham,</w:t>
      </w:r>
      <w:r>
        <w:t xml:space="preserve"> </w:t>
      </w:r>
      <w:r>
        <w:t xml:space="preserve">“Forecasting at scale,”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 72, no. 1, pp. 37–45, 2018.</w:t>
      </w:r>
    </w:p>
    <w:p>
      <w:pPr>
        <w:pStyle w:val="BodyText"/>
      </w:pPr>
      <w:r>
        <w:t xml:space="preserve">S. Bai, J. Kolter, and V. Koltun,</w:t>
      </w:r>
      <w:r>
        <w:t xml:space="preserve"> </w:t>
      </w:r>
      <w:r>
        <w:t xml:space="preserve">“An empirical evaluation of generic convolutional and recurrent networks for sequence modeling,”</w:t>
      </w:r>
      <w:r>
        <w:t xml:space="preserve"> </w:t>
      </w:r>
      <w:r>
        <w:t xml:space="preserve">arXiv:1803.01271, 2018.</w:t>
      </w:r>
    </w:p>
    <w:p>
      <w:pPr>
        <w:pStyle w:val="BodyText"/>
      </w:pPr>
      <w:r>
        <w:t xml:space="preserve">Q. Wen, T. Zhou, C. Zhang, and L. Sun,</w:t>
      </w:r>
      <w:r>
        <w:t xml:space="preserve"> </w:t>
      </w:r>
      <w:r>
        <w:t xml:space="preserve">“Time-series foundation models: A survey,”</w:t>
      </w:r>
      <w:r>
        <w:t xml:space="preserve"> </w:t>
      </w:r>
      <w:r>
        <w:t xml:space="preserve">arXiv:2310.10716, 2023.</w:t>
      </w:r>
    </w:p>
    <w:p>
      <w:pPr>
        <w:pStyle w:val="BodyText"/>
      </w:pPr>
      <w:r>
        <w:t xml:space="preserve">C. Bergmeir, R. Hyndman, and B. Koo,</w:t>
      </w:r>
      <w:r>
        <w:t xml:space="preserve"> </w:t>
      </w:r>
      <w:r>
        <w:t xml:space="preserve">“A note on the validity of cross-validation for evaluating autoregressive time series prediction,”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, vol. 120, pp. 70–83, 2018.</w:t>
      </w:r>
    </w:p>
    <w:p>
      <w:pPr>
        <w:pStyle w:val="BodyText"/>
      </w:pPr>
      <w:r>
        <w:t xml:space="preserve">F. Petropoulos, N. Kourentzes, and G. Svetunkov,</w:t>
      </w:r>
      <w:r>
        <w:t xml:space="preserve"> </w:t>
      </w:r>
      <w:r>
        <w:t xml:space="preserve">“Forecasting: Theory and practice in modern settings,”</w:t>
      </w:r>
      <w:r>
        <w:t xml:space="preserve"> </w:t>
      </w:r>
      <w:r>
        <w:rPr>
          <w:i/>
          <w:iCs/>
        </w:rPr>
        <w:t xml:space="preserve">European Journal of Operational Research</w:t>
      </w:r>
      <w:r>
        <w:t xml:space="preserve">, vol. 299, no. 1, pp. 1–14, 2022.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Feature-Bootstrapped Masked TSFM: Theory, Complexity, and Controlled Ablations for Reproducible Time-Series Pretraining</dc:title>
  <dc:creator/>
  <cp:keywords/>
  <dcterms:created xsi:type="dcterms:W3CDTF">2026-05-14T03:58:57Z</dcterms:created>
  <dcterms:modified xsi:type="dcterms:W3CDTF">2026-05-14T03:58:57Z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paper presents a reproducible time-series pretraining study and analyzes it at four levels: formal objective design, computational complexity, deterministic single-seed behavior, and multi-seed statistical behavior. The model uses RevIN, convolutional patch tokenization, a Transformer encoder backbone, and an MLP reconstruction head under a masked latent reconstruction objective. The data regime combines raw-series ingestion when available with feature-bootstrap synthesis from statistical descriptors. In the present corpus, the study uses 44 feature tables and no raw-series archives. We derive objective and complexity properties with respect to context length and patch length, and report deterministic and seed-stratified ablations over mask ratio and patch length. Multi-seed results indicate that patch length 32 is preferable to 16 and 8 under the tested budget, while an extreme single-seed patch-8 failure is not consistently reproduced across seeds. We additionally evaluate late training checkpoints (epochs 60–62, steps 2.04M–2.11M) on a deterministic 8192-window holdout and find best masked MSE 0.3304 at step 2.04M, with a +2.04% drift by the final checkpoint. The paper emphasizes uncertainty-aware claims rather than internet-scale zero-shot claims.</vt:lpwstr>
  </property>
</Properties>
</file>