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STANDARD OPERATING PROCEDURE</w:t>
      </w:r>
    </w:p>
    <w:p>
      <w:pPr>
        <w:jc w:val="center"/>
      </w:pPr>
      <w:r>
        <w:rPr>
          <w:i/>
          <w:sz w:val="24"/>
        </w:rPr>
        <w:t>Handling of Non-Conforming Product</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r>
            <w:r>
              <w:rPr>
                <w:b/>
                <w:sz w:val="18"/>
              </w:rPr>
              <w:t>SOP Number:</w:t>
            </w:r>
          </w:p>
        </w:tc>
        <w:tc>
          <w:tcPr>
            <w:tcW w:type="dxa" w:w="2160"/>
          </w:tcPr>
          <w:p>
            <w:r>
              <w:rPr>
                <w:sz w:val="18"/>
              </w:rPr>
              <w:t>QA-SOP-1042</w:t>
            </w:r>
          </w:p>
        </w:tc>
        <w:tc>
          <w:tcPr>
            <w:tcW w:type="dxa" w:w="2160"/>
          </w:tcPr>
          <w:p>
            <w:r>
              <w:rPr>
                <w:sz w:val="18"/>
              </w:rPr>
            </w:r>
            <w:r>
              <w:rPr>
                <w:b/>
                <w:sz w:val="18"/>
              </w:rPr>
              <w:t>Revision:</w:t>
            </w:r>
          </w:p>
        </w:tc>
        <w:tc>
          <w:tcPr>
            <w:tcW w:type="dxa" w:w="2160"/>
          </w:tcPr>
          <w:p>
            <w:r>
              <w:rPr>
                <w:sz w:val="18"/>
              </w:rPr>
              <w:t>C</w:t>
            </w:r>
          </w:p>
        </w:tc>
      </w:tr>
      <w:tr>
        <w:tc>
          <w:tcPr>
            <w:tcW w:type="dxa" w:w="2160"/>
          </w:tcPr>
          <w:p>
            <w:r>
              <w:rPr>
                <w:sz w:val="18"/>
              </w:rPr>
            </w:r>
            <w:r>
              <w:rPr>
                <w:b/>
                <w:sz w:val="18"/>
              </w:rPr>
              <w:t>Effective Date:</w:t>
            </w:r>
          </w:p>
        </w:tc>
        <w:tc>
          <w:tcPr>
            <w:tcW w:type="dxa" w:w="2160"/>
          </w:tcPr>
          <w:p>
            <w:r>
              <w:rPr>
                <w:sz w:val="18"/>
              </w:rPr>
              <w:t>2024-06-01</w:t>
            </w:r>
          </w:p>
        </w:tc>
        <w:tc>
          <w:tcPr>
            <w:tcW w:type="dxa" w:w="2160"/>
          </w:tcPr>
          <w:p>
            <w:r>
              <w:rPr>
                <w:sz w:val="18"/>
              </w:rPr>
            </w:r>
            <w:r>
              <w:rPr>
                <w:b/>
                <w:sz w:val="18"/>
              </w:rPr>
              <w:t>Review Cycle:</w:t>
            </w:r>
          </w:p>
        </w:tc>
        <w:tc>
          <w:tcPr>
            <w:tcW w:type="dxa" w:w="2160"/>
          </w:tcPr>
          <w:p>
            <w:r>
              <w:rPr>
                <w:sz w:val="18"/>
              </w:rPr>
              <w:t>24 months</w:t>
            </w:r>
          </w:p>
        </w:tc>
      </w:tr>
      <w:tr>
        <w:tc>
          <w:tcPr>
            <w:tcW w:type="dxa" w:w="2160"/>
          </w:tcPr>
          <w:p>
            <w:r>
              <w:rPr>
                <w:sz w:val="18"/>
              </w:rPr>
            </w:r>
            <w:r>
              <w:rPr>
                <w:b/>
                <w:sz w:val="18"/>
              </w:rPr>
              <w:t>Department:</w:t>
            </w:r>
          </w:p>
        </w:tc>
        <w:tc>
          <w:tcPr>
            <w:tcW w:type="dxa" w:w="2160"/>
          </w:tcPr>
          <w:p>
            <w:r>
              <w:rPr>
                <w:sz w:val="18"/>
              </w:rPr>
              <w:t>Quality Assurance</w:t>
            </w:r>
          </w:p>
        </w:tc>
        <w:tc>
          <w:tcPr>
            <w:tcW w:type="dxa" w:w="2160"/>
          </w:tcPr>
          <w:p>
            <w:r>
              <w:rPr>
                <w:sz w:val="18"/>
              </w:rPr>
            </w:r>
            <w:r>
              <w:rPr>
                <w:b/>
                <w:sz w:val="18"/>
              </w:rPr>
              <w:t>Page:</w:t>
            </w:r>
          </w:p>
        </w:tc>
        <w:tc>
          <w:tcPr>
            <w:tcW w:type="dxa" w:w="2160"/>
          </w:tcPr>
          <w:p>
            <w:r>
              <w:rPr>
                <w:sz w:val="18"/>
              </w:rPr>
              <w:t>1 of 1</w:t>
            </w:r>
          </w:p>
        </w:tc>
      </w:tr>
      <w:tr>
        <w:tc>
          <w:tcPr>
            <w:tcW w:type="dxa" w:w="2160"/>
          </w:tcPr>
          <w:p>
            <w:r>
              <w:rPr>
                <w:sz w:val="18"/>
              </w:rPr>
            </w:r>
            <w:r>
              <w:rPr>
                <w:b/>
                <w:sz w:val="18"/>
              </w:rPr>
              <w:t>Supersedes:</w:t>
            </w:r>
          </w:p>
        </w:tc>
        <w:tc>
          <w:tcPr>
            <w:tcW w:type="dxa" w:w="2160"/>
          </w:tcPr>
          <w:p>
            <w:r>
              <w:rPr>
                <w:sz w:val="18"/>
              </w:rPr>
              <w:t>QA-SOP-1042 Rev B</w:t>
            </w:r>
          </w:p>
        </w:tc>
        <w:tc>
          <w:tcPr>
            <w:tcW w:type="dxa" w:w="2160"/>
          </w:tcPr>
          <w:p>
            <w:r>
              <w:rPr>
                <w:sz w:val="18"/>
              </w:rPr>
            </w:r>
            <w:r>
              <w:rPr>
                <w:b/>
                <w:sz w:val="18"/>
              </w:rPr>
              <w:t>Classification:</w:t>
            </w:r>
          </w:p>
        </w:tc>
        <w:tc>
          <w:tcPr>
            <w:tcW w:type="dxa" w:w="2160"/>
          </w:tcPr>
          <w:p>
            <w:r>
              <w:rPr>
                <w:sz w:val="18"/>
              </w:rPr>
              <w:t>Controlled Document</w:t>
            </w:r>
          </w:p>
        </w:tc>
      </w:tr>
    </w:tbl>
    <w:p/>
    <w:p>
      <w:pPr>
        <w:pStyle w:val="Heading1"/>
      </w:pPr>
      <w:r>
        <w:t>1. Purpose</w:t>
      </w:r>
    </w:p>
    <w:p>
      <w:r>
        <w:t>This procedure defines the requirements for identifying, segregating, and dispositioning non-conforming product in accordance with ISO 13485:2016 Section 8.3 and the site quality management system. It establishes clear ownership, timelines, and documentation requirements at every stage from initial identification through final disposition, and applies equally to non-conformances found in purchased components, in-process assemblies, and finished devices.</w:t>
      </w:r>
    </w:p>
    <w:p>
      <w:pPr>
        <w:pStyle w:val="Heading1"/>
      </w:pPr>
      <w:r>
        <w:t>2. Scope</w:t>
      </w:r>
    </w:p>
    <w:p>
      <w:r>
        <w:t>This procedure applies to all incoming components, in-process assemblies, and finished devices manufactured at the site, including product identified as non-conforming by Receiving Inspection, In-Process QC, Final Inspection, or Customer Complaint Handling. It does not cover product already released to distribution, which is instead handled under QA-SOP-2210 Field Corrective Actions.</w:t>
      </w:r>
    </w:p>
    <w:p>
      <w:pPr>
        <w:pStyle w:val="Heading1"/>
      </w:pPr>
      <w:r>
        <w:t>3. Definitions</w:t>
      </w:r>
    </w:p>
    <w:tbl>
      <w:tblPr>
        <w:tblStyle w:val="TableGrid"/>
        <w:tblW w:type="auto" w:w="0"/>
        <w:tblLook w:firstColumn="1" w:firstRow="1" w:lastColumn="0" w:lastRow="0" w:noHBand="0" w:noVBand="1" w:val="04A0"/>
      </w:tblPr>
      <w:tblGrid>
        <w:gridCol w:w="4320"/>
        <w:gridCol w:w="4320"/>
      </w:tblGrid>
      <w:tr>
        <w:tc>
          <w:tcPr>
            <w:tcW w:type="dxa" w:w="4320"/>
          </w:tcPr>
          <w:p>
            <w:r>
              <w:rPr>
                <w:sz w:val="18"/>
              </w:rPr>
            </w:r>
            <w:r>
              <w:rPr>
                <w:b/>
                <w:sz w:val="18"/>
              </w:rPr>
              <w:t>Non-Conforming Product</w:t>
            </w:r>
          </w:p>
        </w:tc>
        <w:tc>
          <w:tcPr>
            <w:tcW w:type="dxa" w:w="4320"/>
          </w:tcPr>
          <w:p>
            <w:r>
              <w:rPr>
                <w:sz w:val="18"/>
              </w:rPr>
              <w:t>Product that does not meet specified requirements.</w:t>
            </w:r>
          </w:p>
        </w:tc>
      </w:tr>
      <w:tr>
        <w:tc>
          <w:tcPr>
            <w:tcW w:type="dxa" w:w="4320"/>
          </w:tcPr>
          <w:p>
            <w:r>
              <w:rPr>
                <w:sz w:val="18"/>
              </w:rPr>
            </w:r>
            <w:r>
              <w:rPr>
                <w:b/>
                <w:sz w:val="18"/>
              </w:rPr>
              <w:t>MRB</w:t>
            </w:r>
          </w:p>
        </w:tc>
        <w:tc>
          <w:tcPr>
            <w:tcW w:type="dxa" w:w="4320"/>
          </w:tcPr>
          <w:p>
            <w:r>
              <w:rPr>
                <w:sz w:val="18"/>
              </w:rPr>
              <w:t>Material Review Board - cross-functional team authorized to disposition non-conforming product.</w:t>
            </w:r>
          </w:p>
        </w:tc>
      </w:tr>
      <w:tr>
        <w:tc>
          <w:tcPr>
            <w:tcW w:type="dxa" w:w="4320"/>
          </w:tcPr>
          <w:p>
            <w:r>
              <w:rPr>
                <w:sz w:val="18"/>
              </w:rPr>
            </w:r>
            <w:r>
              <w:rPr>
                <w:b/>
                <w:sz w:val="18"/>
              </w:rPr>
              <w:t>Disposition</w:t>
            </w:r>
          </w:p>
        </w:tc>
        <w:tc>
          <w:tcPr>
            <w:tcW w:type="dxa" w:w="4320"/>
          </w:tcPr>
          <w:p>
            <w:r>
              <w:rPr>
                <w:sz w:val="18"/>
              </w:rPr>
              <w:t>The decision made regarding non-conforming product: Use-As-Is, Rework, Return-to-Supplier, or Scrap.</w:t>
            </w:r>
          </w:p>
        </w:tc>
      </w:tr>
      <w:tr>
        <w:tc>
          <w:tcPr>
            <w:tcW w:type="dxa" w:w="4320"/>
          </w:tcPr>
          <w:p>
            <w:r>
              <w:rPr>
                <w:sz w:val="18"/>
              </w:rPr>
            </w:r>
            <w:r>
              <w:rPr>
                <w:b/>
                <w:sz w:val="18"/>
              </w:rPr>
              <w:t>Quarantine</w:t>
            </w:r>
          </w:p>
        </w:tc>
        <w:tc>
          <w:tcPr>
            <w:tcW w:type="dxa" w:w="4320"/>
          </w:tcPr>
          <w:p>
            <w:r>
              <w:rPr>
                <w:sz w:val="18"/>
              </w:rPr>
              <w:t>A physically or electronically segregated status preventing product from being used, shipped, or further processed.</w:t>
            </w:r>
          </w:p>
        </w:tc>
      </w:tr>
    </w:tbl>
    <w:p/>
    <w:p>
      <w:pPr>
        <w:pStyle w:val="Heading1"/>
      </w:pPr>
      <w:r>
        <w:t>4. Responsibilities</w:t>
      </w:r>
    </w:p>
    <w:tbl>
      <w:tblPr>
        <w:tblStyle w:val="TableGrid"/>
        <w:tblW w:type="auto" w:w="0"/>
        <w:tblLook w:firstColumn="1" w:firstRow="1" w:lastColumn="0" w:lastRow="0" w:noHBand="0" w:noVBand="1" w:val="04A0"/>
      </w:tblPr>
      <w:tblGrid>
        <w:gridCol w:w="4320"/>
        <w:gridCol w:w="4320"/>
      </w:tblGrid>
      <w:tr>
        <w:tc>
          <w:tcPr>
            <w:tcW w:type="dxa" w:w="4320"/>
            <w:shd w:fill="D9D9D9"/>
          </w:tcPr>
          <w:p>
            <w:r>
              <w:rPr>
                <w:sz w:val="18"/>
              </w:rPr>
            </w:r>
            <w:r>
              <w:rPr>
                <w:b/>
                <w:sz w:val="18"/>
              </w:rPr>
              <w:t>Role</w:t>
            </w:r>
          </w:p>
        </w:tc>
        <w:tc>
          <w:tcPr>
            <w:tcW w:type="dxa" w:w="4320"/>
            <w:shd w:fill="D9D9D9"/>
          </w:tcPr>
          <w:p>
            <w:r>
              <w:rPr>
                <w:sz w:val="18"/>
              </w:rPr>
            </w:r>
            <w:r>
              <w:rPr>
                <w:b/>
                <w:sz w:val="18"/>
              </w:rPr>
              <w:t>Responsibility</w:t>
            </w:r>
          </w:p>
        </w:tc>
      </w:tr>
      <w:tr>
        <w:tc>
          <w:tcPr>
            <w:tcW w:type="dxa" w:w="4320"/>
          </w:tcPr>
          <w:p>
            <w:r>
              <w:rPr>
                <w:sz w:val="18"/>
              </w:rPr>
              <w:t>Manufacturing Operator</w:t>
            </w:r>
          </w:p>
        </w:tc>
        <w:tc>
          <w:tcPr>
            <w:tcW w:type="dxa" w:w="4320"/>
          </w:tcPr>
          <w:p>
            <w:r>
              <w:rPr>
                <w:sz w:val="18"/>
              </w:rPr>
              <w:t>Identify and tag suspect non-conforming product; move to quarantine.</w:t>
            </w:r>
          </w:p>
        </w:tc>
      </w:tr>
      <w:tr>
        <w:tc>
          <w:tcPr>
            <w:tcW w:type="dxa" w:w="4320"/>
          </w:tcPr>
          <w:p>
            <w:r>
              <w:rPr>
                <w:sz w:val="18"/>
              </w:rPr>
              <w:t>Quality Engineer</w:t>
            </w:r>
          </w:p>
        </w:tc>
        <w:tc>
          <w:tcPr>
            <w:tcW w:type="dxa" w:w="4320"/>
          </w:tcPr>
          <w:p>
            <w:r>
              <w:rPr>
                <w:sz w:val="18"/>
              </w:rPr>
              <w:t>Investigate root cause; prepare MRB disposition recommendation.</w:t>
            </w:r>
          </w:p>
        </w:tc>
      </w:tr>
      <w:tr>
        <w:tc>
          <w:tcPr>
            <w:tcW w:type="dxa" w:w="4320"/>
          </w:tcPr>
          <w:p>
            <w:r>
              <w:rPr>
                <w:sz w:val="18"/>
              </w:rPr>
              <w:t>Material Review Board</w:t>
            </w:r>
          </w:p>
        </w:tc>
        <w:tc>
          <w:tcPr>
            <w:tcW w:type="dxa" w:w="4320"/>
          </w:tcPr>
          <w:p>
            <w:r>
              <w:rPr>
                <w:sz w:val="18"/>
              </w:rPr>
              <w:t>Review evidence and issue final disposition within 5 business days.</w:t>
            </w:r>
          </w:p>
        </w:tc>
      </w:tr>
      <w:tr>
        <w:tc>
          <w:tcPr>
            <w:tcW w:type="dxa" w:w="4320"/>
          </w:tcPr>
          <w:p>
            <w:r>
              <w:rPr>
                <w:sz w:val="18"/>
              </w:rPr>
              <w:t>Regulatory Affairs</w:t>
            </w:r>
          </w:p>
        </w:tc>
        <w:tc>
          <w:tcPr>
            <w:tcW w:type="dxa" w:w="4320"/>
          </w:tcPr>
          <w:p>
            <w:r>
              <w:rPr>
                <w:sz w:val="18"/>
              </w:rPr>
              <w:t>Confirm Use-As-Is dispositions do not affect approved device specifications.</w:t>
            </w:r>
          </w:p>
        </w:tc>
      </w:tr>
      <w:tr>
        <w:tc>
          <w:tcPr>
            <w:tcW w:type="dxa" w:w="4320"/>
          </w:tcPr>
          <w:p>
            <w:r>
              <w:rPr>
                <w:sz w:val="18"/>
              </w:rPr>
              <w:t>Warehouse Supervisor</w:t>
            </w:r>
          </w:p>
        </w:tc>
        <w:tc>
          <w:tcPr>
            <w:tcW w:type="dxa" w:w="4320"/>
          </w:tcPr>
          <w:p>
            <w:r>
              <w:rPr>
                <w:sz w:val="18"/>
              </w:rPr>
              <w:t>Maintain physical quarantine area; enforce no-release without MRB record.</w:t>
            </w:r>
          </w:p>
        </w:tc>
      </w:tr>
    </w:tbl>
    <w:p/>
    <w:p>
      <w:pPr>
        <w:pStyle w:val="Heading1"/>
      </w:pPr>
      <w:r>
        <w:t>5. Procedure</w:t>
      </w:r>
    </w:p>
    <w:p>
      <w:r>
        <w:rPr>
          <w:b/>
        </w:rPr>
        <w:t xml:space="preserve">5.1  </w:t>
      </w:r>
      <w:r>
        <w:t>Any employee who identifies suspect non-conforming product must immediately affix a red Non-Conforming Material tag and move the product to the designated quarantine area within the same shift.</w:t>
      </w:r>
    </w:p>
    <w:p>
      <w:r>
        <w:rPr>
          <w:b/>
        </w:rPr>
        <w:t xml:space="preserve">5.2  </w:t>
      </w:r>
      <w:r>
        <w:t>The identifying employee logs the non-conformance in the Quality Management System (QMS) within 24 hours, including a description, quantity affected, and lot/batch traceability.</w:t>
      </w:r>
    </w:p>
    <w:p>
      <w:r>
        <w:rPr>
          <w:b/>
        </w:rPr>
        <w:t xml:space="preserve">5.3  </w:t>
      </w:r>
      <w:r>
        <w:t>The assigned Quality Engineer performs an initial impact assessment within 2 business days to determine whether the non-conformance may affect previously released product.</w:t>
      </w:r>
    </w:p>
    <w:p>
      <w:r>
        <w:rPr>
          <w:b/>
        </w:rPr>
        <w:t xml:space="preserve">5.4  </w:t>
      </w:r>
      <w:r>
        <w:t>The Material Review Board (MRB) must disposition all non-conforming product within 5 business days as Use-As-Is, Rework, Return-to-Supplier, or Scrap.</w:t>
      </w:r>
    </w:p>
    <w:p>
      <w:r>
        <w:rPr>
          <w:b/>
        </w:rPr>
        <w:t xml:space="preserve">5.5  </w:t>
      </w:r>
      <w:r>
        <w:t>For dispositions involving Use-As-Is, Regulatory Affairs must confirm the deviation does not affect the device's approved specifications before release.</w:t>
      </w:r>
    </w:p>
    <w:p>
      <w:r>
        <w:rPr>
          <w:b/>
        </w:rPr>
        <w:t xml:space="preserve">5.6  </w:t>
      </w:r>
      <w:r>
        <w:t>Rework dispositions require a documented rework procedure, approved by Engineering, and 100% re-inspection of the reworked product prior to release from quarantine.</w:t>
      </w:r>
    </w:p>
    <w:p>
      <w:r>
        <w:rPr>
          <w:b/>
        </w:rPr>
        <w:t xml:space="preserve">5.7  </w:t>
      </w:r>
      <w:r>
        <w:t>Product may not be released from quarantine without a signed MRB disposition record attached to the QMS record.</w:t>
      </w:r>
    </w:p>
    <w:p>
      <w:r>
        <w:rPr>
          <w:b/>
        </w:rPr>
        <w:t xml:space="preserve">5.8  </w:t>
      </w:r>
      <w:r>
        <w:t>If three or more non-conformances of the same failure mode occur within a rolling 90-day period, the Quality Engineer must initiate a CAPA per QA-SOP-1005.</w:t>
      </w:r>
    </w:p>
    <w:p>
      <w:pPr>
        <w:pStyle w:val="Heading1"/>
      </w:pPr>
      <w:r>
        <w:t>6. Training Requirements</w:t>
      </w:r>
    </w:p>
    <w:p>
      <w:r>
        <w:t>All manufacturing, quality, and receiving personnel must complete training on this procedure prior to independently performing non-conformance identification, and must be retrained upon any revision to this document. Training completion is tracked in the site Learning Management System and verified during internal audits.</w:t>
      </w:r>
    </w:p>
    <w:p>
      <w:pPr>
        <w:pStyle w:val="Heading1"/>
      </w:pPr>
      <w:r>
        <w:t>7. Related Documents</w:t>
      </w:r>
    </w:p>
    <w:p>
      <w:pPr>
        <w:pStyle w:val="ListBullet"/>
      </w:pPr>
      <w:r>
        <w:t>QA-SOP-1005 - Corrective and Preventive Action (CAPA) Process</w:t>
      </w:r>
    </w:p>
    <w:p>
      <w:pPr>
        <w:pStyle w:val="ListBullet"/>
      </w:pPr>
      <w:r>
        <w:t>QA-SOP-2210 - Field Corrective Actions</w:t>
      </w:r>
    </w:p>
    <w:p>
      <w:pPr>
        <w:pStyle w:val="ListBullet"/>
      </w:pPr>
      <w:r>
        <w:t>QA-FORM-118 - Material Review Board Disposition Record</w:t>
      </w:r>
    </w:p>
    <w:p>
      <w:pPr>
        <w:pStyle w:val="ListBullet"/>
      </w:pPr>
      <w:r>
        <w:t>ISO 13485:2016, Section 8.3 - Control of Nonconforming Product</w:t>
      </w:r>
    </w:p>
    <w:p/>
    <w:p>
      <w:pPr>
        <w:pStyle w:val="Heading1"/>
      </w:pPr>
      <w:r>
        <w:t>8.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tcPr>
          <w:p>
            <w:r>
              <w:rPr>
                <w:sz w:val="18"/>
              </w:rPr>
            </w:r>
            <w:r>
              <w:rPr>
                <w:b/>
                <w:sz w:val="18"/>
              </w:rPr>
              <w:t>Revision</w:t>
            </w:r>
          </w:p>
        </w:tc>
        <w:tc>
          <w:tcPr>
            <w:tcW w:type="dxa" w:w="2160"/>
            <w:shd w:fill="D9D9D9"/>
          </w:tcPr>
          <w:p>
            <w:r>
              <w:rPr>
                <w:sz w:val="18"/>
              </w:rPr>
            </w:r>
            <w:r>
              <w:rPr>
                <w:b/>
                <w:sz w:val="18"/>
              </w:rPr>
              <w:t>Date</w:t>
            </w:r>
          </w:p>
        </w:tc>
        <w:tc>
          <w:tcPr>
            <w:tcW w:type="dxa" w:w="2160"/>
            <w:shd w:fill="D9D9D9"/>
          </w:tcPr>
          <w:p>
            <w:r>
              <w:rPr>
                <w:sz w:val="18"/>
              </w:rPr>
            </w:r>
            <w:r>
              <w:rPr>
                <w:b/>
                <w:sz w:val="18"/>
              </w:rPr>
              <w:t>Description of Change</w:t>
            </w:r>
          </w:p>
        </w:tc>
        <w:tc>
          <w:tcPr>
            <w:tcW w:type="dxa" w:w="2160"/>
            <w:shd w:fill="D9D9D9"/>
          </w:tcPr>
          <w:p>
            <w:r>
              <w:rPr>
                <w:sz w:val="18"/>
              </w:rPr>
            </w:r>
            <w:r>
              <w:rPr>
                <w:b/>
                <w:sz w:val="18"/>
              </w:rPr>
              <w:t>Author</w:t>
            </w:r>
          </w:p>
        </w:tc>
      </w:tr>
      <w:tr>
        <w:tc>
          <w:tcPr>
            <w:tcW w:type="dxa" w:w="2160"/>
          </w:tcPr>
          <w:p>
            <w:r>
              <w:rPr>
                <w:sz w:val="18"/>
              </w:rPr>
              <w:t>A</w:t>
            </w:r>
          </w:p>
        </w:tc>
        <w:tc>
          <w:tcPr>
            <w:tcW w:type="dxa" w:w="2160"/>
          </w:tcPr>
          <w:p>
            <w:r>
              <w:rPr>
                <w:sz w:val="18"/>
              </w:rPr>
              <w:t>2021-03-10</w:t>
            </w:r>
          </w:p>
        </w:tc>
        <w:tc>
          <w:tcPr>
            <w:tcW w:type="dxa" w:w="2160"/>
          </w:tcPr>
          <w:p>
            <w:r>
              <w:rPr>
                <w:sz w:val="18"/>
              </w:rPr>
              <w:t>Initial release</w:t>
            </w:r>
          </w:p>
        </w:tc>
        <w:tc>
          <w:tcPr>
            <w:tcW w:type="dxa" w:w="2160"/>
          </w:tcPr>
          <w:p>
            <w:r>
              <w:rPr>
                <w:sz w:val="18"/>
              </w:rPr>
              <w:t>M. Fernandes</w:t>
            </w:r>
          </w:p>
        </w:tc>
      </w:tr>
      <w:tr>
        <w:tc>
          <w:tcPr>
            <w:tcW w:type="dxa" w:w="2160"/>
          </w:tcPr>
          <w:p>
            <w:r>
              <w:rPr>
                <w:sz w:val="18"/>
              </w:rPr>
              <w:t>B</w:t>
            </w:r>
          </w:p>
        </w:tc>
        <w:tc>
          <w:tcPr>
            <w:tcW w:type="dxa" w:w="2160"/>
          </w:tcPr>
          <w:p>
            <w:r>
              <w:rPr>
                <w:sz w:val="18"/>
              </w:rPr>
              <w:t>2022-11-02</w:t>
            </w:r>
          </w:p>
        </w:tc>
        <w:tc>
          <w:tcPr>
            <w:tcW w:type="dxa" w:w="2160"/>
          </w:tcPr>
          <w:p>
            <w:r>
              <w:rPr>
                <w:sz w:val="18"/>
              </w:rPr>
              <w:t>Added MRB timeline requirement</w:t>
            </w:r>
          </w:p>
        </w:tc>
        <w:tc>
          <w:tcPr>
            <w:tcW w:type="dxa" w:w="2160"/>
          </w:tcPr>
          <w:p>
            <w:r>
              <w:rPr>
                <w:sz w:val="18"/>
              </w:rPr>
              <w:t>S. Iyer</w:t>
            </w:r>
          </w:p>
        </w:tc>
      </w:tr>
      <w:tr>
        <w:tc>
          <w:tcPr>
            <w:tcW w:type="dxa" w:w="2160"/>
          </w:tcPr>
          <w:p>
            <w:r>
              <w:rPr>
                <w:sz w:val="18"/>
              </w:rPr>
              <w:t>C</w:t>
            </w:r>
          </w:p>
        </w:tc>
        <w:tc>
          <w:tcPr>
            <w:tcW w:type="dxa" w:w="2160"/>
          </w:tcPr>
          <w:p>
            <w:r>
              <w:rPr>
                <w:sz w:val="18"/>
              </w:rPr>
              <w:t>2024-06-01</w:t>
            </w:r>
          </w:p>
        </w:tc>
        <w:tc>
          <w:tcPr>
            <w:tcW w:type="dxa" w:w="2160"/>
          </w:tcPr>
          <w:p>
            <w:r>
              <w:rPr>
                <w:sz w:val="18"/>
              </w:rPr>
              <w:t>Added Regulatory Affairs sign-off for Use-As-Is dispositions; added CAPA trigger rule</w:t>
            </w:r>
          </w:p>
        </w:tc>
        <w:tc>
          <w:tcPr>
            <w:tcW w:type="dxa" w:w="2160"/>
          </w:tcPr>
          <w:p>
            <w:r>
              <w:rPr>
                <w:sz w:val="18"/>
              </w:rPr>
              <w:t>J. Rao</w:t>
            </w:r>
          </w:p>
        </w:tc>
      </w:tr>
    </w:tbl>
    <w:p/>
    <w:p>
      <w:pPr>
        <w:pStyle w:val="Heading1"/>
      </w:pPr>
      <w:r>
        <w:t>Approval</w:t>
      </w:r>
    </w:p>
    <w:tbl>
      <w:tblPr>
        <w:tblStyle w:val="TableGrid"/>
        <w:tblW w:type="auto" w:w="0"/>
        <w:tblLook w:firstColumn="1" w:firstRow="1" w:lastColumn="0" w:lastRow="0" w:noHBand="0" w:noVBand="1" w:val="04A0"/>
      </w:tblPr>
      <w:tblGrid>
        <w:gridCol w:w="2880"/>
        <w:gridCol w:w="2880"/>
        <w:gridCol w:w="2880"/>
      </w:tblGrid>
      <w:tr>
        <w:tc>
          <w:tcPr>
            <w:tcW w:type="dxa" w:w="2880"/>
            <w:shd w:fill="D9D9D9"/>
          </w:tcPr>
          <w:p>
            <w:r>
              <w:rPr>
                <w:sz w:val="18"/>
              </w:rPr>
            </w:r>
            <w:r>
              <w:rPr>
                <w:b/>
                <w:sz w:val="18"/>
              </w:rPr>
              <w:t>Role</w:t>
            </w:r>
          </w:p>
        </w:tc>
        <w:tc>
          <w:tcPr>
            <w:tcW w:type="dxa" w:w="2880"/>
            <w:shd w:fill="D9D9D9"/>
          </w:tcPr>
          <w:p>
            <w:r>
              <w:rPr>
                <w:sz w:val="18"/>
              </w:rPr>
            </w:r>
            <w:r>
              <w:rPr>
                <w:b/>
                <w:sz w:val="18"/>
              </w:rPr>
              <w:t>Name</w:t>
            </w:r>
          </w:p>
        </w:tc>
        <w:tc>
          <w:tcPr>
            <w:tcW w:type="dxa" w:w="2880"/>
            <w:shd w:fill="D9D9D9"/>
          </w:tcPr>
          <w:p>
            <w:r>
              <w:rPr>
                <w:sz w:val="18"/>
              </w:rPr>
            </w:r>
            <w:r>
              <w:rPr>
                <w:b/>
                <w:sz w:val="18"/>
              </w:rPr>
              <w:t>Signature / Date</w:t>
            </w:r>
          </w:p>
        </w:tc>
      </w:tr>
      <w:tr>
        <w:tc>
          <w:tcPr>
            <w:tcW w:type="dxa" w:w="2880"/>
          </w:tcPr>
          <w:p>
            <w:r>
              <w:rPr>
                <w:sz w:val="18"/>
              </w:rPr>
              <w:t>Prepared By</w:t>
            </w:r>
          </w:p>
        </w:tc>
        <w:tc>
          <w:tcPr>
            <w:tcW w:type="dxa" w:w="2880"/>
          </w:tcPr>
          <w:p>
            <w:r>
              <w:rPr>
                <w:sz w:val="18"/>
              </w:rPr>
              <w:t>J. Rao, Quality Engineer</w:t>
            </w:r>
          </w:p>
        </w:tc>
        <w:tc>
          <w:tcPr>
            <w:tcW w:type="dxa" w:w="2880"/>
          </w:tcPr>
          <w:p>
            <w:r>
              <w:rPr>
                <w:sz w:val="18"/>
              </w:rPr>
              <w:t>_____________________</w:t>
            </w:r>
          </w:p>
        </w:tc>
      </w:tr>
      <w:tr>
        <w:tc>
          <w:tcPr>
            <w:tcW w:type="dxa" w:w="2880"/>
          </w:tcPr>
          <w:p>
            <w:r>
              <w:rPr>
                <w:sz w:val="18"/>
              </w:rPr>
              <w:t>Reviewed By</w:t>
            </w:r>
          </w:p>
        </w:tc>
        <w:tc>
          <w:tcPr>
            <w:tcW w:type="dxa" w:w="2880"/>
          </w:tcPr>
          <w:p>
            <w:r>
              <w:rPr>
                <w:sz w:val="18"/>
              </w:rPr>
              <w:t>S. Iyer, Quality Manager</w:t>
            </w:r>
          </w:p>
        </w:tc>
        <w:tc>
          <w:tcPr>
            <w:tcW w:type="dxa" w:w="2880"/>
          </w:tcPr>
          <w:p>
            <w:r>
              <w:rPr>
                <w:sz w:val="18"/>
              </w:rPr>
              <w:t>_____________________</w:t>
            </w:r>
          </w:p>
        </w:tc>
      </w:tr>
      <w:tr>
        <w:tc>
          <w:tcPr>
            <w:tcW w:type="dxa" w:w="2880"/>
          </w:tcPr>
          <w:p>
            <w:r>
              <w:rPr>
                <w:sz w:val="18"/>
              </w:rPr>
              <w:t>Approved By</w:t>
            </w:r>
          </w:p>
        </w:tc>
        <w:tc>
          <w:tcPr>
            <w:tcW w:type="dxa" w:w="2880"/>
          </w:tcPr>
          <w:p>
            <w:r>
              <w:rPr>
                <w:sz w:val="18"/>
              </w:rPr>
              <w:t>M. Fernandes, RA Director</w:t>
            </w:r>
          </w:p>
        </w:tc>
        <w:tc>
          <w:tcPr>
            <w:tcW w:type="dxa" w:w="2880"/>
          </w:tcPr>
          <w:p>
            <w:r>
              <w:rPr>
                <w:sz w:val="18"/>
              </w:rPr>
              <w:t>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