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Acme Cloud — Data Processing Addendum</w:t>
      </w:r>
    </w:p>
    <w:p>
      <w:r>
        <w:t>This Data Processing Addendum ("DPA") forms part of the Master Subscription Agreement between Acme Cloud, Inc. ("Acme", processor) and the customer ("Customer", controller). Version 2.4, effective 2026-01-15.</w:t>
      </w:r>
    </w:p>
    <w:p>
      <w:pPr>
        <w:pStyle w:val="Heading1"/>
      </w:pPr>
      <w:r>
        <w:t>1. Definitions</w:t>
      </w:r>
    </w:p>
    <w:p>
      <w:r>
        <w:t>"Customer Personal Data" means personal data contained in Customer Content that Acme processes on Customer's behalf. "Sub-processor" means a third party engaged by Acme to process Customer Personal Data. "Applicable Data Protection Law" means the GDPR, the UK GDPR, and any other law relating to the protection of personal data applicable to the processing under the Agreement.</w:t>
      </w:r>
    </w:p>
    <w:p>
      <w:pPr>
        <w:pStyle w:val="Heading1"/>
      </w:pPr>
      <w:r>
        <w:t>2. Roles and scope of processing</w:t>
      </w:r>
    </w:p>
    <w:p>
      <w:r>
        <w:t>Customer is the controller and Acme is the processor of Customer Personal Data. Acme processes Customer Personal Data only on documented instructions from Customer, including with regard to international transfers, unless required to do otherwise by law.</w:t>
      </w:r>
    </w:p>
    <w:p>
      <w:pPr>
        <w:pStyle w:val="Heading1"/>
      </w:pPr>
      <w:r>
        <w:t>3. Sub-processors</w:t>
      </w:r>
    </w:p>
    <w:p>
      <w:r>
        <w:t>Customer authorises Acme to engage the Sub-processors listed below. Acme gives Customer at least 30 days' prior notice of the addition or replacement of a Sub-processor by updating the Register and notifying subscribed contacts. Customer may object on reasonable data-protection grounds within that period; if the objection cannot be resolved, Customer may terminate the affected Services.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Sub-processor</w:t>
            </w:r>
          </w:p>
        </w:tc>
        <w:tc>
          <w:tcPr>
            <w:tcW w:type="dxa" w:w="1728"/>
          </w:tcPr>
          <w:p>
            <w:r>
              <w:t>Purpose</w:t>
            </w:r>
          </w:p>
        </w:tc>
        <w:tc>
          <w:tcPr>
            <w:tcW w:type="dxa" w:w="1728"/>
          </w:tcPr>
          <w:p>
            <w:r>
              <w:t>Data categories</w:t>
            </w:r>
          </w:p>
        </w:tc>
        <w:tc>
          <w:tcPr>
            <w:tcW w:type="dxa" w:w="1728"/>
          </w:tcPr>
          <w:p>
            <w:r>
              <w:t>Region</w:t>
            </w:r>
          </w:p>
        </w:tc>
        <w:tc>
          <w:tcPr>
            <w:tcW w:type="dxa" w:w="1728"/>
          </w:tcPr>
          <w:p>
            <w:r>
              <w:t>Engaged since</w:t>
            </w:r>
          </w:p>
        </w:tc>
      </w:tr>
      <w:tr>
        <w:tc>
          <w:tcPr>
            <w:tcW w:type="dxa" w:w="1728"/>
          </w:tcPr>
          <w:p>
            <w:r>
              <w:t>CloudHost Inc.</w:t>
            </w:r>
          </w:p>
        </w:tc>
        <w:tc>
          <w:tcPr>
            <w:tcW w:type="dxa" w:w="1728"/>
          </w:tcPr>
          <w:p>
            <w:r>
              <w:t>Compute and object storage</w:t>
            </w:r>
          </w:p>
        </w:tc>
        <w:tc>
          <w:tcPr>
            <w:tcW w:type="dxa" w:w="1728"/>
          </w:tcPr>
          <w:p>
            <w:r>
              <w:t>All Customer Content</w:t>
            </w:r>
          </w:p>
        </w:tc>
        <w:tc>
          <w:tcPr>
            <w:tcW w:type="dxa" w:w="1728"/>
          </w:tcPr>
          <w:p>
            <w:r>
              <w:t>EU (Frankfurt), US (Virginia)</w:t>
            </w:r>
          </w:p>
        </w:tc>
        <w:tc>
          <w:tcPr>
            <w:tcW w:type="dxa" w:w="1728"/>
          </w:tcPr>
          <w:p>
            <w:r>
              <w:t>2021-04</w:t>
            </w:r>
          </w:p>
        </w:tc>
      </w:tr>
      <w:tr>
        <w:tc>
          <w:tcPr>
            <w:tcW w:type="dxa" w:w="1728"/>
          </w:tcPr>
          <w:p>
            <w:r>
              <w:t>MailRoute Ltd.</w:t>
            </w:r>
          </w:p>
        </w:tc>
        <w:tc>
          <w:tcPr>
            <w:tcW w:type="dxa" w:w="1728"/>
          </w:tcPr>
          <w:p>
            <w:r>
              <w:t>Transactional email delivery</w:t>
            </w:r>
          </w:p>
        </w:tc>
        <w:tc>
          <w:tcPr>
            <w:tcW w:type="dxa" w:w="1728"/>
          </w:tcPr>
          <w:p>
            <w:r>
              <w:t>Email address, name</w:t>
            </w:r>
          </w:p>
        </w:tc>
        <w:tc>
          <w:tcPr>
            <w:tcW w:type="dxa" w:w="1728"/>
          </w:tcPr>
          <w:p>
            <w:r>
              <w:t>US (Oregon)</w:t>
            </w:r>
          </w:p>
        </w:tc>
        <w:tc>
          <w:tcPr>
            <w:tcW w:type="dxa" w:w="1728"/>
          </w:tcPr>
          <w:p>
            <w:r>
              <w:t>2021-04</w:t>
            </w:r>
          </w:p>
        </w:tc>
      </w:tr>
      <w:tr>
        <w:tc>
          <w:tcPr>
            <w:tcW w:type="dxa" w:w="1728"/>
          </w:tcPr>
          <w:p>
            <w:r>
              <w:t>TraceIO GmbH</w:t>
            </w:r>
          </w:p>
        </w:tc>
        <w:tc>
          <w:tcPr>
            <w:tcW w:type="dxa" w:w="1728"/>
          </w:tcPr>
          <w:p>
            <w:r>
              <w:t>Application error monitoring</w:t>
            </w:r>
          </w:p>
        </w:tc>
        <w:tc>
          <w:tcPr>
            <w:tcW w:type="dxa" w:w="1728"/>
          </w:tcPr>
          <w:p>
            <w:r>
              <w:t>IP address, request metadata</w:t>
            </w:r>
          </w:p>
        </w:tc>
        <w:tc>
          <w:tcPr>
            <w:tcW w:type="dxa" w:w="1728"/>
          </w:tcPr>
          <w:p>
            <w:r>
              <w:t>EU (Ireland)</w:t>
            </w:r>
          </w:p>
        </w:tc>
        <w:tc>
          <w:tcPr>
            <w:tcW w:type="dxa" w:w="1728"/>
          </w:tcPr>
          <w:p>
            <w:r>
              <w:t>2022-09</w:t>
            </w:r>
          </w:p>
        </w:tc>
      </w:tr>
      <w:tr>
        <w:tc>
          <w:tcPr>
            <w:tcW w:type="dxa" w:w="1728"/>
          </w:tcPr>
          <w:p>
            <w:r>
              <w:t>PayLink S.A.</w:t>
            </w:r>
          </w:p>
        </w:tc>
        <w:tc>
          <w:tcPr>
            <w:tcW w:type="dxa" w:w="1728"/>
          </w:tcPr>
          <w:p>
            <w:r>
              <w:t>Subscription payment processing</w:t>
            </w:r>
          </w:p>
        </w:tc>
        <w:tc>
          <w:tcPr>
            <w:tcW w:type="dxa" w:w="1728"/>
          </w:tcPr>
          <w:p>
            <w:r>
              <w:t>Billing contact, card token</w:t>
            </w:r>
          </w:p>
        </w:tc>
        <w:tc>
          <w:tcPr>
            <w:tcW w:type="dxa" w:w="1728"/>
          </w:tcPr>
          <w:p>
            <w:r>
              <w:t>EU (Paris)</w:t>
            </w:r>
          </w:p>
        </w:tc>
        <w:tc>
          <w:tcPr>
            <w:tcW w:type="dxa" w:w="1728"/>
          </w:tcPr>
          <w:p>
            <w:r>
              <w:t>2021-04</w:t>
            </w:r>
          </w:p>
        </w:tc>
      </w:tr>
      <w:tr>
        <w:tc>
          <w:tcPr>
            <w:tcW w:type="dxa" w:w="1728"/>
          </w:tcPr>
          <w:p>
            <w:r>
              <w:t>VoiceScribe Inc.</w:t>
            </w:r>
          </w:p>
        </w:tc>
        <w:tc>
          <w:tcPr>
            <w:tcW w:type="dxa" w:w="1728"/>
          </w:tcPr>
          <w:p>
            <w:r>
              <w:t>Support call transcription (opt-in)</w:t>
            </w:r>
          </w:p>
        </w:tc>
        <w:tc>
          <w:tcPr>
            <w:tcW w:type="dxa" w:w="1728"/>
          </w:tcPr>
          <w:p>
            <w:r>
              <w:t>Call audio, transcripts</w:t>
            </w:r>
          </w:p>
        </w:tc>
        <w:tc>
          <w:tcPr>
            <w:tcW w:type="dxa" w:w="1728"/>
          </w:tcPr>
          <w:p>
            <w:r>
              <w:t>US (Virginia)</w:t>
            </w:r>
          </w:p>
        </w:tc>
        <w:tc>
          <w:tcPr>
            <w:tcW w:type="dxa" w:w="1728"/>
          </w:tcPr>
          <w:p>
            <w:r>
              <w:t>2025-02</w:t>
            </w:r>
          </w:p>
        </w:tc>
      </w:tr>
    </w:tbl>
    <w:p/>
    <w:p>
      <w:pPr>
        <w:pStyle w:val="Heading1"/>
      </w:pPr>
      <w:r>
        <w:t>4. Security measures</w:t>
      </w:r>
    </w:p>
    <w:p>
      <w:r>
        <w:t>Acme maintains technical and organisational measures including: encryption of Customer Content in transit (TLS 1.2+) and at rest (AES-256); role-based access control with least privilege and quarterly access reviews; centralised audit logging; annual third-party penetration testing; and a documented secure development lifecycle. Acme holds SOC 2 Type II and ISO/IEC 27001 certifications.</w:t>
      </w:r>
    </w:p>
    <w:p>
      <w:pPr>
        <w:pStyle w:val="Heading1"/>
      </w:pPr>
      <w:r>
        <w:t>5. Data retention and deletion</w:t>
      </w:r>
    </w:p>
    <w:p>
      <w:r>
        <w:t>Acme retains Customer Content for the duration of the subscription. On termination or expiry, Customer Content is deleted from production systems within 30 days. The retention schedule below applies: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Data type</w:t>
            </w:r>
          </w:p>
        </w:tc>
        <w:tc>
          <w:tcPr>
            <w:tcW w:type="dxa" w:w="2160"/>
          </w:tcPr>
          <w:p>
            <w:r>
              <w:t>Storage location</w:t>
            </w:r>
          </w:p>
        </w:tc>
        <w:tc>
          <w:tcPr>
            <w:tcW w:type="dxa" w:w="2160"/>
          </w:tcPr>
          <w:p>
            <w:r>
              <w:t>Retention after termination</w:t>
            </w:r>
          </w:p>
        </w:tc>
        <w:tc>
          <w:tcPr>
            <w:tcW w:type="dxa" w:w="2160"/>
          </w:tcPr>
          <w:p>
            <w:r>
              <w:t>Notes</w:t>
            </w:r>
          </w:p>
        </w:tc>
      </w:tr>
      <w:tr>
        <w:tc>
          <w:tcPr>
            <w:tcW w:type="dxa" w:w="2160"/>
          </w:tcPr>
          <w:p>
            <w:r>
              <w:t>Customer Content (production)</w:t>
            </w:r>
          </w:p>
        </w:tc>
        <w:tc>
          <w:tcPr>
            <w:tcW w:type="dxa" w:w="2160"/>
          </w:tcPr>
          <w:p>
            <w:r>
              <w:t>Primary database, object store</w:t>
            </w:r>
          </w:p>
        </w:tc>
        <w:tc>
          <w:tcPr>
            <w:tcW w:type="dxa" w:w="2160"/>
          </w:tcPr>
          <w:p>
            <w:r>
              <w:t>Deleted within 30 days</w:t>
            </w:r>
          </w:p>
        </w:tc>
        <w:tc>
          <w:tcPr>
            <w:tcW w:type="dxa" w:w="2160"/>
          </w:tcPr>
          <w:p>
            <w:r>
              <w:t>Account reactivatable during this window</w:t>
            </w:r>
          </w:p>
        </w:tc>
      </w:tr>
      <w:tr>
        <w:tc>
          <w:tcPr>
            <w:tcW w:type="dxa" w:w="2160"/>
          </w:tcPr>
          <w:p>
            <w:r>
              <w:t>Backups of Customer Content</w:t>
            </w:r>
          </w:p>
        </w:tc>
        <w:tc>
          <w:tcPr>
            <w:tcW w:type="dxa" w:w="2160"/>
          </w:tcPr>
          <w:p>
            <w:r>
              <w:t>Encrypted backup store</w:t>
            </w:r>
          </w:p>
        </w:tc>
        <w:tc>
          <w:tcPr>
            <w:tcW w:type="dxa" w:w="2160"/>
          </w:tcPr>
          <w:p>
            <w:r>
              <w:t>Purged on a rolling 35-day cycle</w:t>
            </w:r>
          </w:p>
        </w:tc>
        <w:tc>
          <w:tcPr>
            <w:tcW w:type="dxa" w:w="2160"/>
          </w:tcPr>
          <w:p>
            <w:r>
              <w:t>No copies remain after 35 days</w:t>
            </w:r>
          </w:p>
        </w:tc>
      </w:tr>
      <w:tr>
        <w:tc>
          <w:tcPr>
            <w:tcW w:type="dxa" w:w="2160"/>
          </w:tcPr>
          <w:p>
            <w:r>
              <w:t>Audit logs (access to Content)</w:t>
            </w:r>
          </w:p>
        </w:tc>
        <w:tc>
          <w:tcPr>
            <w:tcW w:type="dxa" w:w="2160"/>
          </w:tcPr>
          <w:p>
            <w:r>
              <w:t>Central log store</w:t>
            </w:r>
          </w:p>
        </w:tc>
        <w:tc>
          <w:tcPr>
            <w:tcW w:type="dxa" w:w="2160"/>
          </w:tcPr>
          <w:p>
            <w:r>
              <w:t>Retained 12 months, then deleted</w:t>
            </w:r>
          </w:p>
        </w:tc>
        <w:tc>
          <w:tcPr>
            <w:tcW w:type="dxa" w:w="2160"/>
          </w:tcPr>
          <w:p>
            <w:r>
              <w:t>Used for security investigations</w:t>
            </w:r>
          </w:p>
        </w:tc>
      </w:tr>
      <w:tr>
        <w:tc>
          <w:tcPr>
            <w:tcW w:type="dxa" w:w="2160"/>
          </w:tcPr>
          <w:p>
            <w:r>
              <w:t>Billing and tax records</w:t>
            </w:r>
          </w:p>
        </w:tc>
        <w:tc>
          <w:tcPr>
            <w:tcW w:type="dxa" w:w="2160"/>
          </w:tcPr>
          <w:p>
            <w:r>
              <w:t>Finance systems</w:t>
            </w:r>
          </w:p>
        </w:tc>
        <w:tc>
          <w:tcPr>
            <w:tcW w:type="dxa" w:w="2160"/>
          </w:tcPr>
          <w:p>
            <w:r>
              <w:t>Retained 7 years</w:t>
            </w:r>
          </w:p>
        </w:tc>
        <w:tc>
          <w:tcPr>
            <w:tcW w:type="dxa" w:w="2160"/>
          </w:tcPr>
          <w:p>
            <w:r>
              <w:t>Legal obligation; not Customer Personal Data</w:t>
            </w:r>
          </w:p>
        </w:tc>
      </w:tr>
      <w:tr>
        <w:tc>
          <w:tcPr>
            <w:tcW w:type="dxa" w:w="2160"/>
          </w:tcPr>
          <w:p>
            <w:r>
              <w:t>Support tickets and transcripts</w:t>
            </w:r>
          </w:p>
        </w:tc>
        <w:tc>
          <w:tcPr>
            <w:tcW w:type="dxa" w:w="2160"/>
          </w:tcPr>
          <w:p>
            <w:r>
              <w:t>Support platform</w:t>
            </w:r>
          </w:p>
        </w:tc>
        <w:tc>
          <w:tcPr>
            <w:tcW w:type="dxa" w:w="2160"/>
          </w:tcPr>
          <w:p>
            <w:r>
              <w:t>Deleted within 90 days</w:t>
            </w:r>
          </w:p>
        </w:tc>
        <w:tc>
          <w:tcPr>
            <w:tcW w:type="dxa" w:w="2160"/>
          </w:tcPr>
          <w:p>
            <w:r>
              <w:t>Unless a dispute is open</w:t>
            </w:r>
          </w:p>
        </w:tc>
      </w:tr>
    </w:tbl>
    <w:p/>
    <w:p>
      <w:r>
        <w:t>On written request made before deletion, Acme will provide Customer a copy of Customer Content in a structured, machine-readable format.</w:t>
      </w:r>
    </w:p>
    <w:p>
      <w:pPr>
        <w:pStyle w:val="Heading1"/>
      </w:pPr>
      <w:r>
        <w:t>6. International transfers</w:t>
      </w:r>
    </w:p>
    <w:p>
      <w:r>
        <w:t>Where Acme transfers Customer Personal Data out of the EEA, the UK, or Switzerland to a country without an adequacy decision, the transfer is governed by the Standard Contractual Clauses, incorporated by reference. Customers on the Enterprise plan may elect EU-only data residency, in which case Customer Content is stored and processed solely in EU regions.</w:t>
      </w:r>
    </w:p>
    <w:p>
      <w:pPr>
        <w:pStyle w:val="Heading1"/>
      </w:pPr>
      <w:r>
        <w:t>7. Data subject requests</w:t>
      </w:r>
    </w:p>
    <w:p>
      <w:r>
        <w:t>Acme provides self-service tools that allow Customer to access, correct, export, and delete personal data. Acme will forward to Customer, without undue delay, any request received directly from a data subject relating to Customer Personal Data.</w:t>
      </w:r>
    </w:p>
    <w:p>
      <w:pPr>
        <w:pStyle w:val="Heading1"/>
      </w:pPr>
      <w:r>
        <w:t>8. Personal data breach</w:t>
      </w:r>
    </w:p>
    <w:p>
      <w:r>
        <w:t>Acme notifies Customer without undue delay and in any event within 72 hours of becoming aware of a personal data breach affecting Customer Personal Data, with the information Customer needs to meet its own notification obligations.</w:t>
      </w:r>
    </w:p>
    <w:p>
      <w:pPr>
        <w:pStyle w:val="Heading1"/>
      </w:pPr>
      <w:r>
        <w:t>9. Audit</w:t>
      </w:r>
    </w:p>
    <w:p>
      <w:r>
        <w:t>Acme makes available its most recent SOC 2 Type II report and certifications on request. Customer may, on 30 days' notice and no more than once per 12 months, conduct an audit limited to Acme's processing of Customer Personal Data, subject to confidentiality.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