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left"/>
      </w:pPr>
      <w:r>
        <w:rPr>
          <w:rFonts w:ascii="Calibri" w:hAnsi="Calibri"/>
          <w:b/>
          <w:color w:val="CC0033"/>
          <w:sz w:val="22"/>
        </w:rPr>
        <w:t>CVS HEALTH  ·  CareConnect</w:t>
      </w:r>
    </w:p>
    <w:p>
      <w:pPr>
        <w:spacing w:before="480"/>
      </w:pPr>
      <w:r>
        <w:rPr>
          <w:rFonts w:ascii="Calibri" w:hAnsi="Calibri"/>
          <w:b/>
          <w:color w:val="1A1A1A"/>
          <w:sz w:val="88"/>
        </w:rPr>
        <w:t>Technical Design</w:t>
      </w:r>
    </w:p>
    <w:p>
      <w:pPr>
        <w:spacing w:after="120"/>
      </w:pPr>
      <w:r>
        <w:rPr>
          <w:rFonts w:ascii="Calibri" w:hAnsi="Calibri"/>
          <w:color w:val="1A1A1A"/>
          <w:sz w:val="44"/>
        </w:rPr>
        <w:t>CareConnect Query Agent — V3 POC</w:t>
      </w:r>
    </w:p>
    <w:p>
      <w:r>
        <w:rPr>
          <w:rFonts w:ascii="Calibri" w:hAnsi="Calibri"/>
          <w:i/>
          <w:color w:val="555555"/>
          <w:sz w:val="26"/>
        </w:rPr>
        <w:t>End-to-end technical flow, data model, and managed-services rationale</w:t>
      </w:r>
    </w:p>
    <w:p>
      <w:pPr>
        <w:spacing w:before="720"/>
      </w:pPr>
    </w:p>
    <w:tbl>
      <w:tblPr>
        <w:tblW w:type="auto" w:w="0"/>
        <w:jc w:val="left"/>
        <w:tblLayout w:type="fixed"/>
        <w:tblLook w:firstColumn="1" w:firstRow="1" w:lastColumn="0" w:lastRow="0" w:noHBand="0" w:noVBand="1" w:val="04A0"/>
      </w:tblPr>
      <w:tblGrid>
        <w:gridCol w:w="4320"/>
        <w:gridCol w:w="4320"/>
      </w:tblGrid>
      <w:tr>
        <w:tc>
          <w:tcPr>
            <w:tcW w:type="dxa" w:w="2551"/>
            <w:tcBorders>
              <w:top w:val="single" w:sz="4" w:space="0" w:color="FFFFFF"/>
              <w:left w:val="single" w:sz="4" w:space="0" w:color="FFFFFF"/>
              <w:bottom w:val="single" w:sz="4" w:space="0" w:color="FFFFFF"/>
              <w:right w:val="single" w:sz="4" w:space="0" w:color="FFFFFF"/>
            </w:tcBorders>
            <w:vAlign w:val="center"/>
          </w:tcPr>
          <w:p>
            <w:r>
              <w:rPr>
                <w:rFonts w:ascii="Calibri" w:hAnsi="Calibri"/>
                <w:b/>
                <w:color w:val="555555"/>
                <w:sz w:val="20"/>
              </w:rPr>
              <w:t>Document</w:t>
            </w:r>
          </w:p>
        </w:tc>
        <w:tc>
          <w:tcPr>
            <w:tcW w:type="dxa" w:w="6236"/>
            <w:tcBorders>
              <w:top w:val="single" w:sz="4" w:space="0" w:color="FFFFFF"/>
              <w:left w:val="single" w:sz="4" w:space="0" w:color="FFFFFF"/>
              <w:bottom w:val="single" w:sz="4" w:space="0" w:color="FFFFFF"/>
              <w:right w:val="single" w:sz="4" w:space="0" w:color="FFFFFF"/>
            </w:tcBorders>
            <w:vAlign w:val="center"/>
          </w:tcPr>
          <w:p>
            <w:r>
              <w:rPr>
                <w:rFonts w:ascii="Calibri" w:hAnsi="Calibri"/>
                <w:sz w:val="22"/>
              </w:rPr>
              <w:t>Technical Design — V3 POC</w:t>
            </w:r>
          </w:p>
        </w:tc>
      </w:tr>
      <w:tr>
        <w:tc>
          <w:tcPr>
            <w:tcW w:type="dxa" w:w="2551"/>
            <w:tcBorders>
              <w:top w:val="single" w:sz="4" w:space="0" w:color="FFFFFF"/>
              <w:left w:val="single" w:sz="4" w:space="0" w:color="FFFFFF"/>
              <w:bottom w:val="single" w:sz="4" w:space="0" w:color="FFFFFF"/>
              <w:right w:val="single" w:sz="4" w:space="0" w:color="FFFFFF"/>
            </w:tcBorders>
            <w:vAlign w:val="center"/>
          </w:tcPr>
          <w:p>
            <w:r>
              <w:rPr>
                <w:rFonts w:ascii="Calibri" w:hAnsi="Calibri"/>
                <w:b/>
                <w:color w:val="555555"/>
                <w:sz w:val="20"/>
              </w:rPr>
              <w:t>Audience</w:t>
            </w:r>
          </w:p>
        </w:tc>
        <w:tc>
          <w:tcPr>
            <w:tcW w:type="dxa" w:w="6236"/>
            <w:tcBorders>
              <w:top w:val="single" w:sz="4" w:space="0" w:color="FFFFFF"/>
              <w:left w:val="single" w:sz="4" w:space="0" w:color="FFFFFF"/>
              <w:bottom w:val="single" w:sz="4" w:space="0" w:color="FFFFFF"/>
              <w:right w:val="single" w:sz="4" w:space="0" w:color="FFFFFF"/>
            </w:tcBorders>
            <w:vAlign w:val="center"/>
          </w:tcPr>
          <w:p>
            <w:r>
              <w:rPr>
                <w:rFonts w:ascii="Calibri" w:hAnsi="Calibri"/>
                <w:sz w:val="22"/>
              </w:rPr>
              <w:t>Technical Manager — CareConnect Engineering, CVS Health</w:t>
            </w:r>
          </w:p>
        </w:tc>
      </w:tr>
      <w:tr>
        <w:tc>
          <w:tcPr>
            <w:tcW w:type="dxa" w:w="2551"/>
            <w:tcBorders>
              <w:top w:val="single" w:sz="4" w:space="0" w:color="FFFFFF"/>
              <w:left w:val="single" w:sz="4" w:space="0" w:color="FFFFFF"/>
              <w:bottom w:val="single" w:sz="4" w:space="0" w:color="FFFFFF"/>
              <w:right w:val="single" w:sz="4" w:space="0" w:color="FFFFFF"/>
            </w:tcBorders>
            <w:vAlign w:val="center"/>
          </w:tcPr>
          <w:p>
            <w:r>
              <w:rPr>
                <w:rFonts w:ascii="Calibri" w:hAnsi="Calibri"/>
                <w:b/>
                <w:color w:val="555555"/>
                <w:sz w:val="20"/>
              </w:rPr>
              <w:t>Version</w:t>
            </w:r>
          </w:p>
        </w:tc>
        <w:tc>
          <w:tcPr>
            <w:tcW w:type="dxa" w:w="6236"/>
            <w:tcBorders>
              <w:top w:val="single" w:sz="4" w:space="0" w:color="FFFFFF"/>
              <w:left w:val="single" w:sz="4" w:space="0" w:color="FFFFFF"/>
              <w:bottom w:val="single" w:sz="4" w:space="0" w:color="FFFFFF"/>
              <w:right w:val="single" w:sz="4" w:space="0" w:color="FFFFFF"/>
            </w:tcBorders>
            <w:vAlign w:val="center"/>
          </w:tcPr>
          <w:p>
            <w:r>
              <w:rPr>
                <w:rFonts w:ascii="Calibri" w:hAnsi="Calibri"/>
                <w:sz w:val="22"/>
              </w:rPr>
              <w:t>1.0</w:t>
            </w:r>
          </w:p>
        </w:tc>
      </w:tr>
      <w:tr>
        <w:tc>
          <w:tcPr>
            <w:tcW w:type="dxa" w:w="2551"/>
            <w:tcBorders>
              <w:top w:val="single" w:sz="4" w:space="0" w:color="FFFFFF"/>
              <w:left w:val="single" w:sz="4" w:space="0" w:color="FFFFFF"/>
              <w:bottom w:val="single" w:sz="4" w:space="0" w:color="FFFFFF"/>
              <w:right w:val="single" w:sz="4" w:space="0" w:color="FFFFFF"/>
            </w:tcBorders>
            <w:vAlign w:val="center"/>
          </w:tcPr>
          <w:p>
            <w:r>
              <w:rPr>
                <w:rFonts w:ascii="Calibri" w:hAnsi="Calibri"/>
                <w:b/>
                <w:color w:val="555555"/>
                <w:sz w:val="20"/>
              </w:rPr>
              <w:t>Date</w:t>
            </w:r>
          </w:p>
        </w:tc>
        <w:tc>
          <w:tcPr>
            <w:tcW w:type="dxa" w:w="6236"/>
            <w:tcBorders>
              <w:top w:val="single" w:sz="4" w:space="0" w:color="FFFFFF"/>
              <w:left w:val="single" w:sz="4" w:space="0" w:color="FFFFFF"/>
              <w:bottom w:val="single" w:sz="4" w:space="0" w:color="FFFFFF"/>
              <w:right w:val="single" w:sz="4" w:space="0" w:color="FFFFFF"/>
            </w:tcBorders>
            <w:vAlign w:val="center"/>
          </w:tcPr>
          <w:p>
            <w:r>
              <w:rPr>
                <w:rFonts w:ascii="Calibri" w:hAnsi="Calibri"/>
                <w:sz w:val="22"/>
              </w:rPr>
              <w:t>2026-06-26</w:t>
            </w:r>
          </w:p>
        </w:tc>
      </w:tr>
    </w:tbl>
    <w:p>
      <w:r>
        <w:br w:type="page"/>
      </w:r>
    </w:p>
    <w:p>
      <w:pPr>
        <w:pStyle w:val="Heading1"/>
      </w:pPr>
      <w:r>
        <w:rPr>
          <w:rFonts w:ascii="Calibri" w:hAnsi="Calibri"/>
          <w:color w:val="CC0033"/>
        </w:rPr>
        <w:t>Contents</w:t>
      </w:r>
    </w:p>
    <w:p>
      <w:pPr>
        <w:spacing w:after="60"/>
      </w:pPr>
      <w:r>
        <w:rPr>
          <w:rFonts w:ascii="Calibri" w:hAnsi="Calibri"/>
          <w:sz w:val="22"/>
        </w:rPr>
        <w:t xml:space="preserve"> 1.  Executive Summary</w:t>
      </w:r>
    </w:p>
    <w:p>
      <w:pPr>
        <w:spacing w:after="60"/>
      </w:pPr>
      <w:r>
        <w:rPr>
          <w:rFonts w:ascii="Calibri" w:hAnsi="Calibri"/>
          <w:sz w:val="22"/>
        </w:rPr>
        <w:t xml:space="preserve"> 2.  Technical Flow Design</w:t>
      </w:r>
    </w:p>
    <w:p>
      <w:pPr>
        <w:spacing w:after="60"/>
      </w:pPr>
      <w:r>
        <w:rPr>
          <w:rFonts w:ascii="Calibri" w:hAnsi="Calibri"/>
          <w:sz w:val="22"/>
        </w:rPr>
        <w:t xml:space="preserve"> 3.  Data Model &amp; Entity-Relationship Diagram</w:t>
      </w:r>
    </w:p>
    <w:p>
      <w:pPr>
        <w:spacing w:after="60"/>
      </w:pPr>
      <w:r>
        <w:rPr>
          <w:rFonts w:ascii="Calibri" w:hAnsi="Calibri"/>
          <w:sz w:val="22"/>
        </w:rPr>
        <w:t xml:space="preserve"> 4.  Tech Stack — Managed Services &amp; Rationale</w:t>
      </w:r>
    </w:p>
    <w:p>
      <w:pPr>
        <w:spacing w:after="60"/>
      </w:pPr>
      <w:r>
        <w:rPr>
          <w:rFonts w:ascii="Calibri" w:hAnsi="Calibri"/>
          <w:sz w:val="22"/>
        </w:rPr>
        <w:t xml:space="preserve"> 5.  Security &amp; Compliance</w:t>
      </w:r>
    </w:p>
    <w:p>
      <w:pPr>
        <w:spacing w:after="60"/>
      </w:pPr>
      <w:r>
        <w:rPr>
          <w:rFonts w:ascii="Calibri" w:hAnsi="Calibri"/>
          <w:sz w:val="22"/>
        </w:rPr>
        <w:t xml:space="preserve"> 6.  Deployment Topology &amp; Observability</w:t>
      </w:r>
    </w:p>
    <w:p>
      <w:pPr>
        <w:spacing w:after="60"/>
      </w:pPr>
      <w:r>
        <w:rPr>
          <w:rFonts w:ascii="Calibri" w:hAnsi="Calibri"/>
          <w:sz w:val="22"/>
        </w:rPr>
        <w:t xml:space="preserve"> 7.  Synthesis Change-Log</w:t>
      </w:r>
    </w:p>
    <w:p>
      <w:r>
        <w:br w:type="page"/>
      </w:r>
    </w:p>
    <w:p>
      <w:pPr>
        <w:pStyle w:val="Heading1"/>
      </w:pPr>
      <w:r>
        <w:rPr>
          <w:rFonts w:ascii="Calibri" w:hAnsi="Calibri"/>
          <w:color w:val="CC0033"/>
        </w:rPr>
        <w:t>Executive Summary</w:t>
      </w:r>
    </w:p>
    <w:p>
      <w:pPr>
        <w:spacing w:after="120" w:line="300" w:lineRule="auto"/>
      </w:pPr>
      <w:r>
        <w:rPr>
          <w:rFonts w:ascii="Calibri" w:hAnsi="Calibri"/>
        </w:rPr>
        <w:t>CareConnect Query Agent V3 is a natural language query interface enabling US-based care managers to retrieve member records and care gap analytics from MongoDB and BigQuery using plain English questions, without writing queries or SQL. The primary users are non-technical clinical staff who need fast, accurate access to caseload data during day-to-day care management work. The problem is threefold: the V2 system costs $7,968 per year in LLM spend alone; its exact-match cache fails on paraphrased questions, capping effectiveness at roughly 30%; and its hardcoded pipeline has no crash recovery and cannot be composed into the multi-agent architecture the organization intends to build.</w:t>
      </w:r>
    </w:p>
    <w:p>
      <w:pPr>
        <w:spacing w:after="120" w:line="300" w:lineRule="auto"/>
      </w:pPr>
      <w:r>
        <w:rPr>
          <w:rFonts w:ascii="Calibri" w:hAnsi="Calibri"/>
        </w:rPr>
        <w:t>V3 replaces the LLM, the orchestration layer, and the cache mechanism simultaneously but does not change the data model, the portal interface, or the MongoDB Atlas cluster configuration. V2 relied on Claude Sonnet through the CVS LMS Gateway and a hardcoded function pipeline. V3 moves to a structured LangGraph named-node pipeline where each step has a defined role and the LLM is invoked only when genuinely needed — twice per cache-miss request — eliminating the reasoning overhead a ReAct loop would impose on a well-understood pipeline. The LLM switches to Gemini Flash via the Google AI Generative API, paired with Google AI context caching to hold the static schema and few-shot examples across requests, reducing per-translation token cost by 75%. The semantic cache upgrades from exact-hash matching to pgvector cosine similarity inside the existing Cloud SQL instance, raising the expected cache hit rate from 30% to roughly 50%.</w:t>
      </w:r>
    </w:p>
    <w:p>
      <w:pPr>
        <w:spacing w:after="120" w:line="300" w:lineRule="auto"/>
      </w:pPr>
      <w:r>
        <w:rPr>
          <w:rFonts w:ascii="Calibri" w:hAnsi="Calibri"/>
        </w:rPr>
        <w:t>Security controls are LangGraph nodes, not prompt instructions. Three structural checkpoints bracket the LLM: an input gate that runs before any other node on every request; pipeline validation guards that sit between the translator and the MCP executor; and an output gate that runs after every MCP execution. None of these can be bypassed by routing logic because the conditional edges that would omit them do not exist in the compiled graph. PHI from query results never enters any Gemini API call — MCP execution results flow directly from the executor to the output gate without re-entering the LLM, as a structural property of the graph, not a convention. The BigQuery audit log retains records for six years per 45 CFR 164.530(j). Accuracy is enforced through per-class harm-tier gates: Tier 1 failures (member identity confusion, care-gap status inversion) require 95% class accuracy; Tier 2 failures (incorrect counts, wrong trend direction) require 85%; Tier 3 cosmetic issues require 75%. Failing any per-class minimum is a hard deployment block regardless of aggregate score.</w:t>
      </w:r>
    </w:p>
    <w:p>
      <w:pPr>
        <w:spacing w:after="120" w:line="300" w:lineRule="auto"/>
      </w:pPr>
      <w:r>
        <w:rPr>
          <w:rFonts w:ascii="Calibri" w:hAnsi="Calibri"/>
        </w:rPr>
        <w:t>LLM-only annual spend drops from $7,968 to $432 — a 94% reduction driven by Gemini Flash at roughly 40x lower token cost on routing calls specifically (the per-request cost reduction against a full V2 cache miss is approximately 73x), context caching on the 15,000-token static prompt, and higher semantic cache hit rates. The POC success criterion for cache hit rate is 45% or above over any 7-day measurement window; the cost model and design expectation assume 50% at steady state. Full-system cost on existing CVS infrastructure runs $250 to $338 per month, with GKE compute accounting for 60 to 70% of that total. Latency targets are under 3 seconds at p95 for cache-miss requests without Pro escalation and under 5 seconds with escalation, sized against the measured cross-region round-trip from the existing us-east4 GKE cluster to the Google AI API endpoint in us-central1. Total request wall time is capped at 15 seconds (5-second Flash timeout plus a 10-second Pro timeout for escalated requests). When Flash returns low-confidence routing or an UNCERTAIN translation verdict, the system automatically escalates that single request to Gemini 1.5 Pro at a projected rate of 3 to 12% of cache misses.</w:t>
      </w:r>
    </w:p>
    <w:p>
      <w:pPr>
        <w:spacing w:after="120" w:line="300" w:lineRule="auto"/>
      </w:pPr>
      <w:r>
        <w:rPr>
          <w:rFonts w:ascii="Calibri" w:hAnsi="Calibri"/>
        </w:rPr>
        <w:t>The POC carries explicit deferrals that the engineering team accepted as constraints. HIPAA BAA status for the Google AI Generative API is being resolved by Legal and Compliance as a parallel workstream; Phase 1 onboarding of live care managers cannot begin until BAA status is confirmed, and all pre-Phase-1 development uses synthetic care manager data only. The cross-region deployment is accepted as a POC constraint with latency budgets sized to the measured round-trip. If the BAA path requires a move to Vertex AI, that SDK swap is scoped as a separate workstream rather than bundled into this POC.</w:t>
      </w:r>
    </w:p>
    <w:p>
      <w:r>
        <w:br w:type="page"/>
      </w:r>
    </w:p>
    <w:p>
      <w:pPr>
        <w:pStyle w:val="Heading1"/>
      </w:pPr>
      <w:r>
        <w:rPr>
          <w:rFonts w:ascii="Calibri" w:hAnsi="Calibri"/>
          <w:color w:val="CC0033"/>
        </w:rPr>
        <w:t>Technical Flow Design</w:t>
      </w:r>
    </w:p>
    <w:p>
      <w:pPr>
        <w:pStyle w:val="Heading3"/>
      </w:pPr>
      <w:r>
        <w:rPr>
          <w:rFonts w:ascii="Calibri" w:hAnsi="Calibri"/>
          <w:color w:val="1A1A1A"/>
        </w:rPr>
        <w:t>Ingress and Rate Limiting</w:t>
      </w:r>
    </w:p>
    <w:p>
      <w:pPr>
        <w:spacing w:after="120" w:line="300" w:lineRule="auto"/>
      </w:pPr>
      <w:r>
        <w:rPr>
          <w:rFonts w:ascii="Calibri" w:hAnsi="Calibri"/>
        </w:rPr>
        <w:t>The FastAPI ingress layer validates the JWT carried on the incoming POST before any agent code runs. It checks the token's signature against the platform's public key, confirms the `exp` claim is in the future, and extracts `user_id`, `session_id`, and `caseload_scope` from the token claims. Requests with missing, expired, or malformed tokens are rejected with HTTP 401. Successfully authenticated requests have their verified claims written into the initial `AgentState`, and the LangGraph pipeline receives a state that already carries confirmed identity. The `X-Request-ID` header is re-validated against the pattern `^[A-Za-z0-9_\-]{1,64}$` before being used in any trace or log, preventing header injection from propagating into queryable log fields.</w:t>
      </w:r>
    </w:p>
    <w:p>
      <w:pPr>
        <w:spacing w:after="120" w:line="300" w:lineRule="auto"/>
      </w:pPr>
      <w:r>
        <w:rPr>
          <w:rFonts w:ascii="Calibri" w:hAnsi="Calibri"/>
        </w:rPr>
        <w:t>Rate limiting runs synchronously at this layer before the LangGraph `START` edge fires. Per-user limits (30 req/min) and global limits (500 req/min) are enforced via a `SELECT FOR UPDATE` followed immediately by an UPSERT on the Cloud SQL `rate_limit_counter` scope row. This single-row lock coordinates across all pods in the HPA group so that scale-out does not multiply the effective limit. Requests that breach either threshold receive HTTP 429 with a `Retry-After` header. The lock acquisition adds roughly 10ms at p99 on the existing Cloud SQL instance.</w:t>
      </w:r>
    </w:p>
    <w:p>
      <w:pPr>
        <w:pStyle w:val="Heading3"/>
      </w:pPr>
      <w:r>
        <w:rPr>
          <w:rFonts w:ascii="Calibri" w:hAnsi="Calibri"/>
          <w:color w:val="1A1A1A"/>
        </w:rPr>
        <w:t>input_security_node</w:t>
      </w:r>
    </w:p>
    <w:p>
      <w:pPr>
        <w:spacing w:after="120" w:line="300" w:lineRule="auto"/>
      </w:pPr>
      <w:r>
        <w:rPr>
          <w:rFonts w:ascii="Calibri" w:hAnsi="Calibri"/>
        </w:rPr>
        <w:t>`input_security_node` runs three checks in strict order on every request, including cache hits. No downstream node can bypass it because it sits on the `START` edge of the compiled graph.</w:t>
      </w:r>
    </w:p>
    <w:p>
      <w:pPr>
        <w:spacing w:after="120" w:line="300" w:lineRule="auto"/>
      </w:pPr>
      <w:r>
        <w:rPr>
          <w:rFonts w:ascii="Calibri" w:hAnsi="Calibri"/>
        </w:rPr>
        <w:t>First, scope classification: a deterministic keyword classifier tests whether the question concerns CareConnect member records or care gap analytics. An out-of-scope question is refused immediately with a polite message, and the graph edges to `audit` with `outcome=Outcome.refusal`. No embedding is computed, no LLM is called.</w:t>
      </w:r>
    </w:p>
    <w:p>
      <w:pPr>
        <w:spacing w:after="120" w:line="300" w:lineRule="auto"/>
      </w:pPr>
      <w:r>
        <w:rPr>
          <w:rFonts w:ascii="Calibri" w:hAnsi="Calibri"/>
        </w:rPr>
        <w:t>Second, PII strip: a deterministic regex pass removes obvious member identifiers — name patterns, MRN format, date-of-birth strings — from the question text and writes the cleaned form to `state.normalized_question`. The raw question remains in the in-memory state object but is never written to any checkpoint or trace.</w:t>
      </w:r>
    </w:p>
    <w:p>
      <w:pPr>
        <w:spacing w:after="120" w:line="300" w:lineRule="auto"/>
      </w:pPr>
      <w:r>
        <w:rPr>
          <w:rFonts w:ascii="Calibri" w:hAnsi="Calibri"/>
        </w:rPr>
        <w:t>Third, injection detection: the PII-stripped question is sent to Gemini Flash via a short hardened prompt of roughly 500 tokens. The classifier returns a binary `injection` or `safe` judgment. On a detected injection the node writes a SOC alert into the audit payload and edges to `audit` with `outcome=Outcome.blocked`. On classifier unavailability, the node fails closed — it returns `outcome=Outcome.refusal` rather than passing an unverified question to the translator. The false-negative floor on the golden injection test set must stay at or below 1%. A planned post-POC replacement with a local in-process classifier (Meta `prompt-guard-86m` or equivalent) would make this step fully deterministic and remove approximately 300ms from the hot path.</w:t>
      </w:r>
    </w:p>
    <w:p>
      <w:pPr>
        <w:pStyle w:val="Heading3"/>
      </w:pPr>
      <w:r>
        <w:rPr>
          <w:rFonts w:ascii="Calibri" w:hAnsi="Calibri"/>
          <w:color w:val="1A1A1A"/>
        </w:rPr>
        <w:t>load_context_node</w:t>
      </w:r>
    </w:p>
    <w:p>
      <w:pPr>
        <w:spacing w:after="120" w:line="300" w:lineRule="auto"/>
      </w:pPr>
      <w:r>
        <w:rPr>
          <w:rFonts w:ascii="Calibri" w:hAnsi="Calibri"/>
        </w:rPr>
        <w:t>`load_context_node` performs synonym normalization and question embedding in sequence. It reads `state.normalized_question` and applies clinical shorthand expansion via the in-process Schema Registry (for example, "AWV" becomes "annual_wellness_visit"). It then calls the `text-embedding-004` API on the normalized, PII-stripped text and writes the resulting 768-dimensional vector to `state.question_embedding`.</w:t>
      </w:r>
    </w:p>
    <w:p>
      <w:pPr>
        <w:spacing w:after="120" w:line="300" w:lineRule="auto"/>
      </w:pPr>
      <w:r>
        <w:rPr>
          <w:rFonts w:ascii="Calibri" w:hAnsi="Calibri"/>
        </w:rPr>
        <w:t>The embedding is computed here, before the cache lookup, as a deliberate latency design: the vector is needed regardless of whether the cache hits, so computing it in `load_context` means `semantic_cache_node` performs a pure database lookup with no outbound API call on its critical path. On an embedding API failure, the node degrades gracefully — it continues without the embedding, meaning no semantic cache hit is possible for that request, but the translation path still runs.</w:t>
      </w:r>
    </w:p>
    <w:p>
      <w:pPr>
        <w:pStyle w:val="Heading3"/>
      </w:pPr>
      <w:r>
        <w:rPr>
          <w:rFonts w:ascii="Calibri" w:hAnsi="Calibri"/>
          <w:color w:val="1A1A1A"/>
        </w:rPr>
        <w:t>semantic_cache_node</w:t>
      </w:r>
    </w:p>
    <w:p>
      <w:pPr>
        <w:spacing w:after="120" w:line="300" w:lineRule="auto"/>
      </w:pPr>
      <w:r>
        <w:rPr>
          <w:rFonts w:ascii="Calibri" w:hAnsi="Calibri"/>
        </w:rPr>
        <w:t>`semantic_cache_node` performs a two-tier cache lookup using only the pre-computed state fields — it makes no external API calls. Stage one computes `SHA-256(normalized_question + SCHEMA_VERSION + BOUNDS_VERSION)` and runs a single indexed lookup against the `translation_cache` table. A hit returns the stored validated query template and sets `state.cache_hit = True`, and the graph edges directly to `mcp_executor`, skipping the entire LLM translation pipeline.</w:t>
      </w:r>
    </w:p>
    <w:p>
      <w:pPr>
        <w:spacing w:after="120" w:line="300" w:lineRule="auto"/>
      </w:pPr>
      <w:r>
        <w:rPr>
          <w:rFonts w:ascii="Calibri" w:hAnsi="Calibri"/>
        </w:rPr>
        <w:t>Stage two, reached only on a hash miss, runs a cosine similarity query against the HNSW-indexed `question_embedding` column using the pgvector `&lt;=&gt;` operator directly in the `ORDER BY` clause. The Python layer checks whether `(1 - distance) &gt;= 0.95` before accepting the hit. The `&lt;=&gt;` operator must appear in the `ORDER BY` clause, not wrapped in arithmetic in a `WHERE` clause, which would defeat the HNSW index. On a semantic hit, the cached query template (which contains `:user_id` and `:caseload_scope` bind parameters, never literal identifiers) is forwarded to `mcp_executor`. A cache miss sets `state.cache_hit = False` and the graph edges to `source_router`. On Cloud SQL timeout, the node falls through to the cache-miss path rather than blocking — a missing cache entry is a performance degradation, not a system failure.</w:t>
      </w:r>
    </w:p>
    <w:p>
      <w:pPr>
        <w:pStyle w:val="Heading3"/>
      </w:pPr>
      <w:r>
        <w:rPr>
          <w:rFonts w:ascii="Calibri" w:hAnsi="Calibri"/>
          <w:color w:val="1A1A1A"/>
        </w:rPr>
        <w:t>source_router_node</w:t>
      </w:r>
    </w:p>
    <w:p>
      <w:pPr>
        <w:spacing w:after="120" w:line="300" w:lineRule="auto"/>
      </w:pPr>
      <w:r>
        <w:rPr>
          <w:rFonts w:ascii="Calibri" w:hAnsi="Calibri"/>
        </w:rPr>
        <w:t>`source_router_node` makes the first Gemini Flash LLM call. It sends `state.normalized_question` with a short classification prompt and receives a JSON response containing a `source` field (`mongodb` or `bigquery`) and a `routing_confidence` score between 0 and 1. If `routing_confidence` falls below the configured threshold (default 0.7, set as an environment variable) the graph edges directly to `pro_escalation_node`, skipping Flash translation entirely. On a Gemini API timeout (hard limit: 5 seconds) the node raises an exception that returns a user-visible error with a trace ID. On a confident response the graph edges to `translator_node`.</w:t>
      </w:r>
    </w:p>
    <w:p>
      <w:pPr>
        <w:pStyle w:val="Heading3"/>
      </w:pPr>
      <w:r>
        <w:rPr>
          <w:rFonts w:ascii="Calibri" w:hAnsi="Calibri"/>
          <w:color w:val="1A1A1A"/>
        </w:rPr>
        <w:t>translator_node</w:t>
      </w:r>
    </w:p>
    <w:p>
      <w:pPr>
        <w:spacing w:after="120" w:line="300" w:lineRule="auto"/>
      </w:pPr>
      <w:r>
        <w:rPr>
          <w:rFonts w:ascii="Calibri" w:hAnsi="Calibri"/>
        </w:rPr>
        <w:t>`translator_node` makes the second Gemini Flash LLM call, reading the active context cache name from the `context_cache_registry` table with a 60-second in-process TTL on the lookup. The static context — system prompt, full schema, and 50 few-shot examples at roughly 15,000 tokens — is billed at the cached-input rate. The dynamic portion (normalized question plus routing decision) is roughly 2,000 tokens billed at the standard rate. The model output is a JSON object containing the generated MQL or SQL query and a `confidence_verdict` of `CONFIDENT` or `UNCERTAIN`. PHI from query results never enters this call; the translator receives only the care manager's de-identified, PII-stripped question and the schema.</w:t>
      </w:r>
    </w:p>
    <w:p>
      <w:pPr>
        <w:spacing w:after="120" w:line="300" w:lineRule="auto"/>
      </w:pPr>
      <w:r>
        <w:rPr>
          <w:rFonts w:ascii="Calibri" w:hAnsi="Calibri"/>
        </w:rPr>
        <w:t>On an `UNCERTAIN` verdict when `state.tier == Tier.flash`, the graph edges to `pro_escalation_node`. On a `CONFIDENT` verdict the graph edges to `accuracy_check_node`. The translator can also self-signal repair by setting `state.validation_status = ValStatus.repair` on malformed output; in that case the edge predicate checks the repair budget and tier before routing. A Gemini API timeout (hard limit: 5 seconds) returns a user-visible error.</w:t>
      </w:r>
    </w:p>
    <w:p>
      <w:pPr>
        <w:pStyle w:val="Heading3"/>
      </w:pPr>
      <w:r>
        <w:rPr>
          <w:rFonts w:ascii="Calibri" w:hAnsi="Calibri"/>
          <w:color w:val="1A1A1A"/>
        </w:rPr>
        <w:t>pro_escalation_node</w:t>
      </w:r>
    </w:p>
    <w:p>
      <w:pPr>
        <w:spacing w:after="120" w:line="300" w:lineRule="auto"/>
      </w:pPr>
      <w:r>
        <w:rPr>
          <w:rFonts w:ascii="Calibri" w:hAnsi="Calibri"/>
        </w:rPr>
        <w:t>`pro_escalation_node` is the cold-path fallback. It receives the same inputs as `translator_node` but uses `gemini-1.5-pro` with no cached context, paying the full schema cost — approximately $0.024 per call for the translation step alone versus approximately $0.000611 for the Flash translation step (cached context $0.000281 plus dynamic tokens). `pro_escalation_node` always edges unconditionally to `accuracy_check_node`. If Pro also returns `UNCERTAIN`, that flag is retained in the response and the UI renders an uncertainty banner. Escalation bypasses no safety control.</w:t>
      </w:r>
    </w:p>
    <w:p>
      <w:pPr>
        <w:pStyle w:val="Heading3"/>
      </w:pPr>
      <w:r>
        <w:rPr>
          <w:rFonts w:ascii="Calibri" w:hAnsi="Calibri"/>
          <w:color w:val="1A1A1A"/>
        </w:rPr>
        <w:t>accuracy_check_node</w:t>
      </w:r>
    </w:p>
    <w:p>
      <w:pPr>
        <w:spacing w:after="120" w:line="300" w:lineRule="auto"/>
      </w:pPr>
      <w:r>
        <w:rPr>
          <w:rFonts w:ascii="Calibri" w:hAnsi="Calibri"/>
        </w:rPr>
        <w:t>`accuracy_check_node` is fully deterministic. It checks that the operation type in the generated query is consistent with the detected intent: a `count` intent must produce an aggregation count operator; a `filter` intent must produce a match stage or WHERE clause. It also checks that expected structural fields are present. On a pass it sets `state.accuracy_check = AccCheck.passed` and the graph edges to `query_validator`. On a mismatch it increments `state.repair_count` and sets `state.validation_status = ValStatus.repair`.</w:t>
      </w:r>
    </w:p>
    <w:p>
      <w:pPr>
        <w:spacing w:after="120" w:line="300" w:lineRule="auto"/>
      </w:pPr>
      <w:r>
        <w:rPr>
          <w:rFonts w:ascii="Calibri" w:hAnsi="Calibri"/>
        </w:rPr>
        <w:t>The routing from `accuracy_check` on a mismatch is: if `repair_count &lt; max_repair_attempts + 1` and `tier == flash`, route back to `translator`; if `repair_count &lt; max_repair_attempts + 1` and `tier == pro`, route to `pro_escalation`; if the repair budget is exhausted on either tier, route to `audit` with `outcome=validation_failed`. An exhausted Flash repair budget routes to `audit`, not to `pro_escalation` — escalation is triggered by low routing confidence or an UNCERTAIN verdict, not by repair budget exhaustion.</w:t>
      </w:r>
    </w:p>
    <w:p>
      <w:pPr>
        <w:pStyle w:val="Heading3"/>
      </w:pPr>
      <w:r>
        <w:rPr>
          <w:rFonts w:ascii="Calibri" w:hAnsi="Calibri"/>
          <w:color w:val="1A1A1A"/>
        </w:rPr>
        <w:t>query_validator_node</w:t>
      </w:r>
    </w:p>
    <w:p>
      <w:pPr>
        <w:spacing w:after="120" w:line="300" w:lineRule="auto"/>
      </w:pPr>
      <w:r>
        <w:rPr>
          <w:rFonts w:ascii="Calibri" w:hAnsi="Calibri"/>
        </w:rPr>
        <w:t>`query_validator_node` runs four deterministic stages. Stage 1 is the write-operation guard: it inspects the AST for any insert, update, delete, drop, create, alter, or MQL mutation operator. Detection is a hard block with a SOC alert and `outcome=validation_failed`. Stage 2 checks that the `:user_id` bind parameter placeholder is present in the correct structural position. A missing scope filter is a hard block with a SOC alert. Stage 3 cross-references every field name in the query against the Schema Registry. A hallucinated field triggers a single repair attempt, routing back to `translator` (or `pro_escalation` if already on the Pro tier) with a sanitized error message. Stage 4 performs a cost estimate — BigQuery dry-run byte scan or MongoDB collection scan heuristic. A query estimated to exceed the configured cost threshold sets `state.validation_status = ValStatus.too_expensive` and edges to `narrow_request_node`.</w:t>
      </w:r>
    </w:p>
    <w:p>
      <w:pPr>
        <w:pStyle w:val="Heading3"/>
      </w:pPr>
      <w:r>
        <w:rPr>
          <w:rFonts w:ascii="Calibri" w:hAnsi="Calibri"/>
          <w:color w:val="1A1A1A"/>
        </w:rPr>
        <w:t>The Repair Loop and PHI Safety</w:t>
      </w:r>
    </w:p>
    <w:p>
      <w:pPr>
        <w:spacing w:after="120" w:line="300" w:lineRule="auto"/>
      </w:pPr>
      <w:r>
        <w:rPr>
          <w:rFonts w:ascii="Calibri" w:hAnsi="Calibri"/>
        </w:rPr>
        <w:t>`sanitize_repair_context()` is the sole producer of repair injection strings. It is permitted to include the offending field name and the validator stage that fired; it is prohibited from including any row value, bind-parameter value, or MCP result. The repair count is hard-capped at `MAX_REPAIR_ATTEMPTS` (1) in two places — the conditional edge predicate and as a guard at the top of `translator_node` — so a future refactor of the edge logic cannot reintroduce an unbounded retry loop.</w:t>
      </w:r>
    </w:p>
    <w:p>
      <w:pPr>
        <w:pStyle w:val="Heading3"/>
      </w:pPr>
      <w:r>
        <w:rPr>
          <w:rFonts w:ascii="Calibri" w:hAnsi="Calibri"/>
          <w:color w:val="1A1A1A"/>
        </w:rPr>
        <w:t>narrow_request_node</w:t>
      </w:r>
    </w:p>
    <w:p>
      <w:pPr>
        <w:spacing w:after="120" w:line="300" w:lineRule="auto"/>
      </w:pPr>
      <w:r>
        <w:rPr>
          <w:rFonts w:ascii="Calibri" w:hAnsi="Calibri"/>
        </w:rPr>
        <w:t>`narrow_request_node` is reached when the query validator's Stage 4 cost guard fires. It returns a user-visible refusal message asking the care manager to add a date range, a specific care-gap type, or a member identifier to narrow the query. It sets `outcome=Outcome.clarify` and writes `formatted_response` with `kind=narrow_request`. It then edges directly to `audit_node`, bypassing `output_security` entirely — there are no query results to scrub, making the bypass correct and safe. The audit record captures the `clarify` outcome.</w:t>
      </w:r>
    </w:p>
    <w:p>
      <w:pPr>
        <w:pStyle w:val="Heading3"/>
      </w:pPr>
      <w:r>
        <w:rPr>
          <w:rFonts w:ascii="Calibri" w:hAnsi="Calibri"/>
          <w:color w:val="1A1A1A"/>
        </w:rPr>
        <w:t>mcp_executor_node</w:t>
      </w:r>
    </w:p>
    <w:p>
      <w:pPr>
        <w:spacing w:after="120" w:line="300" w:lineRule="auto"/>
      </w:pPr>
      <w:r>
        <w:rPr>
          <w:rFonts w:ascii="Calibri" w:hAnsi="Calibri"/>
        </w:rPr>
        <w:t>`mcp_executor_node` does not call the Gemini API. It sends the validated query template to the MCP Server pod over cluster-internal mTLS at `https://mcp-server.default.svc.cluster.local:8081/v1/execute`. The MCP Server binds `:user_id` and `:caseload_scope` from the `AgentState` fields at execution time — these substitutions happen at the MCP layer, not inside the agent pod. All queries are read-only. Results are written to `state.query_results`. MCP execution timeout is 500ms p95. On timeout the node raises, returning a user-visible error. Critically, `state.query_results` never passes back through any LLM call; it travels directly from this node to `output_security_node`.</w:t>
      </w:r>
    </w:p>
    <w:p>
      <w:pPr>
        <w:pStyle w:val="Heading3"/>
      </w:pPr>
      <w:r>
        <w:rPr>
          <w:rFonts w:ascii="Calibri" w:hAnsi="Calibri"/>
          <w:color w:val="1A1A1A"/>
        </w:rPr>
        <w:t>output_security_node</w:t>
      </w:r>
    </w:p>
    <w:p>
      <w:pPr>
        <w:spacing w:after="120" w:line="300" w:lineRule="auto"/>
      </w:pPr>
      <w:r>
        <w:rPr>
          <w:rFonts w:ascii="Calibri" w:hAnsi="Calibri"/>
        </w:rPr>
        <w:t>`output_security_node` is fully deterministic and structurally unreachable by the LLM. It runs five checks in sequence. PHI scrubbing removes fields outside the user's access level from every result row. Row capping truncates ad-hoc responses at 100 rows and export responses at 1,000. Scope confirmation verifies every result row belongs to a member within `state.caseload_scope`; a foreign row blocks the entire result and raises a SOC alert. Sanity bounds checks clinical values against the Bounds Registry — soft-warn values deliver the answer with a visible banner; hard-block values block the result entirely. The per-intent field allowlist strips any field not on the approved list for the detected intent type, serving as defense in depth against a translator that returns broader projections than required. A clean pass sets `state.outcome = Outcome.success` and edges to `save_state_node`. A scope or hard-bounds violation routes directly to `audit`.</w:t>
      </w:r>
    </w:p>
    <w:p>
      <w:pPr>
        <w:pStyle w:val="Heading3"/>
      </w:pPr>
      <w:r>
        <w:rPr>
          <w:rFonts w:ascii="Calibri" w:hAnsi="Calibri"/>
          <w:color w:val="1A1A1A"/>
        </w:rPr>
        <w:t>save_state_node</w:t>
      </w:r>
    </w:p>
    <w:p>
      <w:pPr>
        <w:spacing w:after="120" w:line="300" w:lineRule="auto"/>
      </w:pPr>
      <w:r>
        <w:rPr>
          <w:rFonts w:ascii="Calibri" w:hAnsi="Calibri"/>
        </w:rPr>
        <w:t>`save_state_node` runs synchronously inside the request, but only on `outcome=Outcome.success` with a non-null `selected_query`. It upserts a translation cache row containing the question embedding (pre-computed in `load_context`), the validated query template, schema version, bounds version, and a 24-hour TTL timestamp. The upsert pattern means a re-encountered exact hash refreshes the TTL rather than creating a duplicate. A Cloud SQL failure on this node is logged and swallowed — the response is already produced and the next identical question simply pays the translation cost again. After `save_state` completes the graph edges unconditionally to `audit_node`.</w:t>
      </w:r>
    </w:p>
    <w:p>
      <w:pPr>
        <w:pStyle w:val="Heading3"/>
      </w:pPr>
      <w:r>
        <w:rPr>
          <w:rFonts w:ascii="Calibri" w:hAnsi="Calibri"/>
          <w:color w:val="1A1A1A"/>
        </w:rPr>
        <w:t>audit_node</w:t>
      </w:r>
    </w:p>
    <w:p>
      <w:pPr>
        <w:spacing w:after="120" w:line="300" w:lineRule="auto"/>
      </w:pPr>
      <w:r>
        <w:rPr>
          <w:rFonts w:ascii="Calibri" w:hAnsi="Calibri"/>
        </w:rPr>
        <w:t>`audit_node` runs synchronously as a normal LangGraph node inside the request. It constructs an audit record containing `trace_id`, `user_id`, `session_id`, detected `source`, `outcome`, `tier`, `repair_count`, `latency_ms`, `cache_hit`, and `semantic_hit`. No PHI field values and no raw question text enter the audit record. The node inserts this record into the BigQuery audit log dataset, retained for six years per 45 CFR 164.530(j). On a BigQuery insert failure, the node writes the same payload synchronously to the Cloud SQL `audit_dead_letter` table before the HTTP response returns, so the record is durable before the response reaches the care manager. If both BigQuery and the Cloud SQL dead-letter write fail simultaneously — a condition that requires both systems to be unavailable at the same instant — the payload is emitted to Cloud Logging as a structured error log, providing a recovery path through log export. A dedicated CronJob worker drains the dead-letter table on a five-minute cadence. The FastAPI `lifespan` shutdown handler awaits in-flight LangGraph executions for up to ten seconds before the process exits, ensuring a rolling deployment pod replacement cannot drop an audit record mid-write.</w:t>
      </w:r>
    </w:p>
    <w:p>
      <w:pPr>
        <w:pStyle w:val="Heading3"/>
      </w:pPr>
      <w:r>
        <w:rPr>
          <w:rFonts w:ascii="Calibri" w:hAnsi="Calibri"/>
          <w:color w:val="1A1A1A"/>
        </w:rPr>
        <w:t>Context Cache Refresh</w:t>
      </w:r>
    </w:p>
    <w:p>
      <w:pPr>
        <w:spacing w:after="120" w:line="300" w:lineRule="auto"/>
      </w:pPr>
      <w:r>
        <w:rPr>
          <w:rFonts w:ascii="Calibri" w:hAnsi="Calibri"/>
        </w:rPr>
        <w:t>The Kubernetes CronJob is the sole creator of `CachedContent` objects in the Google AI Generative API. It runs every 45 minutes, builds the MQL and SQL system prompts from current Schema Registry contents and the 50-example few-shot libraries, calls `CachedContent.create()` once per source, and writes the resulting `cache.name` values into the `context_cache_registry` table. Each cache object carries a 75-minute TTL. The 45/75 split guarantees a minimum 30-minute overlap between the active cache and its successor, eliminating the jitter window that an hourly refresh against a 60-minute TTL would produce. Agent pods never call `CachedContent.create()`. The sole-creator pattern prevents per-pod orphaned cache accumulation under HPA scale-out events and bounds the number of live cache objects to two per source at any time.</w:t>
      </w:r>
    </w:p>
    <w:p>
      <w:r>
        <w:br w:type="page"/>
      </w:r>
    </w:p>
    <w:p>
      <w:pPr>
        <w:pStyle w:val="Heading1"/>
      </w:pPr>
      <w:r>
        <w:rPr>
          <w:rFonts w:ascii="Calibri" w:hAnsi="Calibri"/>
          <w:color w:val="CC0033"/>
        </w:rPr>
        <w:t>Data Model &amp; Entity-Relationship Diagram</w:t>
      </w:r>
    </w:p>
    <w:p>
      <w:pPr>
        <w:spacing w:after="120" w:line="300" w:lineRule="auto"/>
      </w:pPr>
      <w:r>
        <w:rPr>
          <w:rFonts w:ascii="Calibri" w:hAnsi="Calibri"/>
        </w:rPr>
        <w:t>The CareConnect Query Agent V3 uses three persistence tiers, each chosen for a distinct concern.</w:t>
      </w:r>
    </w:p>
    <w:p>
      <w:pPr>
        <w:spacing w:after="120" w:line="300" w:lineRule="auto"/>
      </w:pPr>
      <w:r>
        <w:rPr>
          <w:rFonts w:ascii="Calibri" w:hAnsi="Calibri"/>
        </w:rPr>
        <w:t>Cloud SQL PostgreSQL (instance cargpgsd1, us-east4) is the operational state tier. It holds the translation cache with semantic embeddings, rate-limit counters, the context-cache active-name registry, the LangGraph checkpoint tables, and the audit dead-letter backstop. Cloud SQL sits on the hot path for every request — load_context computes the embedding, semantic_cache performs an HNSW vector lookup, save_state writes the new cache row, and audit_node falls back to the dead-letter table when BigQuery is temporarily unavailable. Connection pool acquire timeout is 1 s, query timeout is 2 s, and semantic cache operations degrade gracefully to a cache miss on timeout rather than failing the request. Note: the draft listed a session_history table as a sixth Cloud SQL structure; no such table is defined in the current migrations or implemented in load_context_node. If conversational multi-turn context is added in a future sprint, this gap must be addressed with an explicit DDL and PHI classification review before that feature ships.</w:t>
      </w:r>
    </w:p>
    <w:p>
      <w:pPr>
        <w:spacing w:after="120" w:line="300" w:lineRule="auto"/>
      </w:pPr>
      <w:r>
        <w:rPr>
          <w:rFonts w:ascii="Calibri" w:hAnsi="Calibri"/>
        </w:rPr>
        <w:t>MongoDB Atlas (read-only, accessed exclusively through the GKE-resident MCP Server) is the authoritative member and care-gap data tier. PHI never crosses the Cloud SQL or BigQuery boundary: the MCP executor binds a query template at execution time and returns rows directly to the output_security_gate node — those rows are never serialised into a LangGraph checkpoint, never included in a Gemini API payload, and never written to any log or trace span. The custom PhiSafeJsonPlusSerializer applied to the PostgresSaver explicitly strips AgentState.query_results and AgentState.formatted_response before any checkpoint write, making it structurally impossible for PHI to enter the Cloud SQL checkpoint tables.</w:t>
      </w:r>
    </w:p>
    <w:p>
      <w:pPr>
        <w:spacing w:after="120" w:line="300" w:lineRule="auto"/>
      </w:pPr>
      <w:r>
        <w:rPr>
          <w:rFonts w:ascii="Calibri" w:hAnsi="Calibri"/>
        </w:rPr>
        <w:t>BigQuery (dataset careconnect_audit, table agent_audit_v3) is the compliance and analytics tier. It holds the six-year audit log mandated by 45 CFR 164.530(j). Every request terminates with a synchronous BigQuery insert inside the LangGraph audit node. The row carries only structural fields — trace_id, user_id, session_id, intent, routing_source, tier, outcome, cache_hit, semantic_hit, repair_count, latency_ms, and pipeline_node — no raw question text, no result rows, no PHI of any kind. The question_hash field is defined in the BigQuery schema (bigquery_audit.py) but is not currently populated by build_audit_payload in audit_node.py; this is a known implementation gap. The gap must be resolved before Phase 1: either populate the field (using SHA-256 of the PII-stripped normalized question) or remove it from the schema definition. On BigQuery insert failure the audit node writes the same payload to the Cloud SQL audit_dead_letter table synchronously, so the record is durable before the HTTP response is returned. A separate audit_drainer CronJob drains the dead-letter table to BigQuery on a five-minute cadence. If both BigQuery and the dead-letter write fail simultaneously, the payload is emitted as a structured error log to Cloud Logging as a last-resort recovery path.</w:t>
      </w:r>
    </w:p>
    <w:p>
      <w:pPr>
        <w:spacing w:after="120" w:line="300" w:lineRule="auto"/>
      </w:pPr>
      <w:r>
        <w:rPr>
          <w:rFonts w:ascii="Calibri" w:hAnsi="Calibri"/>
        </w:rPr>
        <w:t>Schema version and Bounds Registry version are embedded in every translation_cache row and in the cache key hash. When either registry is promoted, a pre-deploy Kubernetes Job (spec.parallelism: 1) runs a targeted DELETE that removes all rows whose schema_version or bounds_version does not match the incoming versions before the rolling update begins.</w:t>
      </w:r>
    </w:p>
    <w:p>
      <w:pPr>
        <w:spacing w:after="120" w:line="300" w:lineRule="auto"/>
      </w:pPr>
      <w:r>
        <w:rPr>
          <w:rFonts w:ascii="Calibri" w:hAnsi="Calibri"/>
        </w:rPr>
        <w:t>The three Git-versioned registries (Schema Registry, Bounds Registry, Per-Intent Field Allowlist) are YAML files mounted as a Kubernetes ConfigMap at /etc/registries/ and loaded into memory at pod startup. They are documented here as logical collections to complete the data lineage picture.</w:t>
      </w:r>
    </w:p>
    <w:p>
      <w:pPr>
        <w:pStyle w:val="Heading2"/>
      </w:pPr>
      <w:r>
        <w:rPr>
          <w:rFonts w:ascii="Calibri" w:hAnsi="Calibri"/>
          <w:color w:val="1A1A1A"/>
        </w:rPr>
        <w:t>Diagram</w:t>
      </w:r>
    </w:p>
    <w:p>
      <w:r>
        <w:drawing>
          <wp:inline xmlns:a="http://schemas.openxmlformats.org/drawingml/2006/main" xmlns:pic="http://schemas.openxmlformats.org/drawingml/2006/picture">
            <wp:extent cx="6120000" cy="1102960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6120000" cy="11029600"/>
                    </a:xfrm>
                    <a:prstGeom prst="rect"/>
                  </pic:spPr>
                </pic:pic>
              </a:graphicData>
            </a:graphic>
          </wp:inline>
        </w:drawing>
      </w:r>
    </w:p>
    <w:p>
      <w:pPr>
        <w:jc w:val="center"/>
      </w:pPr>
      <w:r>
        <w:rPr>
          <w:rFonts w:ascii="Calibri" w:hAnsi="Calibri"/>
          <w:i/>
          <w:color w:val="555555"/>
          <w:sz w:val="18"/>
        </w:rPr>
        <w:t>Figure 1 — V3 data model across Cloud SQL, BigQuery, and MongoDB Atlas. Dashed boxes are read-only external collections accessed via the MCP server. PHI / no-PHI classification shown in the header.</w:t>
      </w:r>
    </w:p>
    <w:p>
      <w:pPr>
        <w:pStyle w:val="Heading2"/>
      </w:pPr>
      <w:r>
        <w:rPr>
          <w:rFonts w:ascii="Calibri" w:hAnsi="Calibri"/>
          <w:color w:val="1A1A1A"/>
        </w:rPr>
        <w:t>Per-Table Reference</w:t>
      </w:r>
    </w:p>
    <w:p>
      <w:pPr>
        <w:pStyle w:val="Heading3"/>
      </w:pPr>
      <w:r>
        <w:rPr>
          <w:rFonts w:ascii="Calibri" w:hAnsi="Calibri"/>
          <w:color w:val="1A1A1A"/>
        </w:rPr>
        <w:t>translation_cache  —  Cloud SQL PostgreSQL (pgvector)</w:t>
      </w:r>
    </w:p>
    <w:p>
      <w:pPr>
        <w:spacing w:after="80" w:before="0"/>
      </w:pPr>
      <w:r>
        <w:rPr>
          <w:rFonts w:ascii="Calibri" w:hAnsi="Calibri"/>
          <w:b w:val="0"/>
          <w:i/>
          <w:color w:val="555555"/>
        </w:rPr>
        <w:t>Semantic cache for NL-to-query translations. Exact-hash lookup first, HNSW cosine-similarity fallback at threshold 0.95. Cache entries are query templates with :user_id / :caseload_scope bind parameters, reusable cross-user without data leakage.</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cache_key</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PRIMARY KEY</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SHA-256 hash of (PII-stripped normalized_question + schema_version + bounds_version); used for exact-match lookup before vector search.</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validated_query</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JSONB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MQL pipeline or BigQuery SQL template with :user_id / :caseload_scope bind placeholders; bound at MCP execute time.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question_embedding</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VECTOR(768)</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text-embedding-004 embedding of the PII-stripped normalized question; used for HNSW cosine similarity search on cache miss.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routing_source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Data source the query targets: 'mongodb' or 'bigquery'.</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intent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Detected intent class (count, filter, trend, ranking, lookup); stored for cache hit telemetry and allowlist validation on cache hits.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schema_version</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 DEFAULT 'v0'</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Schema Registry version at write time; included in the cache_key so schema bumps invalidate naturally on next lookup.</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bounds_version</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Bounds Registry version at write time; included in the cache_key so Bounds Registry promotions also trigger invalidation.</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expires_at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TIMESTAMPTZ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Row expiry timestamp (write time + 24 h TTL); cache lookups filter WHERE expires_at &gt; now() to exclude stale rows.</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(cache_key); HNSW ON (question_embedding vector_cosine_ops) WITH (m=16, ef_construction=64) — idx_translation_cache_embedding; BTREE ON (expires_at) — idx_translation_cache_expires_at</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24-hour TTL via expires_at column; pre-deploy Kubernetes Job runs DELETE WHERE schema_version &lt;&gt; :new OR bounds_version &lt;&gt; :new on every registry promotion before rolling update begins.</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cache_key and question_embedding are computed on the PII-stripped normalized question; validated_query contains only structural MQL/SQL with bind placeholders, no member data.</w:t>
            </w:r>
          </w:p>
        </w:tc>
      </w:tr>
    </w:tbl>
    <w:p>
      <w:pPr>
        <w:spacing w:after="40"/>
      </w:pPr>
    </w:p>
    <w:p>
      <w:pPr>
        <w:pStyle w:val="Heading3"/>
      </w:pPr>
      <w:r>
        <w:rPr>
          <w:rFonts w:ascii="Calibri" w:hAnsi="Calibri"/>
          <w:color w:val="1A1A1A"/>
        </w:rPr>
        <w:t>rate_limit_counter  —  Cloud SQL PostgreSQL</w:t>
      </w:r>
    </w:p>
    <w:p>
      <w:pPr>
        <w:spacing w:after="80" w:before="0"/>
      </w:pPr>
      <w:r>
        <w:rPr>
          <w:rFonts w:ascii="Calibri" w:hAnsi="Calibri"/>
          <w:b w:val="0"/>
          <w:i/>
          <w:color w:val="555555"/>
        </w:rPr>
        <w:t>Cross-pod shared rate-limit counter enforcing per-user (30 req/min) and global (500 req/min) limits on a one-minute rolling window.</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scope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PRIMARY KEY</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Rate-limit scope key: 'user:&lt;user_id&gt;' for per-user limits, 'global' for the cluster-wide limit.</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window_id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BIGINT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Floor of current epoch seconds divided by 60; when the UPSERT sees a new window_id it resets the count to 1, providing the rolling-window semantic.</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count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INTEGER NOT NULL DEFAULT 0</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Number of requests received in the current one-minute window for this scope.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updated_at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TIMESTAMPTZ NOT NULL DEFAULT now()</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Last write timestamp; used for stale-row detection and operational monitoring.</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(scope)</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Rows are reset in-place on window_id rollover (UPSERT); one row per user plus one global row; no separate cleanup job required.</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scope key is a care manager user identifier, not a member identifier; no clinical data stored.</w:t>
            </w:r>
          </w:p>
        </w:tc>
      </w:tr>
    </w:tbl>
    <w:p>
      <w:pPr>
        <w:spacing w:after="40"/>
      </w:pPr>
    </w:p>
    <w:p>
      <w:pPr>
        <w:pStyle w:val="Heading3"/>
      </w:pPr>
      <w:r>
        <w:rPr>
          <w:rFonts w:ascii="Calibri" w:hAnsi="Calibri"/>
          <w:color w:val="1A1A1A"/>
        </w:rPr>
        <w:t>context_cache_registry  —  Cloud SQL PostgreSQL</w:t>
      </w:r>
    </w:p>
    <w:p>
      <w:pPr>
        <w:spacing w:after="80" w:before="0"/>
      </w:pPr>
      <w:r>
        <w:rPr>
          <w:rFonts w:ascii="Calibri" w:hAnsi="Calibri"/>
          <w:b w:val="0"/>
          <w:i/>
          <w:color w:val="555555"/>
        </w:rPr>
        <w:t>Active Google AI CachedContent name per translation source (MQL, SQL). Written exclusively by the context-cache warm-up CronJob; read by translator_node pods with a 60-second in-process TTL. Prevents per-pod orphaned caches under HPA scale-out.</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source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PRIMARY KEY</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Translation source key: 'mql' for MongoDB aggregation pipeline context, 'sql' for BigQuery SQL context.</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cache_name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google.generativeai CachedContent.name returned by CachedContent.create(); passed as cached_content= parameter to ChatGoogleGenerativeAI in translator_node.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refreshed_at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TIMESTAMPTZ NOT NULL DEFAULT now()</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Timestamp of the most recent successful CronJob refresh; used for missed-cycle alerting (3 missed cycles = P2 alert).</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expires_at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TIMESTAMPTZ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CachedContent expiry time (refresh_time + 75 min TTL); translator_node checks this to detect stale registry entries and fall back to uncached translation.</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(source)</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Two rows only (mql, sql); updated in-place on every CronJob cycle. The CronJob schedules deletion of superseded CachedContent objects one TTL after rotation to bound Google AI storage cost.</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contains only Google AI API resource names and timestamps.</w:t>
            </w:r>
          </w:p>
        </w:tc>
      </w:tr>
    </w:tbl>
    <w:p>
      <w:pPr>
        <w:spacing w:after="40"/>
      </w:pPr>
    </w:p>
    <w:p>
      <w:pPr>
        <w:pStyle w:val="Heading3"/>
      </w:pPr>
      <w:r>
        <w:rPr>
          <w:rFonts w:ascii="Calibri" w:hAnsi="Calibri"/>
          <w:color w:val="1A1A1A"/>
        </w:rPr>
        <w:t>audit_dead_letter  —  Cloud SQL PostgreSQL</w:t>
      </w:r>
    </w:p>
    <w:p>
      <w:pPr>
        <w:spacing w:after="80" w:before="0"/>
      </w:pPr>
      <w:r>
        <w:rPr>
          <w:rFonts w:ascii="Calibri" w:hAnsi="Calibri"/>
          <w:b w:val="0"/>
          <w:i/>
          <w:color w:val="555555"/>
        </w:rPr>
        <w:t>Durability backstop for BigQuery audit log inserts. When the audit_node BigQuery insert fails, the same payload is written here synchronously inside the request so the audit record is durable before the HTTP response is returned. The audit_drainer CronJob drains this table to BigQuery on a 5-minute cadence. If both BigQuery and this table are unavailable simultaneously, the payload is emitted as a structured error log to Cloud Logging as a last-resort recovery path.</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BIGSERIAL PRIMARY KEY</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Surrogate key; used by the drain worker to process rows in insertion order.</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payload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JSONB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Serialised audit row matching the BigQuery audit_log schema (trace_id, user_id, session_id, occurred_at, intent, routing_source, tier, outcome, cache_hit, semantic_hit, repair_count, latency_ms). No PHI, no raw question text, no result rows.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enqueued_at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TIMESTAMPTZ NOT NULL DEFAULT now()</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Time the record was written to the dead-letter table; used for SLO monitoring (drain lag) and for ordering drain attempts.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last_attempt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TIMESTAMPTZ</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Timestamp of the most recent drain attempt; NULL if not yet attempted.</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attempts</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INTEGER NOT NULL DEFAULT 0</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Count of drain attempts; drain worker uses exponential back-off and alerts when attempts exceed threshold.</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last_error</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Error message from the most recent failed drain attempt; NULL on success.</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(id); BTREE ON (enqueued_at) — idx_audit_dl_enqueued_at; BTREE ON (attempts) — idx_audit_dl_attempts</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Rows are deleted by the audit_drainer CronJob after successful BigQuery insert. Drain SLO is 99.9% success rate across the POC window. Rows exceeding a maximum attempt threshold escalate to a Cloud Monitoring alert.</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payload mirrors the BigQuery audit schema which excludes raw question text and result rows; contains user_id (care manager operator ID, not member_id) and structural pipeline metadata only.</w:t>
            </w:r>
          </w:p>
        </w:tc>
      </w:tr>
    </w:tbl>
    <w:p>
      <w:pPr>
        <w:spacing w:after="40"/>
      </w:pPr>
    </w:p>
    <w:p>
      <w:pPr>
        <w:pStyle w:val="Heading3"/>
      </w:pPr>
      <w:r>
        <w:rPr>
          <w:rFonts w:ascii="Calibri" w:hAnsi="Calibri"/>
          <w:color w:val="1A1A1A"/>
        </w:rPr>
        <w:t>checkpoints  —  Cloud SQL PostgreSQL (LangGraph PostgresSaver-managed)</w:t>
      </w:r>
    </w:p>
    <w:p>
      <w:pPr>
        <w:spacing w:after="80" w:before="0"/>
      </w:pPr>
      <w:r>
        <w:rPr>
          <w:rFonts w:ascii="Calibri" w:hAnsi="Calibri"/>
          <w:b w:val="0"/>
          <w:i/>
          <w:color w:val="555555"/>
        </w:rPr>
        <w:t>Primary LangGraph checkpoint table. Stores a serialised snapshot of AgentState after each node completes, enabling crash recovery and supporting the as_subgraph multi-agent interface. Managed entirely by the langgraph-checkpoint-postgres library. Retention policy is not yet defined in the current implementation; a cleanup job scoped to the session expiry window must be added before Phase 1.</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thread_id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Maps to AgentState.session_id; identifies the conversation thread being checkpointed.</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checkpoint_ns</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Namespace within the thread; used by LangGraph for subgraph isolation in multi-agent compositions.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checkpoint_id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UUID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Unique identifier for this specific checkpoint (node boundary).</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parent_checkpoint_id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UUID</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Checkpoint ID of the preceding node's snapshot; forms the checkpoint lineage chain.</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type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Serialisation type identifier; always 'json_plus' for this deployment's PhiSafeJsonPlusSerializer.</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checkpoint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JSONB</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Serialised AgentState snapshot with query_results and formatted_response stripped by PhiSafeJsonPlusSerializer before write — PHI never enters this column.</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metadata</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JSONB</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LangGraph-internal metadata (node name, run ID, step number).</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(thread_id, checkpoint_ns, checkpoint_id); Index on parent_checkpoint_id for lineage traversal (managed by PostgresSaver)</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TTL defined in current implementation. A cleanup CronJob scoped to the session retention window (recommended: 30 days, matching Cloud Trace) must be added before Phase 1. Owner and target date to be assigned at Phase 1 planning.</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PhiSafeJsonPlusSerializer strips AgentState.query_results and AgentState.formatted_response before every checkpoint write.</w:t>
            </w:r>
          </w:p>
        </w:tc>
      </w:tr>
    </w:tbl>
    <w:p>
      <w:pPr>
        <w:spacing w:after="40"/>
      </w:pPr>
    </w:p>
    <w:p>
      <w:pPr>
        <w:pStyle w:val="Heading3"/>
      </w:pPr>
      <w:r>
        <w:rPr>
          <w:rFonts w:ascii="Calibri" w:hAnsi="Calibri"/>
          <w:color w:val="1A1A1A"/>
        </w:rPr>
        <w:t>checkpoint_blobs  —  Cloud SQL PostgreSQL (LangGraph PostgresSaver-managed)</w:t>
      </w:r>
    </w:p>
    <w:p>
      <w:pPr>
        <w:spacing w:after="80" w:before="0"/>
      </w:pPr>
      <w:r>
        <w:rPr>
          <w:rFonts w:ascii="Calibri" w:hAnsi="Calibri"/>
          <w:b w:val="0"/>
          <w:i/>
          <w:color w:val="555555"/>
        </w:rPr>
        <w:t>Stores large binary or overflow state blobs associated with a checkpoint. Managed entirely by the langgraph-checkpoint-postgres library. Schema inferred from library source; confirm field names and types against the installed version before implementation.</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thread_id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Identifies the conversation thread.</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checkpoint_ns</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Namespace within the thread matching the parent checkpoint row.</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channel</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State channel name (field name) whose value overflowed the inline checkpoint JSONB.</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version</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Version identifier for this blob value.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type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Serialisation type for this blob.</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blob</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BYTEA</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Serialised blob content. PhiSafeJsonPlusSerializer ensures PHI-bearing channels are never written here.</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(thread_id, checkpoint_ns, channel, version) (managed by PostgresSaver)</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Co-managed with checkpoints table; subject to the same Phase 1 cleanup job requirement.</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expected — same PhiSafeJsonPlusSerializer strip applies at the serde layer.</w:t>
            </w:r>
          </w:p>
        </w:tc>
      </w:tr>
    </w:tbl>
    <w:p>
      <w:pPr>
        <w:spacing w:after="40"/>
      </w:pPr>
    </w:p>
    <w:p>
      <w:pPr>
        <w:pStyle w:val="Heading3"/>
      </w:pPr>
      <w:r>
        <w:rPr>
          <w:rFonts w:ascii="Calibri" w:hAnsi="Calibri"/>
          <w:color w:val="1A1A1A"/>
        </w:rPr>
        <w:t>checkpoint_writes  —  Cloud SQL PostgreSQL (LangGraph PostgresSaver-managed)</w:t>
      </w:r>
    </w:p>
    <w:p>
      <w:pPr>
        <w:spacing w:after="80" w:before="0"/>
      </w:pPr>
      <w:r>
        <w:rPr>
          <w:rFonts w:ascii="Calibri" w:hAnsi="Calibri"/>
          <w:b w:val="0"/>
          <w:i/>
          <w:color w:val="555555"/>
        </w:rPr>
        <w:t>Write-ahead log for at-least-once delivery of state updates during concurrent node execution. Managed entirely by the langgraph-checkpoint-postgres library. Schema inferred from library source; confirm against installed version before implementation.</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thread_id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Conversation thread identifier.</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checkpoint_ns</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Namespace within the thread.</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checkpoint_id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UUID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Checkpoint this write belongs to.</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task_id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UUID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LangGraph task identifier for the node execution that produced this write.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idx</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INTEGER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Ordinal index within the task's writes.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channel</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State channel (field name) being written.</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type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TEXT</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Serialisation type for the value.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blob</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BYTEA</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Serialised channel value; PHI-bearing channels stripped by serde before write.</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(thread_id, checkpoint_ns, checkpoint_id, task_id, idx) (managed by PostgresSaver)</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Rows are consumed and deleted after successful checkpoint commit. Accumulation of rows older than 60 seconds indicates a stuck pipeline run; a Cloud Monitoring alert for this condition is a named Phase 1 deliverable.</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expected — PhiSafeJsonPlusSerializer strip applies at serde layer.</w:t>
            </w:r>
          </w:p>
        </w:tc>
      </w:tr>
    </w:tbl>
    <w:p>
      <w:pPr>
        <w:spacing w:after="40"/>
      </w:pPr>
    </w:p>
    <w:p>
      <w:pPr>
        <w:pStyle w:val="Heading3"/>
      </w:pPr>
      <w:r>
        <w:rPr>
          <w:rFonts w:ascii="Calibri" w:hAnsi="Calibri"/>
          <w:color w:val="1A1A1A"/>
        </w:rPr>
        <w:t>checkpoint_migrations  —  Cloud SQL PostgreSQL (LangGraph PostgresSaver-managed)</w:t>
      </w:r>
    </w:p>
    <w:p>
      <w:pPr>
        <w:spacing w:after="80" w:before="0"/>
      </w:pPr>
      <w:r>
        <w:rPr>
          <w:rFonts w:ascii="Calibri" w:hAnsi="Calibri"/>
          <w:b w:val="0"/>
          <w:i/>
          <w:color w:val="555555"/>
        </w:rPr>
        <w:t>Schema version tracking table for the LangGraph PostgresSaver migration system.</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v</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INTEGER PRIMARY KEY</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Migration version number applied to the checkpoint schema; PostgresSaver increments this on each schema evolution.</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PRIMARY KEY (v)</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Permanent — one row per migration version applied; never deleted.</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contains only integer version numbers.</w:t>
            </w:r>
          </w:p>
        </w:tc>
      </w:tr>
    </w:tbl>
    <w:p>
      <w:pPr>
        <w:spacing w:after="40"/>
      </w:pPr>
    </w:p>
    <w:p>
      <w:pPr>
        <w:pStyle w:val="Heading3"/>
      </w:pPr>
      <w:r>
        <w:rPr>
          <w:rFonts w:ascii="Calibri" w:hAnsi="Calibri"/>
          <w:color w:val="1A1A1A"/>
        </w:rPr>
        <w:t>careconnect_audit.agent_audit_v3  —  BigQuery (dataset: careconnect_audit, table: agent_audit_v3, project: GCP_PROJECT_ID)</w:t>
      </w:r>
    </w:p>
    <w:p>
      <w:pPr>
        <w:spacing w:after="80" w:before="0"/>
      </w:pPr>
      <w:r>
        <w:rPr>
          <w:rFonts w:ascii="Calibri" w:hAnsi="Calibri"/>
          <w:b w:val="0"/>
          <w:i/>
          <w:color w:val="555555"/>
        </w:rPr>
        <w:t>Authoritative HIPAA compliance audit trail for every pipeline execution. Partitioned by occurred_at with 6-year retention per 45 CFR 164.530(j). Receives synchronous inserts from audit_node; failed inserts are backstopped in Cloud SQL audit_dead_letter and drained by CronJob. Read access restricted to compliance and security teams via scoped IAM bindings reviewed quarterly.</w:t>
      </w:r>
    </w:p>
    <w:tbl>
      <w:tblPr>
        <w:tblW w:type="auto" w:w="0"/>
        <w:jc w:val="left"/>
        <w:tblLayout w:type="fixed"/>
        <w:tblLook w:firstColumn="1" w:firstRow="1" w:lastColumn="0" w:lastRow="0" w:noHBand="0" w:noVBand="1" w:val="04A0"/>
      </w:tblPr>
      <w:tblGrid>
        <w:gridCol w:w="2880"/>
        <w:gridCol w:w="2880"/>
        <w:gridCol w:w="2880"/>
      </w:tblGrid>
      <w:tr>
        <w:tc>
          <w:tcPr>
            <w:tcW w:type="dxa" w:w="2880"/>
            <w:shd w:val="clear" w:color="auto" w:fill="1F4E79"/>
          </w:tcPr>
          <w:p>
            <w:r>
              <w:rPr>
                <w:rFonts w:ascii="Calibri" w:hAnsi="Calibri"/>
                <w:b/>
                <w:color w:val="FFFFFF"/>
                <w:sz w:val="20"/>
              </w:rPr>
              <w:t>Column</w:t>
            </w:r>
          </w:p>
        </w:tc>
        <w:tc>
          <w:tcPr>
            <w:tcW w:type="dxa" w:w="2880"/>
            <w:shd w:val="clear" w:color="auto" w:fill="1F4E79"/>
          </w:tcPr>
          <w:p>
            <w:r>
              <w:rPr>
                <w:rFonts w:ascii="Calibri" w:hAnsi="Calibri"/>
                <w:b/>
                <w:color w:val="FFFFFF"/>
                <w:sz w:val="20"/>
              </w:rPr>
              <w:t>Type</w:t>
            </w:r>
          </w:p>
        </w:tc>
        <w:tc>
          <w:tcPr>
            <w:tcW w:type="dxa" w:w="2880"/>
            <w:shd w:val="clear" w:color="auto" w:fill="1F4E79"/>
          </w:tcPr>
          <w:p>
            <w:r>
              <w:rPr>
                <w:rFonts w:ascii="Calibri" w:hAnsi="Calibri"/>
                <w:b/>
                <w:color w:val="FFFFFF"/>
                <w:sz w:val="20"/>
              </w:rPr>
              <w:t>Purpose</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trace_id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Per-request correlation ID propagated through Cloud Trace, MCP execute payload, and the audit row.</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user_id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Authenticated care manager identifier from the JWT; not a member identifier.</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session_id</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Conversation session ID from AgentState; groups multiple turns for session-level audit queries.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occurred_at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TIMESTAMP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UTC timestamp of the audit event; partition column for the 6-year retention policy.</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question_hash</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SHA-256 of the PII-stripped normalized question; enables frequency analysis and pattern detection without storing identifiable question text. IMPLEMENTATION GAP: this field is defined in the BigQuery schema (bigquery_audit.py) but is not currently populated by build_audit_payload in audit_node.py. Must be resolved before Phase 1 — either populate the field or remove it from the schema.</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intent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Detected intent class (count, filter, trend, ranking, lookup, or null for blocked/refused requests).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routing_source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Data source routed to: 'mongodb', 'bigquery', or null for requests that never reached the router.</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tier</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LLM tier used for translation: 'flash' or 'pro'.</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outcome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 NOT NULL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Terminal pipeline outcome: success, refusal, validation_failed, clarify, blocked, or upstream_error.</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cache_hit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BOOL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True if the request was served from the translation cache (exact or semantic match).</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semantic_hit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BOOL</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True specifically for a semantic similarity cache hit (as distinguished from an exact-hash hit).</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repair_count</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INT64</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Number of translator repair attempts (0 or 1 per cap); non-zero values feed repair loop effectiveness analysis.</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latency_ms</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INT64</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End-to-end request latency in milliseconds; used for p95 SLO monitoring.</w:t>
            </w:r>
          </w:p>
        </w:tc>
      </w:tr>
      <w:tr>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pipeline_node</w:t>
            </w:r>
          </w:p>
        </w:tc>
        <w:tc>
          <w:tcPr>
            <w:tcW w:type="dxa" w:w="2880"/>
            <w:tcBorders>
              <w:top w:val="single" w:sz="4" w:space="0" w:color="BFBFBF"/>
              <w:left w:val="single" w:sz="4" w:space="0" w:color="BFBFBF"/>
              <w:bottom w:val="single" w:sz="4" w:space="0" w:color="BFBFBF"/>
              <w:right w:val="single" w:sz="4" w:space="0" w:color="BFBFBF"/>
            </w:tcBorders>
          </w:tcPr>
          <w:p>
            <w:r>
              <w:rPr>
                <w:rFonts w:ascii="Consolas" w:hAnsi="Consolas"/>
                <w:sz w:val="18"/>
              </w:rPr>
              <w:t>STRING</w:t>
            </w:r>
          </w:p>
        </w:tc>
        <w:tc>
          <w:tcPr>
            <w:tcW w:type="dxa" w:w="2880"/>
            <w:tcBorders>
              <w:top w:val="single" w:sz="4" w:space="0" w:color="BFBFBF"/>
              <w:left w:val="single" w:sz="4" w:space="0" w:color="BFBFBF"/>
              <w:bottom w:val="single" w:sz="4" w:space="0" w:color="BFBFBF"/>
              <w:right w:val="single" w:sz="4" w:space="0" w:color="BFBFBF"/>
            </w:tcBorders>
          </w:tcPr>
          <w:p>
            <w:r>
              <w:rPr>
                <w:rFonts w:ascii="Calibri" w:hAnsi="Calibri"/>
                <w:sz w:val="18"/>
              </w:rPr>
              <w:t>Name of the last LangGraph node on the terminal path; distinguishes a validation_failed in query_validator from one in accuracy_check. IMPLEMENTATION GAP: defined in the BigQuery schema but not currently written by build_audit_payload in audit_node.py. Must be resolved before Phase 1.</w:t>
            </w:r>
          </w:p>
        </w:tc>
      </w:tr>
    </w:tbl>
    <w:tbl>
      <w:tblPr>
        <w:tblW w:type="auto" w:w="0"/>
        <w:tblLayout w:type="fixed"/>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Indexes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PARTITION BY DATE(occurred_at) — enables partition pruning for time-range compliance queries; CLUSTER BY user_id, outcome — optimises per-user and outcome-based audit access patterns</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Retention</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6 years (2192 days) per 45 CFR 164.530(j). Configurable via BIGQUERY_AUDIT_RETENTION_DAYS environment variable. IAM: no developer account has edit or delete rights; compliance and security teams have read access via named reviewer bindings reviewed quarterly.</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no raw question text, no result rows, no member identifiers. question_hash is a SHA-256 of the PII-stripped normalized question. user_id is the care manager operator ID, not a member/patient ID.</w:t>
            </w:r>
          </w:p>
        </w:tc>
      </w:tr>
    </w:tbl>
    <w:p>
      <w:pPr>
        <w:spacing w:after="40"/>
      </w:pPr>
    </w:p>
    <w:p>
      <w:pPr>
        <w:pStyle w:val="Heading2"/>
      </w:pPr>
      <w:r>
        <w:rPr>
          <w:rFonts w:ascii="Calibri" w:hAnsi="Calibri"/>
          <w:color w:val="1A1A1A"/>
        </w:rPr>
        <w:t>External (Read-Only) Collections</w:t>
      </w:r>
    </w:p>
    <w:p>
      <w:pPr>
        <w:pStyle w:val="Heading3"/>
      </w:pPr>
      <w:r>
        <w:rPr>
          <w:rFonts w:ascii="Calibri" w:hAnsi="Calibri"/>
          <w:color w:val="1A1A1A"/>
        </w:rPr>
        <w:t>members  —  MongoDB Atlas (read-only via MCP Server using Secret Manager Atlas credentials)</w:t>
      </w:r>
    </w:p>
    <w:p>
      <w:pPr>
        <w:spacing w:after="40" w:before="0"/>
      </w:pPr>
      <w:r>
        <w:rPr>
          <w:rFonts w:ascii="Calibri" w:hAnsi="Calibri"/>
          <w:b w:val="0"/>
          <w:i/>
          <w:color w:val="555555"/>
        </w:rPr>
        <w:t>Authoritative member records — member identifier, demographics, plan assignment, and caseload_scope used for scope-filtered queries.</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The GKE MCP Server authenticates to Atlas using credentials stored in Secret Manager (rotated every 90 days maximum); accessed exclusively through the MCP execute endpoint at https://mcp-server.default.svc.cluster.local:8081/v1/execute with mTLS. The agent never connects to Atlas directly.</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PHI — contains PII including name and demographics; never enters any LLM payload, never written to Cloud SQL checkpoints or BigQuery audit rows.</w:t>
            </w:r>
          </w:p>
        </w:tc>
      </w:tr>
    </w:tbl>
    <w:p>
      <w:pPr>
        <w:pStyle w:val="Heading3"/>
      </w:pPr>
      <w:r>
        <w:rPr>
          <w:rFonts w:ascii="Calibri" w:hAnsi="Calibri"/>
          <w:color w:val="1A1A1A"/>
        </w:rPr>
        <w:t>care_gaps  —  MongoDB Atlas (read-only via MCP Server)</w:t>
      </w:r>
    </w:p>
    <w:p>
      <w:pPr>
        <w:spacing w:after="40" w:before="0"/>
      </w:pPr>
      <w:r>
        <w:rPr>
          <w:rFonts w:ascii="Calibri" w:hAnsi="Calibri"/>
          <w:b w:val="0"/>
          <w:i/>
          <w:color w:val="555555"/>
        </w:rPr>
        <w:t>Care gap records per member — gap type, gap status (open/closed), open date, close date. Primary data source for care manager queries about open gaps, gap counts, and gap closure status.</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via MCP Server; every query must include a caseload_scope filter verified by query_validator Stage 2 before execution.</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PHI — contains care gap status linked to member_id; subject to per-intent field allowlist enforcement at output_security_gate before delivery.</w:t>
            </w:r>
          </w:p>
        </w:tc>
      </w:tr>
    </w:tbl>
    <w:p>
      <w:pPr>
        <w:pStyle w:val="Heading3"/>
      </w:pPr>
      <w:r>
        <w:rPr>
          <w:rFonts w:ascii="Calibri" w:hAnsi="Calibri"/>
          <w:color w:val="1A1A1A"/>
        </w:rPr>
        <w:t>care_plans  —  MongoDB Atlas (read-only via MCP Server)</w:t>
      </w:r>
    </w:p>
    <w:p>
      <w:pPr>
        <w:spacing w:after="40" w:before="0"/>
      </w:pPr>
      <w:r>
        <w:rPr>
          <w:rFonts w:ascii="Calibri" w:hAnsi="Calibri"/>
          <w:b w:val="0"/>
          <w:i/>
          <w:color w:val="555555"/>
        </w:rPr>
        <w:t>Care plan records per member — intervention plans, goals, and care team assignments. Fields confirmed against Atlas DBA team and Schema Registry v1 spec required before Phase 1.</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via MCP Server; caseload_scope filter required on all queries.</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PHI — care plan details are clinical PHI; field allowlist enforcement applies before response delivery.</w:t>
            </w:r>
          </w:p>
        </w:tc>
      </w:tr>
    </w:tbl>
    <w:p>
      <w:pPr>
        <w:pStyle w:val="Heading3"/>
      </w:pPr>
      <w:r>
        <w:rPr>
          <w:rFonts w:ascii="Calibri" w:hAnsi="Calibri"/>
          <w:color w:val="1A1A1A"/>
        </w:rPr>
        <w:t>encounters  —  MongoDB Atlas (read-only via MCP Server)</w:t>
      </w:r>
    </w:p>
    <w:p>
      <w:pPr>
        <w:spacing w:after="40" w:before="0"/>
      </w:pPr>
      <w:r>
        <w:rPr>
          <w:rFonts w:ascii="Calibri" w:hAnsi="Calibri"/>
          <w:b w:val="0"/>
          <w:i/>
          <w:color w:val="555555"/>
        </w:rPr>
        <w:t>Clinical encounter records per member — visit dates, encounter types, and screening results. Fields confirmed against Atlas DBA team and Schema Registry v1 spec required before Phase 1.</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via MCP Server; caseload_scope filter required on all queries.</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PHI — encounter details including visit type and screening outcomes are clinical PHI; field allowlist enforcement applies before response delivery.</w:t>
            </w:r>
          </w:p>
        </w:tc>
      </w:tr>
    </w:tbl>
    <w:p>
      <w:pPr>
        <w:pStyle w:val="Heading3"/>
      </w:pPr>
      <w:r>
        <w:rPr>
          <w:rFonts w:ascii="Calibri" w:hAnsi="Calibri"/>
          <w:color w:val="1A1A1A"/>
        </w:rPr>
        <w:t>analytics_gap_counts  —  BigQuery (read-only via MCP Server using Workload Identity / ADC — BigQuery Data Viewer + Job User roles on mcp-server-gke service account)</w:t>
      </w:r>
    </w:p>
    <w:p>
      <w:pPr>
        <w:spacing w:after="40" w:before="0"/>
      </w:pPr>
      <w:r>
        <w:rPr>
          <w:rFonts w:ascii="Calibri" w:hAnsi="Calibri"/>
          <w:b w:val="0"/>
          <w:i/>
          <w:color w:val="555555"/>
        </w:rPr>
        <w:t>Pre-aggregated care gap analytics by caseload, time bucket, and gap type. Source for count, trend, and ranking intent queries. Fields: caseload_scope (string), user_id (string), bucket (date), gap_type (string), count (int64).</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MCP Server executes BigQuery jobs under the mcp-server-gke Workload Identity; the agent passes a validated SQL template with :user_id / :caseload_scope binds to MCP. Cost cap enforced via query_validator Stage 4.</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direct PHI — pre-aggregated counts by caseload and gap type; no individual member identifiers. At small caseload sizes, aggregates may be re-identifiable; field allowlist (count intent: [count, bucket, gap_type]) limits exposure.</w:t>
            </w:r>
          </w:p>
        </w:tc>
      </w:tr>
    </w:tbl>
    <w:p>
      <w:pPr>
        <w:pStyle w:val="Heading3"/>
      </w:pPr>
      <w:r>
        <w:rPr>
          <w:rFonts w:ascii="Calibri" w:hAnsi="Calibri"/>
          <w:color w:val="1A1A1A"/>
        </w:rPr>
        <w:t>Schema Registry  —  Git-versioned YAML file mounted as Kubernetes ConfigMap at /etc/registries/schema.yaml</w:t>
      </w:r>
    </w:p>
    <w:p>
      <w:pPr>
        <w:spacing w:after="40" w:before="0"/>
      </w:pPr>
      <w:r>
        <w:rPr>
          <w:rFonts w:ascii="Calibri" w:hAnsi="Calibri"/>
          <w:b w:val="0"/>
          <w:i/>
          <w:color w:val="555555"/>
        </w:rPr>
        <w:t>Source of truth for all known MongoDB and BigQuery collections, their field names, types, enum values, and clinical synonym mappings (AWV -&gt; annual_wellness_visit). Current version: v1.0.0.</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at runtime by all pipeline nodes via the in-process SchemaRegistry singleton (loaded once at startup). Version bump triggers pre-deploy cache invalidation Job and context-cache warm-up CronJob.</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contains only schema structural metadata.</w:t>
            </w:r>
          </w:p>
        </w:tc>
      </w:tr>
    </w:tbl>
    <w:p>
      <w:pPr>
        <w:pStyle w:val="Heading3"/>
      </w:pPr>
      <w:r>
        <w:rPr>
          <w:rFonts w:ascii="Calibri" w:hAnsi="Calibri"/>
          <w:color w:val="1A1A1A"/>
        </w:rPr>
        <w:t>Bounds Registry  —  Git-versioned YAML file mounted as Kubernetes ConfigMap at /etc/registries/bounds.yaml</w:t>
      </w:r>
    </w:p>
    <w:p>
      <w:pPr>
        <w:spacing w:after="40" w:before="0"/>
      </w:pPr>
      <w:r>
        <w:rPr>
          <w:rFonts w:ascii="Calibri" w:hAnsi="Calibri"/>
          <w:b w:val="0"/>
          <w:i/>
          <w:color w:val="555555"/>
        </w:rPr>
        <w:t>SME-owned clinical sanity ranges per numeric field. Each entry defines hard_low / hard_high (BLOCK) and warn_low / warn_high (WARN) thresholds. Current version: v1.0.0.</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at runtime by output_security_gate via the in-process BoundsRegistry singleton. Version bump triggers cache invalidation (bounds_version in cache_key).</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contains only numeric threshold specifications.</w:t>
            </w:r>
          </w:p>
        </w:tc>
      </w:tr>
    </w:tbl>
    <w:p>
      <w:pPr>
        <w:pStyle w:val="Heading3"/>
      </w:pPr>
      <w:r>
        <w:rPr>
          <w:rFonts w:ascii="Calibri" w:hAnsi="Calibri"/>
          <w:color w:val="1A1A1A"/>
        </w:rPr>
        <w:t>Per-Intent Field Allowlist  —  Git-versioned YAML file mounted as Kubernetes ConfigMap at /etc/registries/field_allowlist.yaml</w:t>
      </w:r>
    </w:p>
    <w:p>
      <w:pPr>
        <w:spacing w:after="40" w:before="0"/>
      </w:pPr>
      <w:r>
        <w:rPr>
          <w:rFonts w:ascii="Calibri" w:hAnsi="Calibri"/>
          <w:b w:val="0"/>
          <w:i/>
          <w:color w:val="555555"/>
        </w:rPr>
        <w:t>Per-intent set of returnable field names enforced by output_security_gate. Allowlists: count=[count, bucket, gap_type], filter=[member_id, gap_type, gap_status, open_date, close_date], trend=[bucket, count], ranking=[member_id, count], lookup=[member_id, gap_type, gap_status, open_date, close_date]. Current version: v1.0.0.</w:t>
      </w:r>
    </w:p>
    <w:tbl>
      <w:tblPr>
        <w:tblW w:type="auto" w:w="0"/>
        <w:tblLook w:firstColumn="1" w:firstRow="1" w:lastColumn="0" w:lastRow="0" w:noHBand="0" w:noVBand="1" w:val="04A0"/>
      </w:tblPr>
      <w:tblGrid>
        <w:gridCol w:w="4320"/>
        <w:gridCol w:w="4320"/>
      </w:tblGrid>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Access path</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Read-only at runtime by output_security_gate via the in-process FieldAllowlist singleton.</w:t>
            </w:r>
          </w:p>
        </w:tc>
      </w:tr>
      <w:tr>
        <w:tc>
          <w:tcPr>
            <w:tcW w:type="dxa" w:w="1984"/>
            <w:tcBorders>
              <w:top w:val="single" w:sz="4" w:space="0" w:color="EFEFEF"/>
              <w:left w:val="single" w:sz="4" w:space="0" w:color="EFEFEF"/>
              <w:bottom w:val="single" w:sz="4" w:space="0" w:color="EFEFEF"/>
              <w:right w:val="single" w:sz="4" w:space="0" w:color="EFEFEF"/>
            </w:tcBorders>
          </w:tcPr>
          <w:p>
            <w:r>
              <w:rPr>
                <w:rFonts w:ascii="Calibri" w:hAnsi="Calibri"/>
                <w:b/>
                <w:color w:val="555555"/>
                <w:sz w:val="18"/>
              </w:rPr>
              <w:t>PHI class</w:t>
            </w:r>
          </w:p>
        </w:tc>
        <w:tc>
          <w:tcPr>
            <w:tcW w:type="dxa" w:w="4320"/>
            <w:tcBorders>
              <w:top w:val="single" w:sz="4" w:space="0" w:color="EFEFEF"/>
              <w:left w:val="single" w:sz="4" w:space="0" w:color="EFEFEF"/>
              <w:bottom w:val="single" w:sz="4" w:space="0" w:color="EFEFEF"/>
              <w:right w:val="single" w:sz="4" w:space="0" w:color="EFEFEF"/>
            </w:tcBorders>
          </w:tcPr>
          <w:p>
            <w:r>
              <w:rPr>
                <w:rFonts w:ascii="Calibri" w:hAnsi="Calibri"/>
                <w:sz w:val="18"/>
              </w:rPr>
              <w:t>No PHI — contains only field name strings per intent category.</w:t>
            </w:r>
          </w:p>
        </w:tc>
      </w:tr>
    </w:tbl>
    <w:p>
      <w:pPr>
        <w:pStyle w:val="Heading2"/>
      </w:pPr>
      <w:r>
        <w:rPr>
          <w:rFonts w:ascii="Calibri" w:hAnsi="Calibri"/>
          <w:color w:val="1A1A1A"/>
        </w:rPr>
        <w:t>Relationships</w:t>
      </w:r>
    </w:p>
    <w:p>
      <w:pPr>
        <w:spacing w:after="120" w:line="300" w:lineRule="auto"/>
      </w:pPr>
      <w:r>
        <w:rPr>
          <w:rFonts w:ascii="Calibri" w:hAnsi="Calibri"/>
        </w:rPr>
        <w:t>The data model is dominated by session-scoped pipelines rather than classical relational foreign keys. Most relationships are logical, enforced in application code rather than database constraints.</w:t>
      </w:r>
    </w:p>
    <w:p>
      <w:pPr>
        <w:spacing w:after="120" w:line="300" w:lineRule="auto"/>
      </w:pPr>
      <w:r>
        <w:rPr>
          <w:rFonts w:ascii="Calibri" w:hAnsi="Calibri"/>
        </w:rPr>
        <w:t>Within Cloud SQL, translation_cache has no foreign key to any other table. Its cache_key column is a SHA-256 hash of (normalized_question + schema_version + bounds_version), making it self-contained. The schema_version and bounds_version columns on each row logically correspond to the active version strings in the Git-versioned registries; the pre-deploy invalidation Job enforces consistency by deleting mismatched rows. The rate_limit_counter and context_cache_registry tables are fully independent — they serve operational control functions with no relational tie to the cache or to each other.</w:t>
      </w:r>
    </w:p>
    <w:p>
      <w:pPr>
        <w:spacing w:after="120" w:line="300" w:lineRule="auto"/>
      </w:pPr>
      <w:r>
        <w:rPr>
          <w:rFonts w:ascii="Calibri" w:hAnsi="Calibri"/>
        </w:rPr>
        <w:t>The four LangGraph checkpoint tables (checkpoints, checkpoint_blobs, checkpoint_writes, checkpoint_migrations) are managed entirely by the langgraph-checkpoint-postgres library. They share a thread_id column that corresponds to AgentState.session_id and a checkpoint_id (UUID) that corresponds to a specific node boundary within a pipeline run. These relationships are internal to the LangGraph runtime; application code does not query them directly. The PHI safety guarantee comes from the PhiSafeJsonPlusSerializer applied at compile time, not from table-level constraints. Checkpoint rows have no defined TTL in the current implementation; a cleanup job must be added before Phase 1 to bound retention to the session expiry window (owner and target date to be assigned at Phase 1 planning).</w:t>
      </w:r>
    </w:p>
    <w:p>
      <w:pPr>
        <w:spacing w:after="120" w:line="300" w:lineRule="auto"/>
      </w:pPr>
      <w:r>
        <w:rPr>
          <w:rFonts w:ascii="Calibri" w:hAnsi="Calibri"/>
        </w:rPr>
        <w:t>The audit_dead_letter table holds serialised audit payloads as JSONB. The payload structure mirrors the BigQuery audit_log schema exactly. The audit_drainer CronJob reads rows from audit_dead_letter and attempts a BigQuery insert; on success it deletes the row.</w:t>
      </w:r>
    </w:p>
    <w:p>
      <w:pPr>
        <w:spacing w:after="120" w:line="300" w:lineRule="auto"/>
      </w:pPr>
      <w:r>
        <w:rPr>
          <w:rFonts w:ascii="Calibri" w:hAnsi="Calibri"/>
        </w:rPr>
        <w:t>Across storage tiers, AgentState.session_id is the primary conversation correlation key. It appears in LangGraph checkpoint rows (as thread_id), in BigQuery audit rows (as session_id), and in every structured log and Cloud Trace span. AgentState.trace_id is the per-request correlation key, propagated through Cloud Trace spans, the MCP execute payload, and the BigQuery audit row.</w:t>
      </w:r>
    </w:p>
    <w:p>
      <w:pPr>
        <w:spacing w:after="120" w:line="300" w:lineRule="auto"/>
      </w:pPr>
      <w:r>
        <w:rPr>
          <w:rFonts w:ascii="Calibri" w:hAnsi="Calibri"/>
        </w:rPr>
        <w:t>MongoDB Atlas collections are logically linked through member_id. The agent never issues multi-collection joins — each translated query targets exactly one collection with a caseload_scope filter, and the output_security_gate performs a row-level scope confirmation check before the response is returned. Every field name and type in the Schema Registry must exactly match the corresponding Atlas collection definition; query_validator Stage 3 enforces this alignment at query time.</w:t>
      </w:r>
    </w:p>
    <w:p>
      <w:r>
        <w:br w:type="page"/>
      </w:r>
    </w:p>
    <w:p>
      <w:pPr>
        <w:pStyle w:val="Heading1"/>
      </w:pPr>
      <w:r>
        <w:rPr>
          <w:rFonts w:ascii="Calibri" w:hAnsi="Calibri"/>
          <w:color w:val="CC0033"/>
        </w:rPr>
        <w:t>Tech Stack — Managed Services &amp; Rationale</w:t>
      </w:r>
    </w:p>
    <w:p>
      <w:pPr>
        <w:pStyle w:val="Heading3"/>
      </w:pPr>
      <w:r>
        <w:rPr>
          <w:rFonts w:ascii="Calibri" w:hAnsi="Calibri"/>
          <w:color w:val="1A1A1A"/>
        </w:rPr>
        <w:t>Compute and Runtime</w:t>
      </w:r>
    </w:p>
    <w:p>
      <w:pPr>
        <w:spacing w:after="120" w:line="300" w:lineRule="auto"/>
      </w:pPr>
      <w:r>
        <w:rPr>
          <w:rFonts w:ascii="Calibri" w:hAnsi="Calibri"/>
        </w:rPr>
        <w:t>GKE is the single compute plane for the entire system. The LangGraph Agent Deployment, the MCP Server Deployment, the context-cache warm-up CronJob, and the audit dead-letter drain CronJob all run on the existing `careconnect-gke` cluster inside the `hcb-dev-careconnect-etl` project in region us-east4. This consolidation removes the VPC serverless connector, the Cloud Scheduler job, and the Cloud Run service that V2 required. With both workloads on GKE, the agent and MCP server communicate over cluster-internal Kubernetes Service DNS (`mcp-server.default.svc.cluster.local`) without traffic leaving the cluster boundary. The cluster carries no new cluster management fee under Scenario A.</w:t>
      </w:r>
    </w:p>
    <w:p>
      <w:pPr>
        <w:spacing w:after="120" w:line="300" w:lineRule="auto"/>
      </w:pPr>
      <w:r>
        <w:rPr>
          <w:rFonts w:ascii="Calibri" w:hAnsi="Calibri"/>
        </w:rPr>
        <w:t>Both the LangGraph Agent Deployment and the MCP Server Deployment are governed by HPAs. The HPA uses two metrics in combination: CPU utilization at 70% and a custom Pods metric `agent_requests_per_second` (average value of 8, wired via the Prometheus Adapter — see the Observability subsection). Using both metrics ensures the HPA responds to both compute-bound and throughput-bound saturation. Minimum replica count is 2 per Deployment, maximum is 6. Because per-user (30 req/min) and global (500 req/min) rate limit counters live in Cloud SQL rather than per-pod in-memory structures, scale-out does not multiply the effective rate limit. Readiness and liveness probes check `/healthz` with `initialDelaySeconds=20` and `periodSeconds=10`. Rolling updates declare `minReadySeconds: 15` to bound the in-flight-request window during pod turnover.</w:t>
      </w:r>
    </w:p>
    <w:p>
      <w:pPr>
        <w:spacing w:after="120" w:line="300" w:lineRule="auto"/>
      </w:pPr>
      <w:r>
        <w:rPr>
          <w:rFonts w:ascii="Calibri" w:hAnsi="Calibri"/>
        </w:rPr>
        <w:t>Two CronJob workloads complete the GKE footprint. The context cache refresh job runs every 45 minutes with `spec.parallelism: 1` and is the sole creator of `CachedContent` objects — agent pods never call `create()`. The 45-minute refresh interval against a 75-minute TTL guarantees a 30-minute overlap between the expiring cache and its replacement. The alternative of an hourly refresh against a 60-minute TTL produces a jitter gap where a missed cycle leaves the translator cold for an entire interval. The audit dead-letter drain job runs every 5 minutes and forwards failed BigQuery audit inserts. Three consecutive missed warm-up cycles trigger a P2 alert; the drain job's alerting threshold is drain success rate below 99.9%, not missed cycles.</w:t>
      </w:r>
    </w:p>
    <w:p>
      <w:pPr>
        <w:spacing w:after="120" w:line="300" w:lineRule="auto"/>
      </w:pPr>
      <w:r>
        <w:rPr>
          <w:rFonts w:ascii="Calibri" w:hAnsi="Calibri"/>
        </w:rPr>
        <w:t>Cloud Load Balancer terminates TLS at the public entry point and routes authenticated POST requests to the FastAPI service. The `X-Request-ID` header value is re-validated by FastAPI middleware against `^[A-Za-z0-9_\-]{1,64}$` before use in any trace or log.</w:t>
      </w:r>
    </w:p>
    <w:p>
      <w:pPr>
        <w:pStyle w:val="Heading3"/>
      </w:pPr>
      <w:r>
        <w:rPr>
          <w:rFonts w:ascii="Calibri" w:hAnsi="Calibri"/>
          <w:color w:val="1A1A1A"/>
        </w:rPr>
        <w:t>Data Tier</w:t>
      </w:r>
    </w:p>
    <w:p>
      <w:pPr>
        <w:spacing w:after="120" w:line="300" w:lineRule="auto"/>
      </w:pPr>
      <w:r>
        <w:rPr>
          <w:rFonts w:ascii="Calibri" w:hAnsi="Calibri"/>
        </w:rPr>
        <w:t>Cloud SQL PostgreSQL (instance `cargpgsd1`, us-east4) is the most load-bearing data component in V3. It holds five operational structures: the semantic translation cache (normalized questions, embeddings, validated query templates, 24-hour TTL), the LangGraph checkpoint tables (per-node pipeline state, written by PostgresSaver with PHI-bearing fields stripped by the custom `PhiSafeJsonPlusSerializer` serde), the `rate_limit_counter` table (shared per-user and global rate limiting across all pods), the `context_cache_registry` table (active Google AI `CachedContent` names written by the CronJob and read by translator pods), and the `audit_dead_letter` table (fallback audit records drained on a five-minute cadence). Using the existing instance adds approximately five gigabytes of incremental storage at roughly $3 to $5 per month. The PostgresSaver's synchronous write-after-every-node pattern, combined with transactional semantics, provides crash recovery from any pipeline node. Cloud SQL HA is not enabled in the POC; the accepted failure mode is a fast fail with graceful degradation — semantic cache lookups time out to a cache-miss path, and the audit dead-letter provides the BigQuery durability backstop.</w:t>
      </w:r>
    </w:p>
    <w:p>
      <w:pPr>
        <w:spacing w:after="120" w:line="300" w:lineRule="auto"/>
      </w:pPr>
      <w:r>
        <w:rPr>
          <w:rFonts w:ascii="Calibri" w:hAnsi="Calibri"/>
        </w:rPr>
        <w:t>pgvector is the engine behind the semantic cache — the highest-impact cost lever after switching to Gemini Flash. Every incoming question is embedded to a 768-dimensional vector in `load_context_node`. When an exact hash misses, `semantic_cache_node` issues a single `ORDER BY embedding &lt;=&gt; ? ASC LIMIT 1` query against the HNSW-indexed `question_embedding` column and accepts a hit if `(1 - distance) &gt;= 0.95`. The `&lt;=&gt;` operator must appear directly in the `ORDER BY` clause; wrapping it in arithmetic in a `WHERE` clause defeats the HNSW index. The HNSW index is preferred over IVFFlat because it provides stable recall across the projected cache size of roughly 250 rows under a 24-hour TTL without list-count tuning. This upgrade from exact-match to semantic matching is projected to raise cache hit rate from approximately 30% to 50%.</w:t>
      </w:r>
    </w:p>
    <w:p>
      <w:pPr>
        <w:spacing w:after="120" w:line="300" w:lineRule="auto"/>
      </w:pPr>
      <w:r>
        <w:rPr>
          <w:rFonts w:ascii="Calibri" w:hAnsi="Calibri"/>
        </w:rPr>
        <w:t>MongoDB Atlas is the authoritative store for CareConnect member records. V3 does not modify, migrate, or reconfigure the Atlas cluster; it connects to the same cluster used by V2. The MCP server is the only V3 component permitted to issue queries against Atlas; the LangGraph agent never touches Atlas directly. The Atlas connection string is held in Secret Manager and injected at MCP pod startup; it is never in any container image, Kubernetes manifest, or environment variable exposed to the agent pod. An M10 Atlas cluster is sufficient for Phase 1 and Phase 2; an upgrade to M20 is budgeted for production at roughly $88 per month incremental. X.509 certificate authentication to Atlas (preferred over username/password credentials) is under evaluation for Phase 2.</w:t>
      </w:r>
    </w:p>
    <w:p>
      <w:pPr>
        <w:spacing w:after="120" w:line="300" w:lineRule="auto"/>
      </w:pPr>
      <w:r>
        <w:rPr>
          <w:rFonts w:ascii="Calibri" w:hAnsi="Calibri"/>
        </w:rPr>
        <w:t>BigQuery serves two distinct roles. The first is as a query target for approximately 30% of care manager questions — trends, aggregates, and population-level analytics. The MCP server issues parameterized SQL queries against BigQuery tables under the `mcp-server-gke` Workload Identity (BigQuery Data Viewer and BigQuery Job User roles). Average query scans 500 MB, costing approximately $0.003 per query on on-demand pricing. A BigQuery flat-rate reservation was evaluated and rejected — at 150 queries per day, on-demand is roughly $14 per month versus approximately $1,700 for a 100-slot reservation. The second role is as the authoritative HIPAA-compliant audit log, partitioned by day, retained for six years per 45 CFR 164.530(j), and protected by scoped IAM: no developer holds edit or delete rights on the audit dataset; compliance and security reviewers have read access reviewed quarterly.</w:t>
      </w:r>
    </w:p>
    <w:p>
      <w:pPr>
        <w:pStyle w:val="Heading3"/>
      </w:pPr>
      <w:r>
        <w:rPr>
          <w:rFonts w:ascii="Calibri" w:hAnsi="Calibri"/>
          <w:color w:val="1A1A1A"/>
        </w:rPr>
        <w:t>LLM and Embedding</w:t>
      </w:r>
    </w:p>
    <w:p>
      <w:pPr>
        <w:spacing w:after="120" w:line="300" w:lineRule="auto"/>
      </w:pPr>
      <w:r>
        <w:rPr>
          <w:rFonts w:ascii="Calibri" w:hAnsi="Calibri"/>
        </w:rPr>
        <w:t>The Google AI Generative API (`google.generativeai`) is the primary LLM surface in V3, replacing Claude Sonnet via the CVS LMS Gateway. It provides access to Gemini 1.5 Flash, Gemini 1.5 Pro, and the text-embedding-004 model via an API key held in Secret Manager — no GCP project role grant or Vertex AI platform is required. This API surface was chosen specifically because the CVS compliance posture has not yet confirmed a HIPAA BAA for the Google AI Generative API or for Vertex AI on this workload; the BAA workstream is owned by Legal and Compliance. All pre-Phase-1 development uses synthetic care manager data only. If the BAA path requires a move to Vertex AI, the SDK swap is a separate workstream; no service account in V3 is granted the Vertex AI User role.</w:t>
      </w:r>
    </w:p>
    <w:p>
      <w:pPr>
        <w:spacing w:after="120" w:line="300" w:lineRule="auto"/>
      </w:pPr>
      <w:r>
        <w:rPr>
          <w:rFonts w:ascii="Calibri" w:hAnsi="Calibri"/>
        </w:rPr>
        <w:t>Gemini 1.5 Flash handles the two LLM calls on every cache-miss request: source routing (approximately 2,000 input tokens, 100 output tokens) and NL-to-query translation (reading from context cache plus approximately 2,000 dynamic tokens, 600 output tokens). Flash input is priced at $0.075 per million tokens, driving the 94% reduction in LLM-only annual cost from approximately $7,968 to approximately $432. Gemini 1.5 Pro is the cold-path fallback, reached when Flash routing confidence falls below 0.7 or when Flash returns an `UNCERTAIN` verdict. Pro pays the full schema cost on every escalation (approximately $0.024 for the translation step alone, versus approximately $0.000611 for Flash translation only) because the Google AI context cache namespace is model-specific and cannot be shared between Flash and Pro. Both models are accessed through the same `ChatGoogleGenerativeAI` interface.</w:t>
      </w:r>
    </w:p>
    <w:p>
      <w:pPr>
        <w:spacing w:after="120" w:line="300" w:lineRule="auto"/>
      </w:pPr>
      <w:r>
        <w:rPr>
          <w:rFonts w:ascii="Calibri" w:hAnsi="Calibri"/>
        </w:rPr>
        <w:t>Google AI context caching allows the 15,000-token static prompt to be uploaded once and referenced across requests at the cached-input rate ($0.01875 per million tokens) rather than the standard rate ($0.075 per million tokens). V3 caches two prompts separately — the MQL translator context and the SQL translator context. The saving per translator call is approximately $0.000281 versus $0.001125 uncached. Cache objects are created and managed exclusively by the context-cache warm-up CronJob, not by agent pods; this eliminates orphaned `CachedContent` accumulation that occurs when pod restarts or HPA scale-out events each call `create()`. Context cache storage costs approximately $1 to $4 per month (per the reconciled COST-ESTIMATION analysis); the earlier figure of $0.40 per month was based on the cached-input read rate rather than the storage rate and should not be used for budgeting.</w:t>
      </w:r>
    </w:p>
    <w:p>
      <w:pPr>
        <w:spacing w:after="120" w:line="300" w:lineRule="auto"/>
      </w:pPr>
      <w:r>
        <w:rPr>
          <w:rFonts w:ascii="Calibri" w:hAnsi="Calibri"/>
        </w:rPr>
        <w:t>text-embedding-004 produces 768-dimensional dense vector representations at effectively negligible cost (approximately $0.0001 per million tokens). In V3 it serves one purpose: embedding the normalized, PII-stripped care manager question in `load_context_node` for semantic cache lookup. The embedding is always computed on the PII-stripped text, never the raw question, so a question containing a member name cannot become a discoverable cache key for another user.</w:t>
      </w:r>
    </w:p>
    <w:p>
      <w:pPr>
        <w:pStyle w:val="Heading3"/>
      </w:pPr>
      <w:r>
        <w:rPr>
          <w:rFonts w:ascii="Calibri" w:hAnsi="Calibri"/>
          <w:color w:val="1A1A1A"/>
        </w:rPr>
        <w:t>Execution and Security</w:t>
      </w:r>
    </w:p>
    <w:p>
      <w:pPr>
        <w:spacing w:after="120" w:line="300" w:lineRule="auto"/>
      </w:pPr>
      <w:r>
        <w:rPr>
          <w:rFonts w:ascii="Calibri" w:hAnsi="Calibri"/>
        </w:rPr>
        <w:t>The MCP Server is an internally developed FastAPI service running as a GKE Deployment. It is the only component in V3 that holds live database credentials and issues real queries. The LangGraph agent and the LLM never communicate with MongoDB or BigQuery directly — this is a hard architectural boundary, not a convention. The MCP server validates the incoming query type (read-only enforcement), binds `:user_id` and `:caseload_scope` parameters from the authenticated request context at execution time, and returns raw result rows. It authenticates inbound callers via `hmac.compare_digest` against the `MCP_INBOUND_TOKEN` environment variable, preventing any process other than the authorized agent from submitting execution requests. The MCP Server source code is a separate repository; its interface contract (request and response schema for `/v1/execute`) is a named deliverable required before Phase 1.</w:t>
      </w:r>
    </w:p>
    <w:p>
      <w:pPr>
        <w:spacing w:after="120" w:line="300" w:lineRule="auto"/>
      </w:pPr>
      <w:r>
        <w:rPr>
          <w:rFonts w:ascii="Calibri" w:hAnsi="Calibri"/>
        </w:rPr>
        <w:t>Workload Identity federates Kubernetes service accounts to GCP IAM, enabling pods to authenticate to GCP services using short-lived automatically rotated tokens. Three Kubernetes service accounts are bound: `query-agent-gke` (LangGraph agent Deployment and both CronJobs — Cloud SQL Client, Secret Manager Secret Accessor, BigQuery Data Editor); `mcp-server-gke` (MCP Server Deployment — BigQuery Data Viewer, BigQuery Job User, Cloud SQL Client, Secret Manager Secret Accessor); `cicd-deployer` (CI/CD pipelines — Artifact Registry Writer, GKE Developer, Cloud SQL Client). No pod mounts a service account key file. Authentication to Cloud SQL, BigQuery, and Secret Manager is via Application Default Credentials through Workload Identity. MongoDB Atlas does not integrate natively with GCP Workload Identity; Atlas credentials are held in Secret Manager, read at pod startup, kept in process memory only, and rotated at most every 90 days.</w:t>
      </w:r>
    </w:p>
    <w:p>
      <w:pPr>
        <w:spacing w:after="120" w:line="300" w:lineRule="auto"/>
      </w:pPr>
      <w:r>
        <w:rPr>
          <w:rFonts w:ascii="Calibri" w:hAnsi="Calibri"/>
        </w:rPr>
        <w:t>Secret Manager holds five credential categories: the Google AI Generative API key, the MongoDB Atlas connection string, the MCP server inbound authentication token, the JWT public key, and any additional CVS-internal service credentials. Secrets are accessed at pod startup via the Secret Manager Secret Accessor IAM role; they are never baked into container images, Kubernetes manifests, or pod spec environment variable declarations.</w:t>
      </w:r>
    </w:p>
    <w:p>
      <w:pPr>
        <w:spacing w:after="120" w:line="300" w:lineRule="auto"/>
      </w:pPr>
      <w:r>
        <w:rPr>
          <w:rFonts w:ascii="Calibri" w:hAnsi="Calibri"/>
        </w:rPr>
        <w:t>mTLS is enforced on the cluster-internal path between the agent and MCP pods using Kubernetes Service DNS. Both the agent and MCP server containers run under a hardening baseline validated by the CI/CD security gate as a mandatory merge check: `runAsNonRoot: true`, `readOnlyRootFilesystem: true`, `capabilities.drop: ["ALL"]`. Writable scratch space uses `emptyDir` volume mounts. Any Kubernetes manifest that omits or weakens these settings fails the CI/CD scan and blocks the merge.</w:t>
      </w:r>
    </w:p>
    <w:p>
      <w:pPr>
        <w:spacing w:after="120" w:line="300" w:lineRule="auto"/>
      </w:pPr>
      <w:r>
        <w:rPr>
          <w:rFonts w:ascii="Calibri" w:hAnsi="Calibri"/>
        </w:rPr>
        <w:t>Snyk container scanning runs on every pull request build for both the agent and MCP server images before promotion to Artifact Registry. Zero critical or high CVEs are required. Snyk is a merge gate, not a post-merge advisory.</w:t>
      </w:r>
    </w:p>
    <w:p>
      <w:pPr>
        <w:pStyle w:val="Heading3"/>
      </w:pPr>
      <w:r>
        <w:rPr>
          <w:rFonts w:ascii="Calibri" w:hAnsi="Calibri"/>
          <w:color w:val="1A1A1A"/>
        </w:rPr>
        <w:t>Observability</w:t>
      </w:r>
    </w:p>
    <w:p>
      <w:pPr>
        <w:spacing w:after="120" w:line="300" w:lineRule="auto"/>
      </w:pPr>
      <w:r>
        <w:rPr>
          <w:rFonts w:ascii="Calibri" w:hAnsi="Calibri"/>
        </w:rPr>
        <w:t>Cloud Trace captures one span per LangGraph node per pipeline execution, recording node name, duration, and structural pipeline metadata (cache hit flag, routing decision, escalation tier, validation status). PHI is explicitly excluded from all span attributes — the LangGraph checkpointer's custom serializer strips `query_results` and `formatted_response` before any write, and a pre-deploy CI check validates this constraint on every changed code path. Retention is 30 days.</w:t>
      </w:r>
    </w:p>
    <w:p>
      <w:pPr>
        <w:spacing w:after="120" w:line="300" w:lineRule="auto"/>
      </w:pPr>
      <w:r>
        <w:rPr>
          <w:rFonts w:ascii="Calibri" w:hAnsi="Calibri"/>
        </w:rPr>
        <w:t>Cloud Monitoring tracks six named metrics: `cache_hit_rate` (exact and semantic reported separately), `tier_2_escalation_rate`, gate block rates for input and output gates, `repair_loop_count`, and `pipeline_error_rate`. A monthly cost forecast metric alerts if projected spend exceeds $50 per month. All metric labels are scrubbed of PHI.</w:t>
      </w:r>
    </w:p>
    <w:p>
      <w:pPr>
        <w:spacing w:after="120" w:line="300" w:lineRule="auto"/>
      </w:pPr>
      <w:r>
        <w:rPr>
          <w:rFonts w:ascii="Calibri" w:hAnsi="Calibri"/>
        </w:rPr>
        <w:t>Cloud Logging receives structured JSON from all GKE workloads via the built-in Fluentd forwarder. The schema is consistent across pods — `trace_id`, `node_name`, `outcome`, `latency_ms`, and a PHI-redacted question field — so log-based metrics can be constructed without fragile string parsing. No raw question text or result data appears in any log line.</w:t>
      </w:r>
    </w:p>
    <w:p>
      <w:pPr>
        <w:spacing w:after="120" w:line="300" w:lineRule="auto"/>
      </w:pPr>
      <w:r>
        <w:rPr>
          <w:rFonts w:ascii="Calibri" w:hAnsi="Calibri"/>
        </w:rPr>
        <w:t>Prometheus is required as a named infrastructure dependency because the HPA's custom `agent_requests_per_second` metric is served via Prometheus scrape annotations on the agent pods and exposed to the HPA through the Prometheus Adapter. The agent Deployment manifest includes `prometheus.io/scrape: true` and `prometheus.io/port: 9090`; `settings.py` defines `prometheus_port: 9090`. The Prometheus installation and the Prometheus Adapter configuration for the custom HPA metric are Phase 1 deliverables — the `deploy/observability/` directory referenced in the HPA manifest comment must exist before Phase 1 onboarding.</w:t>
      </w:r>
    </w:p>
    <w:p>
      <w:pPr>
        <w:spacing w:after="120" w:line="300" w:lineRule="auto"/>
      </w:pPr>
      <w:r>
        <w:rPr>
          <w:rFonts w:ascii="Calibri" w:hAnsi="Calibri"/>
        </w:rPr>
        <w:t>Four Grafana dashboards are live before Phase 1 onboarding, with access tiers enforced via Grafana team permissions. The Engineering pane shows per-node pipeline latency percentiles, error rates, security gate fire rates, repair loop counts, and escalation rate. The Product pane shows weekly active users, top question intents, user satisfaction scores from thumbs-up/thumbs-down feedback, and MongoDB versus BigQuery routing distribution. The Business pane shows cost per question, context cache dollar savings, semantic cache dollar savings, and the monthly Flash spend forecast. The Security and Compliance pane — restricted to the compliance and security teams — shows gate violations, PHI block events, audit log access counts, and SOC alert history. No care manager data appears on any dashboard visible to general engineering or product stakeholders. Grafana's team-scoped permissions enforce these audience separations at the dashboard level.</w:t>
      </w:r>
    </w:p>
    <w:p>
      <w:pPr>
        <w:pStyle w:val="Heading3"/>
      </w:pPr>
      <w:r>
        <w:rPr>
          <w:rFonts w:ascii="Calibri" w:hAnsi="Calibri"/>
          <w:color w:val="1A1A1A"/>
        </w:rPr>
        <w:t>Python Runtime Dependencies</w:t>
      </w:r>
    </w:p>
    <w:p>
      <w:pPr>
        <w:spacing w:after="120" w:line="300" w:lineRule="auto"/>
      </w:pPr>
      <w:r>
        <w:rPr>
          <w:rFonts w:ascii="Calibri" w:hAnsi="Calibri"/>
        </w:rPr>
        <w:t>The following production dependencies are present in the codebase and critical to the architecture. structlog provides structured JSON logging, used throughout every node and middleware component. httpx is the async HTTP client used for MCP execute calls. tenacity provides retry-with-exponential-backoff for transient upstream failures in `mcp_client.py` and `_retry.py`. psycopg3 (with `psycopg_pool`) is the async PostgreSQL driver for Cloud SQL, paired with the pgvector psycopg adapter. The `regex` library provides RE2-compatible regular expressions for security-sensitive PII strip and injection detection patterns where catastrophic backtracking must be excluded. pydantic and pydantic-settings provide runtime validation for AgentState and settings.</w:t>
      </w:r>
    </w:p>
    <w:p>
      <w:pPr>
        <w:pStyle w:val="Heading3"/>
      </w:pPr>
      <w:r>
        <w:rPr>
          <w:rFonts w:ascii="Calibri" w:hAnsi="Calibri"/>
          <w:color w:val="1A1A1A"/>
        </w:rPr>
        <w:t>Delivery and Tooling</w:t>
      </w:r>
    </w:p>
    <w:p>
      <w:pPr>
        <w:spacing w:after="120" w:line="300" w:lineRule="auto"/>
      </w:pPr>
      <w:r>
        <w:rPr>
          <w:rFonts w:ascii="Calibri" w:hAnsi="Calibri"/>
        </w:rPr>
        <w:t>All V3 source code, Kubernetes manifests, CI workflow definitions, prompt files, few-shot examples, and schema definitions live in the `cvs-health-source-code` GitHub organization. CODEOWNERS files cover security-sensitive paths: Kubernetes manifests (security team review required for SecurityContext, RBAC, or NetworkPolicy changes), translator prompt and few-shot files (clinical SME review required), and the eval golden test set directory (ML engineer review required). Branch protection on `main` requires passing CI gates before merge.</w:t>
      </w:r>
    </w:p>
    <w:p>
      <w:pPr>
        <w:spacing w:after="120" w:line="300" w:lineRule="auto"/>
      </w:pPr>
      <w:r>
        <w:rPr>
          <w:rFonts w:ascii="Calibri" w:hAnsi="Calibri"/>
        </w:rPr>
        <w:t>The CI pipeline executes three sequential gate stages on every pull request. The code scan stage runs lint, unit tests, dependency audit, and Snyk container scanning (zero critical or high CVEs required on both images). The security gate stage runs the scope filter enforcement test, PHI scrub compliance test, input and output gate coverage tests, and validates SecurityContext settings in every Kubernetes manifest. The eval gate stage runs the full golden test set against the actual Gemini Flash model (not a stub) using the active context cache name from the staging environment — this ensures the eval and production paths use the same cached context. A score below 80% aggregate or below any per-class harm-tier minimum (Tier 1: 95%, Tier 2: 85%, Tier 3: 75%) blocks the merge. The golden test set currently contains N=50 examples, which supports only approximately ±11pp at 95% confidence on an 80% estimate; N≥150 is required before Phase 1 onboarding of live care managers to provide statistically valid clinical safety assurance.</w:t>
      </w:r>
    </w:p>
    <w:p>
      <w:pPr>
        <w:spacing w:after="120" w:line="300" w:lineRule="auto"/>
      </w:pPr>
      <w:r>
        <w:rPr>
          <w:rFonts w:ascii="Calibri" w:hAnsi="Calibri"/>
        </w:rPr>
        <w:t>Artifact Registry stores signed, tagged container images for both workloads, with a 14-day rollback window enforced via lifecycle policy. Canary deployment uses a three-stage progression — 10%, 50%, 100% of traffic — with each stage monitored for five minutes. An SLO breach (p95 cache-miss latency above 2.5 seconds or security gate violation rate above 1%) initiates rollback to the prior signed artifact. For Phase 1 and Phase 2, canary rollback is manual: the on-call engineer monitors Cloud Monitoring and triggers `kubectl rollout undo`. The rollback must be initiated within 5 minutes of alert. Automated canary progression via Flagger or Argo Rollouts is deferred to the production hardening workstream. On pod SIGTERM, the FastAPI `lifespan` handler drains in-flight LangGraph executions with a 10-second budget, ensuring no synchronous `audit` writes are dropped mid-flight during a deployment.</w:t>
      </w:r>
    </w:p>
    <w:p>
      <w:r>
        <w:br w:type="page"/>
      </w:r>
    </w:p>
    <w:p>
      <w:pPr>
        <w:pStyle w:val="Heading1"/>
      </w:pPr>
      <w:r>
        <w:rPr>
          <w:rFonts w:ascii="Calibri" w:hAnsi="Calibri"/>
          <w:color w:val="CC0033"/>
        </w:rPr>
        <w:t>Security &amp; Compliance</w:t>
      </w:r>
    </w:p>
    <w:p>
      <w:pPr>
        <w:pStyle w:val="Heading3"/>
      </w:pPr>
      <w:r>
        <w:rPr>
          <w:rFonts w:ascii="Calibri" w:hAnsi="Calibri"/>
          <w:color w:val="1A1A1A"/>
        </w:rPr>
        <w:t>Architecture: Structure Over Prompts</w:t>
      </w:r>
    </w:p>
    <w:p>
      <w:pPr>
        <w:spacing w:after="120" w:line="300" w:lineRule="auto"/>
      </w:pPr>
      <w:r>
        <w:rPr>
          <w:rFonts w:ascii="Calibri" w:hAnsi="Calibri"/>
        </w:rPr>
        <w:t>Security controls in V3 are LangGraph nodes, not prompt instructions. The LLM touches only the middle steps of a pipeline bracketed on both ends by deterministic Python code it cannot reach or influence. Three structural checkpoints enforce this: the input security gate runs before any other node on every request including cache hits; the pipeline validation guards (accuracy check and four-stage query validator) sit between the translator and the MCP executor; the output security gate runs after every MCP execution before any result reaches the care manager. None of these checkpoints can be bypassed by routing logic because the conditional edges that would omit them do not exist in the compiled graph.</w:t>
      </w:r>
    </w:p>
    <w:p>
      <w:pPr>
        <w:pStyle w:val="Heading3"/>
      </w:pPr>
      <w:r>
        <w:rPr>
          <w:rFonts w:ascii="Calibri" w:hAnsi="Calibri"/>
          <w:color w:val="1A1A1A"/>
        </w:rPr>
        <w:t>PHI Control Plane</w:t>
      </w:r>
    </w:p>
    <w:p>
      <w:pPr>
        <w:spacing w:after="120" w:line="300" w:lineRule="auto"/>
      </w:pPr>
      <w:r>
        <w:rPr>
          <w:rFonts w:ascii="Calibri" w:hAnsi="Calibri"/>
        </w:rPr>
        <w:t>The most important constraint is that MCP query results never re-enter any Gemini API call. The translator receives the care manager's PII-stripped natural language question, the schema, and the few-shot examples — never query results. When MCP execution completes, results flow directly from `mcp_executor_node` to `output_security_node`. There is no code path in the pipeline by which result data is concatenated into a subsequent LLM prompt. This holds for the repair loop: `sanitize_repair_context()` is the sole producer of repair injection strings. It may include the offending field name and the validator stage that fired; it is prohibited from including any row value, bind-parameter value, or MCP result. The repair count is hard-capped at 1 in two places — the conditional edge predicate and as a guard at the top of `translator_node` — so a future refactor of the edge logic cannot reintroduce an unbounded retry loop.</w:t>
      </w:r>
    </w:p>
    <w:p>
      <w:pPr>
        <w:spacing w:after="120" w:line="300" w:lineRule="auto"/>
      </w:pPr>
      <w:r>
        <w:rPr>
          <w:rFonts w:ascii="Calibri" w:hAnsi="Calibri"/>
        </w:rPr>
        <w:t>PHI is prevented from entering the LangGraph checkpoint store by the `PhiSafeJsonPlusSerializer`, which strips four categories before any checkpoint write: `jwt` and `question` fields receive the sentinel string `"[PHI_REDACTED]"`; `normalized_question` is also replaced with `"[PHI_REDACTED]"`; `query_results` is replaced with an empty list `[]`; `formatted_response` is replaced with `{"__phi_redacted__": True}`. A pre-deploy CI check validates that no recently changed code path writes `state.query_results` or `state.formatted_response` to Cloud Trace spans, Cloud Monitoring metric labels, or any Cloud SQL table outside the PHI-stripped checkpoint schema.</w:t>
      </w:r>
    </w:p>
    <w:p>
      <w:pPr>
        <w:spacing w:after="120" w:line="300" w:lineRule="auto"/>
      </w:pPr>
      <w:r>
        <w:rPr>
          <w:rFonts w:ascii="Calibri" w:hAnsi="Calibri"/>
        </w:rPr>
        <w:t>Semantic cache embeddings follow the same discipline. The question embedding is computed on the PII-stripped, normalized question, never the raw question. A question containing a member name cannot become a vector discoverable by another user through similarity search.</w:t>
      </w:r>
    </w:p>
    <w:p>
      <w:pPr>
        <w:pStyle w:val="Heading3"/>
      </w:pPr>
      <w:r>
        <w:rPr>
          <w:rFonts w:ascii="Calibri" w:hAnsi="Calibri"/>
          <w:color w:val="1A1A1A"/>
        </w:rPr>
        <w:t>The Eleven Security Gates</w:t>
      </w:r>
    </w:p>
    <w:p>
      <w:pPr>
        <w:spacing w:after="120" w:line="300" w:lineRule="auto"/>
      </w:pPr>
      <w:r>
        <w:rPr>
          <w:rFonts w:ascii="Calibri" w:hAnsi="Calibri"/>
        </w:rPr>
        <w:t>The table below maps each gate to its node, whether it fires on cache hits, and the action on trigger. The gates are enumerated as a reference for implementers and compliance reviewers.</w:t>
      </w:r>
    </w:p>
    <w:p>
      <w:pPr>
        <w:spacing w:after="120" w:line="300" w:lineRule="auto"/>
      </w:pPr>
      <w:r>
        <w:rPr>
          <w:rFonts w:ascii="Calibri" w:hAnsi="Calibri"/>
        </w:rPr>
        <w:t>Scope classifier (input_security_node, fires on all requests including cache hits): deterministic keyword and regex match against the CareConnect domain vocabulary. Action: polite refusal, `outcome=refusal`, audit record written.</w:t>
      </w:r>
    </w:p>
    <w:p>
      <w:pPr>
        <w:spacing w:after="120" w:line="300" w:lineRule="auto"/>
      </w:pPr>
      <w:r>
        <w:rPr>
          <w:rFonts w:ascii="Calibri" w:hAnsi="Calibri"/>
        </w:rPr>
        <w:t>PII strip (input_security_node, fires on all requests): deterministic regex removal of name patterns, MRN format, and date-of-birth strings from the question text. Action: silent in-place replacement, `state.normalized_question` carries the cleaned form.</w:t>
      </w:r>
    </w:p>
    <w:p>
      <w:pPr>
        <w:spacing w:after="120" w:line="300" w:lineRule="auto"/>
      </w:pPr>
      <w:r>
        <w:rPr>
          <w:rFonts w:ascii="Calibri" w:hAnsi="Calibri"/>
        </w:rPr>
        <w:t>Injection detector (input_security_node, fires on all requests): Gemini Flash classifier on the PII-stripped question text. Fails closed on classifier unavailability — returns `outcome=refusal` rather than passing an unverified question downstream. Required false-negative rate: at or below 1% on the golden injection test set. Action on detection: SOC alert written to audit, `outcome=blocked`, refusal returned to user. Planned post-POC replacement with a local in-process classifier (Meta `prompt-guard-86m`) would make this step fully deterministic and remove approximately 300ms from the hot path.</w:t>
      </w:r>
    </w:p>
    <w:p>
      <w:pPr>
        <w:spacing w:after="120" w:line="300" w:lineRule="auto"/>
      </w:pPr>
      <w:r>
        <w:rPr>
          <w:rFonts w:ascii="Calibri" w:hAnsi="Calibri"/>
        </w:rPr>
        <w:t>PHI-in-LLM architectural invariant (no runtime gate; structural graph property): MCP results are routed from `mcp_executor` directly to `output_security`. There is no edge, node, or code path that passes result data back to the translator or any other LLM call. This invariant must be preserved when future nodes are added to the pipeline.</w:t>
      </w:r>
    </w:p>
    <w:p>
      <w:pPr>
        <w:spacing w:after="120" w:line="300" w:lineRule="auto"/>
      </w:pPr>
      <w:r>
        <w:rPr>
          <w:rFonts w:ascii="Calibri" w:hAnsi="Calibri"/>
        </w:rPr>
        <w:t>Write-operation guard (query_validator_node, Stage 1, fires on cache-miss translation path): AST inspection for INSERT, UPDATE, DELETE, DROP, CREATE, ALTER, or MQL mutation operators. Action: hard block, SOC alert, `outcome=validation_failed`.</w:t>
      </w:r>
    </w:p>
    <w:p>
      <w:pPr>
        <w:spacing w:after="120" w:line="300" w:lineRule="auto"/>
      </w:pPr>
      <w:r>
        <w:rPr>
          <w:rFonts w:ascii="Calibri" w:hAnsi="Calibri"/>
        </w:rPr>
        <w:t>Scope-filter-missing check (query_validator_node, Stage 2, fires on cache-miss translation path): verifies that `:user_id` bind parameter placeholder is present in the correct structural position. A missing scope filter would allow a query to execute without user scope. Action: hard block, SOC alert.</w:t>
      </w:r>
    </w:p>
    <w:p>
      <w:pPr>
        <w:spacing w:after="120" w:line="300" w:lineRule="auto"/>
      </w:pPr>
      <w:r>
        <w:rPr>
          <w:rFonts w:ascii="Calibri" w:hAnsi="Calibri"/>
        </w:rPr>
        <w:t>PHI scrub (output_security_node, fires after every MCP execution): removes fields outside the authenticated user's access level from every result row before the response is assembled. Action: silent field-level removal.</w:t>
      </w:r>
    </w:p>
    <w:p>
      <w:pPr>
        <w:spacing w:after="120" w:line="300" w:lineRule="auto"/>
      </w:pPr>
      <w:r>
        <w:rPr>
          <w:rFonts w:ascii="Calibri" w:hAnsi="Calibri"/>
        </w:rPr>
        <w:t>Row cap (output_security_node, fires after every MCP execution): ad-hoc responses capped at 100 rows, export responses at 1,000. Action: silent truncation.</w:t>
      </w:r>
    </w:p>
    <w:p>
      <w:pPr>
        <w:spacing w:after="120" w:line="300" w:lineRule="auto"/>
      </w:pPr>
      <w:r>
        <w:rPr>
          <w:rFonts w:ascii="Calibri" w:hAnsi="Calibri"/>
        </w:rPr>
        <w:t>Scope confirm (output_security_node, fires after every MCP execution): validates that every result row belongs to the authenticated user's caseload via `state.caseload_scope`. A foreign row blocks the entire result. Action: full result block, SOC alert.</w:t>
      </w:r>
    </w:p>
    <w:p>
      <w:pPr>
        <w:spacing w:after="120" w:line="300" w:lineRule="auto"/>
      </w:pPr>
      <w:r>
        <w:rPr>
          <w:rFonts w:ascii="Calibri" w:hAnsi="Calibri"/>
        </w:rPr>
        <w:t>Sanity bounds (output_security_node, fires after every MCP execution): clinical value ranges from the Bounds Registry. Soft-warn values deliver the answer with a visible banner advising verification. Hard-block values block the result entirely. Action: warn banner or hard block.</w:t>
      </w:r>
    </w:p>
    <w:p>
      <w:pPr>
        <w:spacing w:after="120" w:line="300" w:lineRule="auto"/>
      </w:pPr>
      <w:r>
        <w:rPr>
          <w:rFonts w:ascii="Calibri" w:hAnsi="Calibri"/>
        </w:rPr>
        <w:t>Per-intent field allowlist (output_security_node, fires after every MCP execution): any field in the result not on the approved list for the detected intent type is stripped. Action: silent field strip.</w:t>
      </w:r>
    </w:p>
    <w:p>
      <w:pPr>
        <w:pStyle w:val="Heading3"/>
      </w:pPr>
      <w:r>
        <w:rPr>
          <w:rFonts w:ascii="Calibri" w:hAnsi="Calibri"/>
          <w:color w:val="1A1A1A"/>
        </w:rPr>
        <w:t>Auth Chain</w:t>
      </w:r>
    </w:p>
    <w:p>
      <w:pPr>
        <w:spacing w:after="120" w:line="300" w:lineRule="auto"/>
      </w:pPr>
      <w:r>
        <w:rPr>
          <w:rFonts w:ascii="Calibri" w:hAnsi="Calibri"/>
        </w:rPr>
        <w:t>Authentication flows in one direction, from the portal to the database, with no point at which user-supplied input influences what credentials or scope the system uses. The care manager's JWT is verified server-side by FastAPI middleware — signature, expiration, and issuer — before the LangGraph pipeline is invoked. `AgentState.user_id` and `AgentState.caseload_scope` are populated exclusively from verified JWT claims, never from the request body. The query validator confirms that `state.caseload_scope` is bound into the query template as a parameter; the MCP executor binds it at execution time from state.</w:t>
      </w:r>
    </w:p>
    <w:p>
      <w:pPr>
        <w:spacing w:after="120" w:line="300" w:lineRule="auto"/>
      </w:pPr>
      <w:r>
        <w:rPr>
          <w:rFonts w:ascii="Calibri" w:hAnsi="Calibri"/>
        </w:rPr>
        <w:t>The `as_tool` interface sets `jwt=""` when invoked from a trusted supervisor agent, bypassing the JWT verification path. The `user_id` and `caseload_scope` in this case are supplied by the calling supervisor agent and must be validated by the supervisor before the tool is invoked. The same security gates — input security, scope confirm, output gate — apply identically when invoked via `as_tool` as through the JWT-authenticated `/v1/query` endpoint; the PHI controls are not conditional on the authentication path.</w:t>
      </w:r>
    </w:p>
    <w:p>
      <w:pPr>
        <w:spacing w:after="120" w:line="300" w:lineRule="auto"/>
      </w:pPr>
      <w:r>
        <w:rPr>
          <w:rFonts w:ascii="Calibri" w:hAnsi="Calibri"/>
        </w:rPr>
        <w:t>The MCP server authenticates inbound callers via `hmac.compare_digest` against the `MCP_INBOUND_TOKEN` environment variable, preventing any process other than the authorized agent from submitting execution requests to the MCP endpoint from within the cluster. The MCP server authenticates to BigQuery via Workload Identity and Application Default Credentials. MongoDB Atlas credentials are held in Secret Manager, pulled at pod startup, and kept in process memory only. Atlas credential rotation occurs at most every 90 days per a documented rotation runbook required before Phase 1.</w:t>
      </w:r>
    </w:p>
    <w:p>
      <w:pPr>
        <w:pStyle w:val="Heading3"/>
      </w:pPr>
      <w:r>
        <w:rPr>
          <w:rFonts w:ascii="Calibri" w:hAnsi="Calibri"/>
          <w:color w:val="1A1A1A"/>
        </w:rPr>
        <w:t>Container Security</w:t>
      </w:r>
    </w:p>
    <w:p>
      <w:pPr>
        <w:spacing w:after="120" w:line="300" w:lineRule="auto"/>
      </w:pPr>
      <w:r>
        <w:rPr>
          <w:rFonts w:ascii="Calibri" w:hAnsi="Calibri"/>
        </w:rPr>
        <w:t>Both the agent and MCP server containers run under a hardening baseline enforced as a mandatory merge gate. All containers run as non-root (`runAsNonRoot: true`), with a read-only root filesystem (`readOnlyRootFilesystem: true`), and all Linux capabilities dropped (`capabilities.drop: ["ALL"]`). No capability is added back under any circumstance. Writable scratch space is provided via `emptyDir` volume mounts. Any Kubernetes manifest that omits or weakens these settings fails the CI/CD security scan and blocks the merge. Snyk container scanning requires zero critical or high CVEs before an image is promoted to staging. Container images are signed in Artifact Registry; the 14-day rollback window retains any promoted image for redeployment without a rebuild.</w:t>
      </w:r>
    </w:p>
    <w:p>
      <w:pPr>
        <w:pStyle w:val="Heading3"/>
      </w:pPr>
      <w:r>
        <w:rPr>
          <w:rFonts w:ascii="Calibri" w:hAnsi="Calibri"/>
          <w:color w:val="1A1A1A"/>
        </w:rPr>
        <w:t>Audit and Compliance</w:t>
      </w:r>
    </w:p>
    <w:p>
      <w:pPr>
        <w:spacing w:after="120" w:line="300" w:lineRule="auto"/>
      </w:pPr>
      <w:r>
        <w:rPr>
          <w:rFonts w:ascii="Calibri" w:hAnsi="Calibri"/>
        </w:rPr>
        <w:t>The BigQuery audit log is the authoritative compliance trail. Retention is set to six years per 45 CFR 164.530(j). Every request writes a record containing `trace_id`, `user_id`, `session_id`, `occurred_at`, `intent`, `routing_source`, `tier`, `outcome`, `cache_hit`, `semantic_hit`, `repair_count`, `latency_ms`, and `pipeline_node`. No raw question text and no result data are written. The `question_hash` field (SHA-256 of the PII-stripped normalized question) is defined in the BigQuery schema and enables frequency analysis and pattern detection without storing identifiable question text; this field is not yet populated by `build_audit_payload` in the current implementation and must be resolved before Phase 1. The `pipeline_node` field is similarly defined in the schema but not yet written; it is required for incident reconstruction and must also be resolved before Phase 1.</w:t>
      </w:r>
    </w:p>
    <w:p>
      <w:pPr>
        <w:spacing w:after="120" w:line="300" w:lineRule="auto"/>
      </w:pPr>
      <w:r>
        <w:rPr>
          <w:rFonts w:ascii="Calibri" w:hAnsi="Calibri"/>
        </w:rPr>
        <w:t>The audit write is synchronous inside the LangGraph graph. On BigQuery insert failure, `audit_node` writes the payload to the `audit_dead_letter` Cloud SQL table in the same synchronous step, so the record is durable before the HTTP response returns. If both BigQuery and the dead-letter write fail simultaneously — a condition requiring both systems to be unavailable at the same instant — the payload is emitted as a structured error log to Cloud Logging as a last-resort recovery path. A dedicated CronJob drains the dead-letter table on a five-minute cadence with a required drain success rate of 99.9% or higher. Dead-letter accumulation sustained above a threshold for more than 10 minutes is a P1 incident. The FastAPI `lifespan` shutdown handler awaits in-flight LangGraph executions for up to ten seconds before process exit, ensuring rolling deployments cannot drop audit records mid-write.</w:t>
      </w:r>
    </w:p>
    <w:p>
      <w:pPr>
        <w:spacing w:after="120" w:line="300" w:lineRule="auto"/>
      </w:pPr>
      <w:r>
        <w:rPr>
          <w:rFonts w:ascii="Calibri" w:hAnsi="Calibri"/>
        </w:rPr>
        <w:t>BigQuery audit IAM: compliance and security team members have read access via named reviewer bindings. Engineering members query through a scoped analyst role with no edit or delete rights. Bindings are reviewed quarterly.</w:t>
      </w:r>
    </w:p>
    <w:p>
      <w:pPr>
        <w:spacing w:after="120" w:line="300" w:lineRule="auto"/>
      </w:pPr>
      <w:r>
        <w:rPr>
          <w:rFonts w:ascii="Calibri" w:hAnsi="Calibri"/>
        </w:rPr>
        <w:t>Cloud Trace spans carry structural pipeline metadata only and are retained for 30 days. The Security and Compliance Grafana pane — restricted to the compliance and security teams — provides a view over audit log query summaries, PHI exposure event counts, and SOC alert counts. No care manager data appears on any dashboard visible to general engineering or product stakeholders.</w:t>
      </w:r>
    </w:p>
    <w:p>
      <w:pPr>
        <w:pStyle w:val="Heading3"/>
      </w:pPr>
      <w:r>
        <w:rPr>
          <w:rFonts w:ascii="Calibri" w:hAnsi="Calibri"/>
          <w:color w:val="1A1A1A"/>
        </w:rPr>
        <w:t>Rate Limiting</w:t>
      </w:r>
    </w:p>
    <w:p>
      <w:pPr>
        <w:spacing w:after="120" w:line="300" w:lineRule="auto"/>
      </w:pPr>
      <w:r>
        <w:rPr>
          <w:rFonts w:ascii="Calibri" w:hAnsi="Calibri"/>
        </w:rPr>
        <w:t>Rate limiting is enforced cross-pod using the Cloud SQL `rate_limit_counter` table. One row per scope (`user:&lt;id&gt;` or `global`) is managed via a `SELECT FOR UPDATE` followed by an UPSERT that increments the count within a one-minute rolling window keyed on `floor(epoch_seconds / 60)`. The transaction completes in under 10ms at p99. Per-user limit is 30 requests per minute; global limit is 500 requests per minute. Both values are environment variables. Requests exceeding either limit receive HTTP 429 with a `Retry-After` header.</w:t>
      </w:r>
    </w:p>
    <w:p>
      <w:pPr>
        <w:pStyle w:val="Heading3"/>
      </w:pPr>
      <w:r>
        <w:rPr>
          <w:rFonts w:ascii="Calibri" w:hAnsi="Calibri"/>
          <w:color w:val="1A1A1A"/>
        </w:rPr>
        <w:t>POC Scope Deferrals</w:t>
      </w:r>
    </w:p>
    <w:p>
      <w:pPr>
        <w:spacing w:after="120" w:line="300" w:lineRule="auto"/>
      </w:pPr>
      <w:r>
        <w:rPr>
          <w:rFonts w:ascii="Calibri" w:hAnsi="Calibri"/>
        </w:rPr>
        <w:t>The HIPAA BAA path for the Google AI Generative API is owned by Legal and Compliance. Phase 1 cannot onboard live care managers until BAA status is confirmed and the following go/no-go gate is cleared: the Legal and Compliance team lead must provide either a signed HIPAA BAA or a written Legal memo confirming the API's scope for this use case, along with the target date for that determination. The contingency path — a switch from `google.generativeai` to the Vertex AI SDK — is a separate workstream; teams familiar with the Vertex AI SDK estimate this as a 2 to 4 week engineering effort, but that estimate has not been formally scoped. All pre-Phase-1 development uses synthetic care manager data only.</w:t>
      </w:r>
    </w:p>
    <w:p>
      <w:pPr>
        <w:spacing w:after="120" w:line="300" w:lineRule="auto"/>
      </w:pPr>
      <w:r>
        <w:rPr>
          <w:rFonts w:ascii="Calibri" w:hAnsi="Calibri"/>
        </w:rPr>
        <w:t>The injection detector for the POC is a probabilistic Gemini Flash classifier. The planned replacement with a local in-process classifier would eliminate the Flash API call from the hot path and improve detection accuracy on injection-specific corpora. This swap is a named post-POC workstream and is not a Phase 1 gate.</w:t>
      </w:r>
    </w:p>
    <w:p>
      <w:r>
        <w:br w:type="page"/>
      </w:r>
    </w:p>
    <w:p>
      <w:pPr>
        <w:pStyle w:val="Heading1"/>
      </w:pPr>
      <w:r>
        <w:rPr>
          <w:rFonts w:ascii="Calibri" w:hAnsi="Calibri"/>
          <w:color w:val="CC0033"/>
        </w:rPr>
        <w:t>Deployment Topology &amp; Observability</w:t>
      </w:r>
    </w:p>
    <w:p>
      <w:pPr>
        <w:pStyle w:val="Heading3"/>
      </w:pPr>
      <w:r>
        <w:rPr>
          <w:rFonts w:ascii="Calibri" w:hAnsi="Calibri"/>
          <w:color w:val="1A1A1A"/>
        </w:rPr>
        <w:t>Cluster Topology</w:t>
      </w:r>
    </w:p>
    <w:p>
      <w:pPr>
        <w:spacing w:after="120" w:line="300" w:lineRule="auto"/>
      </w:pPr>
      <w:r>
        <w:rPr>
          <w:rFonts w:ascii="Calibri" w:hAnsi="Calibri"/>
        </w:rPr>
        <w:t>The V3 POC runs entirely on the existing `careconnect-gke` cluster in the `hcb-dev-careconnect-etl` project, region us-east4. No new cluster is provisioned.</w:t>
      </w:r>
    </w:p>
    <w:p>
      <w:pPr>
        <w:spacing w:after="120" w:line="300" w:lineRule="auto"/>
      </w:pPr>
      <w:r>
        <w:rPr>
          <w:rFonts w:ascii="Calibri" w:hAnsi="Calibri"/>
        </w:rPr>
        <w:t>Two Deployments live in the cluster: the LangGraph Agent Deployment and the MCP Server Deployment. Both run under Workload Identity using dedicated GCP service accounts (`query-agent-gke` and `mcp-server-gke`), with no long-lived credentials in any container spec. Both Deployments expose an HTTP endpoint backed by a Kubernetes Service. The agent reaches the MCP server at `https://mcp-server.default.svc.cluster.local:8081/v1/execute` — traffic never leaves the cluster boundary for agent-to-MCP communication, and mTLS is enforced on that link.</w:t>
      </w:r>
    </w:p>
    <w:p>
      <w:pPr>
        <w:spacing w:after="120" w:line="300" w:lineRule="auto"/>
      </w:pPr>
      <w:r>
        <w:rPr>
          <w:rFonts w:ascii="Calibri" w:hAnsi="Calibri"/>
        </w:rPr>
        <w:t>Both pods are hardened identically: non-root user, read-only root filesystem, all Linux capabilities dropped, with `emptyDir` volume mounts for writable scratch space. The CI/CD security gate validates these `securityContext` settings on every manifest change and blocks the merge if any are relaxed.</w:t>
      </w:r>
    </w:p>
    <w:p>
      <w:pPr>
        <w:spacing w:after="120" w:line="300" w:lineRule="auto"/>
      </w:pPr>
      <w:r>
        <w:rPr>
          <w:rFonts w:ascii="Calibri" w:hAnsi="Calibri"/>
        </w:rPr>
        <w:t>The HPA for each Deployment uses two metrics: CPU utilization at 70% and a custom Pods metric `agent_requests_per_second` at an average value of 8, wired via the Prometheus Adapter. Prometheus and the Prometheus Adapter are required infrastructure dependencies; their configuration for the custom HPA metric is a named Phase 1 deliverable. The `deploy/observability/` directory referenced in the HPA manifest comment must be populated before Phase 1. Minimum replica count is 2 per Deployment, maximum is 6. QPS is the primary autoscaling signal because a cache miss at 2.8s burns roughly four times the compute of a 700ms exact-cache hit, and arrival rate determines queuing pressure more directly than CPU alone.</w:t>
      </w:r>
    </w:p>
    <w:p>
      <w:pPr>
        <w:pStyle w:val="Heading3"/>
      </w:pPr>
      <w:r>
        <w:rPr>
          <w:rFonts w:ascii="Calibri" w:hAnsi="Calibri"/>
          <w:color w:val="1A1A1A"/>
        </w:rPr>
        <w:t>CronJob Workloads</w:t>
      </w:r>
    </w:p>
    <w:p>
      <w:pPr>
        <w:spacing w:after="120" w:line="300" w:lineRule="auto"/>
      </w:pPr>
      <w:r>
        <w:rPr>
          <w:rFonts w:ascii="Calibri" w:hAnsi="Calibri"/>
        </w:rPr>
        <w:t>The context cache refresh job runs every 45 minutes under the `query-agent-gke` service account. It calls `CachedContent.create()` for the MQL and SQL translator prompts and writes the new `cache.name` into the `context_cache_registry` table. The TTL on each cached context is 75 minutes. The 45-minute refresh interval guarantees a minimum 30-minute overlap between an expiring cache and its replacement. A 60-minute refresh against a 60-minute TTL would produce a jitter gap where a missed cycle immediately leaves the translator cold for the entire next interval.</w:t>
      </w:r>
    </w:p>
    <w:p>
      <w:pPr>
        <w:spacing w:after="120" w:line="300" w:lineRule="auto"/>
      </w:pPr>
      <w:r>
        <w:rPr>
          <w:rFonts w:ascii="Calibri" w:hAnsi="Calibri"/>
        </w:rPr>
        <w:t>The CronJob is the sole creator of `CachedContent` objects. Agent pods never call `create()`. This sole-creator pattern eliminates per-pod cache proliferation under HPA scale-out — if each pod created its own cache on startup, a scale-out event at peak QPS could produce dozens of orphaned `CachedContent` objects with no authoritative record of which name is current. The CronJob produces exactly two live caches at any time (one per source), writes the handoff atomically to `context_cache_registry`, and schedules deletion of the superseded cache one TTL later. Three consecutive missed warm-up cycles trigger a P2 alert.</w:t>
      </w:r>
    </w:p>
    <w:p>
      <w:pPr>
        <w:spacing w:after="120" w:line="300" w:lineRule="auto"/>
      </w:pPr>
      <w:r>
        <w:rPr>
          <w:rFonts w:ascii="Calibri" w:hAnsi="Calibri"/>
        </w:rPr>
        <w:t>The audit dead-letter drain job runs every 5 minutes. When `audit_node` fails to insert into BigQuery, it writes the audit payload synchronously to the Cloud SQL `audit_dead_letter` table before the request returns. The drain CronJob polls the dead-letter table, re-attempts the BigQuery insert, removes the row on success, and increments a retry counter on failure. This makes BigQuery insertion failures a latency cost rather than a durability loss. The drain SLO is 99.9% success rate across the POC window. Dead-letter accumulation sustained above threshold for more than 10 minutes is a P1 incident, not an expected operational state.</w:t>
      </w:r>
    </w:p>
    <w:p>
      <w:pPr>
        <w:pStyle w:val="Heading3"/>
      </w:pPr>
      <w:r>
        <w:rPr>
          <w:rFonts w:ascii="Calibri" w:hAnsi="Calibri"/>
          <w:color w:val="1A1A1A"/>
        </w:rPr>
        <w:t>Region Trade-off</w:t>
      </w:r>
    </w:p>
    <w:p>
      <w:pPr>
        <w:spacing w:after="120" w:line="300" w:lineRule="auto"/>
      </w:pPr>
      <w:r>
        <w:rPr>
          <w:rFonts w:ascii="Calibri" w:hAnsi="Calibri"/>
        </w:rPr>
        <w:t>The agent and MCP server run in us-east4 because that is where `careconnect-gke` already exists. The Google AI Generative API endpoint is regional to us-central1. Every Flash call crosses that region boundary, adding approximately 30 to 60ms of round-trip latency per call. On the cache-miss path, three serial Flash calls are made (injection detect, route, translate), which can add 90 to 180ms of cumulative cross-region latency.</w:t>
      </w:r>
    </w:p>
    <w:p>
      <w:pPr>
        <w:spacing w:after="120" w:line="300" w:lineRule="auto"/>
      </w:pPr>
      <w:r>
        <w:rPr>
          <w:rFonts w:ascii="Calibri" w:hAnsi="Calibri"/>
        </w:rPr>
        <w:t>This is accepted as a POC constraint. The latency budgets below are sized for the measured us-east4 to us-central1 round-trip. Sprint 0 includes an explicit measurement task: a pod in `careconnect-gke` measures Flash p50/p95/p99 round-trip before any Sprint 1 infrastructure spending begins, and the budgets are re-pinned to the measurement if actual values differ materially from the planning assumption. If the measured latency blows the budget, the preferred first mitigation is replacing the injection-detect Flash call with an in-process local classifier, removing one cross-region hop from every request hot path. The cluster does not move.</w:t>
      </w:r>
    </w:p>
    <w:p>
      <w:pPr>
        <w:pStyle w:val="Heading3"/>
      </w:pPr>
      <w:r>
        <w:rPr>
          <w:rFonts w:ascii="Calibri" w:hAnsi="Calibri"/>
          <w:color w:val="1A1A1A"/>
        </w:rPr>
        <w:t>Latency Budget</w:t>
      </w:r>
    </w:p>
    <w:p>
      <w:pPr>
        <w:spacing w:after="120" w:line="300" w:lineRule="auto"/>
      </w:pPr>
      <w:r>
        <w:rPr>
          <w:rFonts w:ascii="Calibri" w:hAnsi="Calibri"/>
        </w:rPr>
        <w:t>The total request wall time is capped at 15 seconds (5-second hard Flash timeout plus a 10-second hard Pro timeout for escalated requests). Repair-loop retries do not stack with API timeouts — a single retry attempt is bounded by the applicable hard timeout.</w:t>
      </w:r>
    </w:p>
    <w:p>
      <w:pPr>
        <w:spacing w:after="120" w:line="300" w:lineRule="auto"/>
      </w:pPr>
      <w:r>
        <w:rPr>
          <w:rFonts w:ascii="Calibri" w:hAnsi="Calibri"/>
        </w:rPr>
        <w:t>An exact-hash cache hit must complete in under 700ms. That budget is consumed primarily by the injection-detect Flash call (approximately 300ms for the cross-region round-trip) and the question embedding call in `load_context` (approximately 150ms). The cache lookup itself is a negligible indexed Cloud SQL read.</w:t>
      </w:r>
    </w:p>
    <w:p>
      <w:pPr>
        <w:spacing w:after="120" w:line="300" w:lineRule="auto"/>
      </w:pPr>
      <w:r>
        <w:rPr>
          <w:rFonts w:ascii="Calibri" w:hAnsi="Calibri"/>
        </w:rPr>
        <w:t>A semantic cache hit adds the pgvector cosine similarity query on top of the exact-hash path and must complete in under 1.0 second. The embedding is pre-computed in `load_context`, so the similarity lookup in `semantic_cache_node` is a pure index traversal with no embedding API call.</w:t>
      </w:r>
    </w:p>
    <w:p>
      <w:pPr>
        <w:spacing w:after="120" w:line="300" w:lineRule="auto"/>
      </w:pPr>
      <w:r>
        <w:rPr>
          <w:rFonts w:ascii="Calibri" w:hAnsi="Calibri"/>
        </w:rPr>
        <w:t>A full cache miss with no Pro escalation must complete in under 3.0 seconds. This budget covers three serial Flash calls (injection detect, route, translate), the MCP execution hop, the deterministic accuracy check and four-stage validator, the output security gate, and the synchronous `save_state` and `audit` writes. A cache miss with Pro escalation must complete in under 5.0 seconds, accounting for one additional Pro call (approximately 1.5 seconds for a cold-path invocation with no cached context) plus re-validation.</w:t>
      </w:r>
    </w:p>
    <w:p>
      <w:pPr>
        <w:spacing w:after="120" w:line="300" w:lineRule="auto"/>
      </w:pPr>
      <w:r>
        <w:rPr>
          <w:rFonts w:ascii="Calibri" w:hAnsi="Calibri"/>
        </w:rPr>
        <w:t>The injection-detect Flash call alone is budgeted at under 300ms and sits on the critical path of every single request. This is the strongest argument for the planned post-POC replacement with an in-process local classifier — it would push the exact-cache-hit p95 below 400ms and remove one cross-region dependency from the availability chain.</w:t>
      </w:r>
    </w:p>
    <w:p>
      <w:pPr>
        <w:spacing w:after="120" w:line="300" w:lineRule="auto"/>
      </w:pPr>
      <w:r>
        <w:rPr>
          <w:rFonts w:ascii="Calibri" w:hAnsi="Calibri"/>
        </w:rPr>
        <w:t>MCP execution must complete in under 500ms. The `save_state` and `audit` nodes run synchronously and must together complete in under 150ms — this is a firm HIPAA compliance requirement, as the audit record must be durable before the response returns. The output security gate is deterministic with no network calls and must complete in under 50ms.</w:t>
      </w:r>
    </w:p>
    <w:p>
      <w:pPr>
        <w:pStyle w:val="Heading3"/>
      </w:pPr>
      <w:r>
        <w:rPr>
          <w:rFonts w:ascii="Calibri" w:hAnsi="Calibri"/>
          <w:color w:val="1A1A1A"/>
        </w:rPr>
        <w:t>Failure Modes and Recovery</w:t>
      </w:r>
    </w:p>
    <w:p>
      <w:pPr>
        <w:spacing w:after="120" w:line="300" w:lineRule="auto"/>
      </w:pPr>
      <w:r>
        <w:rPr>
          <w:rFonts w:ascii="Calibri" w:hAnsi="Calibri"/>
        </w:rPr>
        <w:t>Cloud SQL HA is not enabled in the POC. Extended Cloud SQL unavailability has the following consequences: rate limiting fails open (the SELECT FOR UPDATE times out, requests are not blocked but the limit is not enforced); semantic cache lookups fall through to cache-miss mode (degraded performance, not a system failure); audit inserts fall through to the dead-letter path (durability maintained if Cloud SQL recovers within the drain window); session context reads are skipped (translation quality may degrade). If Cloud SQL is unavailable for longer than the 5-minute drain interval, dead-letter records cannot be written and the last-resort Cloud Logging path activates for audit durability.</w:t>
      </w:r>
    </w:p>
    <w:p>
      <w:pPr>
        <w:spacing w:after="120" w:line="300" w:lineRule="auto"/>
      </w:pPr>
      <w:r>
        <w:rPr>
          <w:rFonts w:ascii="Calibri" w:hAnsi="Calibri"/>
        </w:rPr>
        <w:t>Accepted RPO for the POC is loss of any cache rows written in the Cloud SQL unavailability window (re-translatable, not clinical data). Accepted RTO is restoration of normal operation within the time required to restore the existing Cloud SQL instance via standard GCP procedures. A formal Cloud SQL recovery runbook is a named Phase 1 deliverable; until it exists, the on-call escalation path for Cloud SQL unavailability is direct escalation to the CVS GCP infrastructure team.</w:t>
      </w:r>
    </w:p>
    <w:p>
      <w:pPr>
        <w:spacing w:after="120" w:line="300" w:lineRule="auto"/>
      </w:pPr>
      <w:r>
        <w:rPr>
          <w:rFonts w:ascii="Calibri" w:hAnsi="Calibri"/>
        </w:rPr>
        <w:t>The circuit breaker for per-intent/per-source class accuracy degradation (auto-degrade to refusal mode when weekly production-traffic eval drops below a tier floor) is a stated design goal that has no implementation in the current codebase. It must be explicitly labeled as a post-POC feature until a concrete implementation is described — a specific CronJob, a flag storage location, and a mechanism for the pipeline to read and honor that flag.</w:t>
      </w:r>
    </w:p>
    <w:p>
      <w:pPr>
        <w:pStyle w:val="Heading3"/>
      </w:pPr>
      <w:r>
        <w:rPr>
          <w:rFonts w:ascii="Calibri" w:hAnsi="Calibri"/>
          <w:color w:val="1A1A1A"/>
        </w:rPr>
        <w:t>Release Pipeline</w:t>
      </w:r>
    </w:p>
    <w:p>
      <w:pPr>
        <w:spacing w:after="120" w:line="300" w:lineRule="auto"/>
      </w:pPr>
      <w:r>
        <w:rPr>
          <w:rFonts w:ascii="Calibri" w:hAnsi="Calibri"/>
        </w:rPr>
        <w:t>Automated CI gates run on every merge in sequence. The code scan stage covers lint, unit tests, dependency audit, and Snyk container scanning (zero critical or high CVEs required). The security gate validates scope-filter enforcement, PHI scrub compliance, input and output gate behavior, and SecurityContext settings in every Kubernetes manifest. The eval gate runs the full golden test set against the actual Gemini Flash model using the staging environment's live context cache — not a stub — with a required score of 80% aggregate and all per-class minimums (Tier 1: 95%, Tier 2: 85%, Tier 3: 75%). A failure at any gate blocks the merge. The staging environment uses real Google AI API calls and a real Cloud SQL instance; no components are stubbed. The golden test set currently contains N=50 examples; N≥150 is required before Phase 1 onboarding to provide statistically valid clinical safety assurance.</w:t>
      </w:r>
    </w:p>
    <w:p>
      <w:pPr>
        <w:spacing w:after="120" w:line="300" w:lineRule="auto"/>
      </w:pPr>
      <w:r>
        <w:rPr>
          <w:rFonts w:ascii="Calibri" w:hAnsi="Calibri"/>
        </w:rPr>
        <w:t>Canary deployment uses a three-stage progression — 10%, 50%, 100% of traffic — with each stage monitored for five minutes. For Phase 1 and Phase 2, rollback is manual: the on-call engineer monitors Cloud Monitoring and triggers `kubectl rollout undo` within 5 minutes of an SLO alert. The 14-day rollback window retains the prior signed artifact in Artifact Registry. On pod SIGTERM, the FastAPI `lifespan` handler drains in-flight LangGraph executions with a 10-second budget before process exit.</w:t>
      </w:r>
    </w:p>
    <w:p>
      <w:pPr>
        <w:pStyle w:val="Heading3"/>
      </w:pPr>
      <w:r>
        <w:rPr>
          <w:rFonts w:ascii="Calibri" w:hAnsi="Calibri"/>
          <w:color w:val="1A1A1A"/>
        </w:rPr>
        <w:t>Observability Stack</w:t>
      </w:r>
    </w:p>
    <w:p>
      <w:pPr>
        <w:spacing w:after="120" w:line="300" w:lineRule="auto"/>
      </w:pPr>
      <w:r>
        <w:rPr>
          <w:rFonts w:ascii="Calibri" w:hAnsi="Calibri"/>
        </w:rPr>
        <w:t>Cloud Trace captures one span per LangGraph node. PHI is excluded from all span attributes by the same serde constraints that apply to checkpoint writes. Retention is 30 days.</w:t>
      </w:r>
    </w:p>
    <w:p>
      <w:pPr>
        <w:spacing w:after="120" w:line="300" w:lineRule="auto"/>
      </w:pPr>
      <w:r>
        <w:rPr>
          <w:rFonts w:ascii="Calibri" w:hAnsi="Calibri"/>
        </w:rPr>
        <w:t>Cloud Monitoring tracks real-time SLO metrics: `cache_hit_rate` (exact and semantic separately), `tier_2_escalation_rate` (target band 3% to 12% of cache misses), gate block rates, `repair_loop_count`, and `pipeline_error_rate`. A monthly cost forecast metric alerts at projected spend above $50 per month. A Cloud Monitoring alert for `checkpoint_writes` row count exceeding 100 rows older than 60 seconds is a named Phase 1 deliverable, flagging stuck pipeline runs before they consume connection pool slots under load.</w:t>
      </w:r>
    </w:p>
    <w:p>
      <w:pPr>
        <w:spacing w:after="120" w:line="300" w:lineRule="auto"/>
      </w:pPr>
      <w:r>
        <w:rPr>
          <w:rFonts w:ascii="Calibri" w:hAnsi="Calibri"/>
        </w:rPr>
        <w:t>Cloud Logging receives structured JSON from all GKE workloads. No raw question text or result data appears in any log line.</w:t>
      </w:r>
    </w:p>
    <w:p>
      <w:pPr>
        <w:spacing w:after="120" w:line="300" w:lineRule="auto"/>
      </w:pPr>
      <w:r>
        <w:rPr>
          <w:rFonts w:ascii="Calibri" w:hAnsi="Calibri"/>
        </w:rPr>
        <w:t>The BigQuery audit log is the authoritative compliance trail under 45 CFR 164.530(j), retained for six years. Access is restricted: compliance and security team members receive read access via named reviewer bindings; engineering members query through a scoped analyst role with no edit or delete rights. Bindings are reviewed quarterly.</w:t>
      </w:r>
    </w:p>
    <w:p>
      <w:pPr>
        <w:spacing w:after="120" w:line="300" w:lineRule="auto"/>
      </w:pPr>
      <w:r>
        <w:rPr>
          <w:rFonts w:ascii="Calibri" w:hAnsi="Calibri"/>
        </w:rPr>
        <w:t>P1 alerts route to on-call via email and SMS for: p95 cache-miss latency exceeding 2.5 seconds; security gate violation rate above 1% over a 5-minute window; `tier_2_escalation_rate` sustained above 12% for 30 minutes; and dead-letter accumulation sustained above threshold for more than 10 minutes. Three consecutive missed context cache warm-up cycles trigger a P2 alert. A runbook reference table mapping each alert condition to documented response steps is a named Phase 1 deliverable; the runbook must exist before care managers are onboarded.</w:t>
      </w:r>
    </w:p>
    <w:p>
      <w:pPr>
        <w:pStyle w:val="Heading3"/>
      </w:pPr>
      <w:r>
        <w:rPr>
          <w:rFonts w:ascii="Calibri" w:hAnsi="Calibri"/>
          <w:color w:val="1A1A1A"/>
        </w:rPr>
        <w:t>Key Metrics and Thresholds</w:t>
      </w:r>
    </w:p>
    <w:p>
      <w:pPr>
        <w:spacing w:after="120" w:line="300" w:lineRule="auto"/>
      </w:pPr>
      <w:r>
        <w:rPr>
          <w:rFonts w:ascii="Calibri" w:hAnsi="Calibri"/>
        </w:rPr>
        <w:t>The p95 cache-miss latency target of under 3.0 seconds is the primary SLO alert condition and the trigger for automatic canary rollback consideration.</w:t>
      </w:r>
    </w:p>
    <w:p>
      <w:pPr>
        <w:spacing w:after="120" w:line="300" w:lineRule="auto"/>
      </w:pPr>
      <w:r>
        <w:rPr>
          <w:rFonts w:ascii="Calibri" w:hAnsi="Calibri"/>
        </w:rPr>
        <w:t>Cache hit rate must reach 45% or above over any 7-day window (the formal POC gate). The cost model assumes 50% at steady state. A hit rate below 45% signals that the semantic similarity threshold may need recalibration and that Flash call volume is rising toward the $50 monthly alert threshold.</w:t>
      </w:r>
    </w:p>
    <w:p>
      <w:pPr>
        <w:spacing w:after="120" w:line="300" w:lineRule="auto"/>
      </w:pPr>
      <w:r>
        <w:rPr>
          <w:rFonts w:ascii="Calibri" w:hAnsi="Calibri"/>
        </w:rPr>
        <w:t>The `tier_2_escalation_rate` must stay in the band of 3% to 12% of cache misses. Below 3% suggests the Flash confidence threshold is miscalibrated high. Above 12% sustained for 30 minutes triggers a P1 alert indicating a Flash regression requiring investigation before the next deployment. Expected steady-state rate based on V2 telemetry is 5% to 8%.</w:t>
      </w:r>
    </w:p>
    <w:p>
      <w:pPr>
        <w:spacing w:after="120" w:line="300" w:lineRule="auto"/>
      </w:pPr>
      <w:r>
        <w:rPr>
          <w:rFonts w:ascii="Calibri" w:hAnsi="Calibri"/>
        </w:rPr>
        <w:t>Per-class harm-tier accuracy thresholds are clinical safety boundaries. Tier 1 (member identity confusion, care-gap status inversion, out-of-caseload data) requires 95% minimum. Tier 2 (count errors, wrong trend direction, ranking order errors) requires 85%. Tier 3 (cosmetic formatting, correct answers with excess non-PHI metadata) requires 75%. Failing any per-class minimum is a hard deployment block regardless of aggregate score.</w:t>
      </w:r>
    </w:p>
    <w:p>
      <w:pPr>
        <w:spacing w:after="120" w:line="300" w:lineRule="auto"/>
      </w:pPr>
      <w:r>
        <w:rPr>
          <w:rFonts w:ascii="Calibri" w:hAnsi="Calibri"/>
        </w:rPr>
        <w:t>Cost per question targets: below $0.001 per cache miss, below $0.0002 per cache hit. Monthly cost running more than 10% above the $36 projection at 500 conversations per day warrants an engineering review of cache efficiency and escalation rate.</w:t>
      </w:r>
    </w:p>
    <w:p>
      <w:r>
        <w:br w:type="page"/>
      </w:r>
    </w:p>
    <w:p>
      <w:pPr>
        <w:pStyle w:val="Heading1"/>
      </w:pPr>
      <w:r>
        <w:rPr>
          <w:rFonts w:ascii="Calibri" w:hAnsi="Calibri"/>
          <w:color w:val="CC0033"/>
        </w:rPr>
        <w:t>Synthesis Change-Log</w:t>
      </w:r>
    </w:p>
    <w:p>
      <w:pPr>
        <w:spacing w:after="120" w:before="0"/>
      </w:pPr>
      <w:r>
        <w:rPr>
          <w:rFonts w:ascii="Calibri" w:hAnsi="Calibri"/>
          <w:b w:val="0"/>
          <w:i/>
          <w:color w:val="555555"/>
        </w:rPr>
        <w:t>This change-log summarizes how the adversarial review pass refined the final document.</w:t>
      </w:r>
    </w:p>
    <w:p>
      <w:pPr>
        <w:spacing w:after="120" w:line="300" w:lineRule="auto"/>
      </w:pPr>
      <w:r>
        <w:rPr>
          <w:rFonts w:ascii="Calibri" w:hAnsi="Calibri"/>
        </w:rPr>
        <w:t>This synthesis pass applied corrections across all six sections based on three independent technical reviews. In the executive summary: fixed the LaTeX rendering artifact ("$&lt;$3 seconds" to "under 3 seconds"), clarified that the 40x figure refers to token rate on routing calls specifically while the per-request cost reduction is approximately 73x, distinguished the 45% formal POC gate from the 50% design expectation, added the 15-second total wall-time cap, and replaced the final table-of-contents paragraph with a single declarative sentence. In the tech flow: removed the factually incorrect sentence that save_state_node sets cache_hit=False on written rows (the flag is in-memory only and not persisted); corrected the exhausted Flash repair budget routing from "pro_escalation" to "audit" per the actual graph.py conditional edge logic; fixed "http://" to "https://" for the mTLS-protected MCP endpoint; corrected load_context_node to reflect its actual implementation (synonym normalization plus embedding only, no session history read or caseload cross-check); added a description of narrow_request_node and its direct edge to audit bypassing output_security; and documented the dual-failure path in audit_node where both BigQuery and Cloud SQL dead-letter fail simultaneously. In the er_schema: flagged question_hash and pipeline_node as implementation gaps (defined in schema, absent from build_audit_payload); removed the phantom session_history table from the prose intro with a note that it is undefined; consolidated per-field "inferred" annotations into single table-level notes; and added the dual-failure Cloud Logging fallback to the dead-letter description. In the tech stack: removed generic definitional opening sentences from each subsection; corrected the HPA description to reflect both CPU utilization (70%) and the custom Pods metric for QPS; added Prometheus and Prometheus Adapter as named infrastructure dependencies; added the Python runtime dependency subsection covering structlog, httpx, tenacity, psycopg3, regex, and pydantic; corrected context cache storage cost to $1-4/month; and clarified that canary rollback is manual for Phase 1/2. In the security compliance: resolved the question_hash contradiction by aligning with the BigQuery schema definition while noting the implementation gap; added the as_tool trust boundary description; restated "PHI-in-LLM" as an architectural invariant rather than a gate; and added the Phase 1 go/no-go gate with decision owner and contingency sizing. In the ops topology: attributed the three-consecutive-missed-cycles P2 alert to the warm-up CronJob only (not the drain CronJob); added the Failure Modes and Recovery subsection with explicit RPO/RTO posture; flagged the circuit breaker as unimplemented; added a runbook reference requirement as a Phase 1 deliverable; added the checkpoint_writes accumulation alert as a Phase 1 deliverable; and noted that the statistical validity of the N=50 golden test set requires expansion to N≥150 before Phase 1.</w:t>
      </w:r>
    </w:p>
    <w:p>
      <w:r>
        <w:br w:type="page"/>
      </w:r>
    </w:p>
    <w:p>
      <w:pPr>
        <w:jc w:val="center"/>
      </w:pPr>
      <w:r>
        <w:rPr>
          <w:rFonts w:ascii="Calibri" w:hAnsi="Calibri"/>
          <w:i/>
          <w:color w:val="555555"/>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