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41.png" ContentType="image/png"/>
  <Override PartName="/word/media/rId55.png" ContentType="image/png"/>
  <Override PartName="/word/media/rId5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acrme-architecture-decision-records-adrs"/>
    <w:p>
      <w:pPr>
        <w:pStyle w:val="Heading1"/>
      </w:pPr>
      <w:r>
        <w:t xml:space="preserve">ACRME Architecture Decision Records (ADRs)</w:t>
      </w:r>
    </w:p>
    <w:p>
      <w:pPr>
        <w:pStyle w:val="Heading2"/>
      </w:pPr>
      <w:bookmarkStart w:id="20" w:name="Xbfde2313b71d1ed81840698baffb3e956d3ca99"/>
      <w:r>
        <w:t xml:space="preserve">⚠️ ARCHIVED — SUPERSEDED by the split, v2.2 ADRs (2 Sep 2026)</w:t>
      </w:r>
      <w:bookmarkEnd w:id="20"/>
    </w:p>
    <w:p>
      <w:pPr>
        <w:pStyle w:val="BlockText"/>
      </w:pPr>
      <w:r>
        <w:t xml:space="preserve">This</w:t>
      </w:r>
      <w:r>
        <w:t xml:space="preserve"> </w:t>
      </w:r>
      <w:r>
        <w:rPr>
          <w:bCs/>
          <w:b/>
        </w:rPr>
        <w:t xml:space="preserve">consolidated</w:t>
      </w:r>
      <w:r>
        <w:t xml:space="preserve"> </w:t>
      </w:r>
      <w:r>
        <w:t xml:space="preserve">ADR document is</w:t>
      </w:r>
      <w:r>
        <w:t xml:space="preserve"> </w:t>
      </w:r>
      <w:r>
        <w:rPr>
          <w:bCs/>
          <w:b/>
        </w:rPr>
        <w:t xml:space="preserve">archived</w:t>
      </w:r>
      <w:r>
        <w:t xml:space="preserve">. The authoritative decision records are the individual, v2.2-aligned ADRs 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  <w:r>
        <w:t xml:space="preserve"> </w:t>
      </w:r>
      <w:r>
        <w:rPr>
          <w:bCs/>
          <w:b/>
        </w:rPr>
        <w:t xml:space="preserve">ADR-001</w:t>
      </w:r>
      <w:r>
        <w:t xml:space="preserve"> </w:t>
      </w:r>
      <w:r>
        <w:t xml:space="preserve">(region selection),</w:t>
      </w:r>
      <w:r>
        <w:t xml:space="preserve"> </w:t>
      </w:r>
      <w:r>
        <w:rPr>
          <w:bCs/>
          <w:b/>
        </w:rPr>
        <w:t xml:space="preserve">ADR-002</w:t>
      </w:r>
      <w:r>
        <w:t xml:space="preserve"> </w:t>
      </w:r>
      <w:r>
        <w:t xml:space="preserve">(quota &amp; capacity —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),</w:t>
      </w:r>
      <w:r>
        <w:t xml:space="preserve"> </w:t>
      </w:r>
      <w:r>
        <w:rPr>
          <w:bCs/>
          <w:b/>
        </w:rPr>
        <w:t xml:space="preserve">ADR-003</w:t>
      </w:r>
      <w:r>
        <w:t xml:space="preserve"> </w:t>
      </w:r>
      <w:r>
        <w:t xml:space="preserve">(capacity during DR),</w:t>
      </w:r>
      <w:r>
        <w:t xml:space="preserve"> </w:t>
      </w:r>
      <w:r>
        <w:rPr>
          <w:bCs/>
          <w:b/>
        </w:rPr>
        <w:t xml:space="preserve">ADR-004</w:t>
      </w:r>
      <w:r>
        <w:t xml:space="preserve"> </w:t>
      </w:r>
      <w:r>
        <w:t xml:space="preserve">(forecast &amp; increase), and</w:t>
      </w:r>
      <w:r>
        <w:t xml:space="preserve"> </w:t>
      </w:r>
      <w:r>
        <w:rPr>
          <w:bCs/>
          <w:b/>
        </w:rPr>
        <w:t xml:space="preserve">ADR-005</w:t>
      </w:r>
      <w:r>
        <w:t xml:space="preserve"> </w:t>
      </w:r>
      <w:r>
        <w:t xml:space="preserve">(distributed DR reference model). See</w:t>
      </w:r>
      <w:r>
        <w:t xml:space="preserve"> </w:t>
      </w:r>
      <w:r>
        <w:rPr>
          <w:rStyle w:val="VerbatimChar"/>
        </w:rPr>
        <w:t xml:space="preserve">docs/adr/README.md</w:t>
      </w:r>
      <w:r>
        <w:t xml:space="preserve"> </w:t>
      </w:r>
      <w:r>
        <w:t xml:space="preserve">for the index. This consolidated file has had its region references corrected (Belgium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)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carry the full single-pool (QUA-004) and max-not-sum (DR-017) reconciliation — use the split ADRs and the FDD/TDD for current decisions.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Change note (v1.2):</w:t>
      </w:r>
      <w:r>
        <w:t xml:space="preserve"> </w:t>
      </w:r>
      <w:r>
        <w:t xml:space="preserve">Made this a self-contained, reference-free document — removed external document and section citations so it can be read without any companion document — and added rendered architecture diagrams (placement pipeline, input modes, quota-group model, engine state machine, emergency-transfer tiers, capacity-increase lifecycle).</w:t>
      </w:r>
      <w:r>
        <w:t xml:space="preserve"> </w:t>
      </w:r>
      <w:r>
        <w:rPr>
          <w:bCs/>
          <w:b/>
        </w:rPr>
        <w:t xml:space="preserve">(v1.1):</w:t>
      </w:r>
      <w:r>
        <w:t xml:space="preserve"> </w:t>
      </w:r>
      <w:r>
        <w:t xml:space="preserve">Added the region-classification model, Scenario 1/2 input modes, the exception workflow, the validation-rule framework, capacity-hold concurrency and corrected scoring (ADR-001); group accounting formulas, the dual-validation detector and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preview status (ADR-002); the five-state engine state machine, the</w:t>
      </w:r>
      <w:r>
        <w:t xml:space="preserve"> </w:t>
      </w:r>
      <w:r>
        <w:rPr>
          <w:rStyle w:val="VerbatimChar"/>
        </w:rPr>
        <w:t xml:space="preserve">EngineModeState</w:t>
      </w:r>
      <w:r>
        <w:t xml:space="preserve"> </w:t>
      </w:r>
      <w:r>
        <w:t xml:space="preserve">entity and DR-activation semantics (ADR-003); and the 10-step steady-state lifecycle with the auto-decrease exclusion (ADR-004).</w:t>
      </w:r>
    </w:p>
    <w:p>
      <w:r>
        <w:pict>
          <v:rect style="width:0;height:1.5pt" o:hralign="center" o:hrstd="t" o:hr="t"/>
        </w:pict>
      </w:r>
    </w:p>
    <w:bookmarkStart w:id="21" w:name="about-this-document"/>
    <w:p>
      <w:pPr>
        <w:pStyle w:val="Heading2"/>
      </w:pPr>
      <w:r>
        <w:t xml:space="preserve">About This Document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Architecture Decision Record (ADR)</w:t>
      </w:r>
      <w:r>
        <w:t xml:space="preserve"> </w:t>
      </w:r>
      <w:r>
        <w:t xml:space="preserve">captures a single significant architectural decision, the context that forced the decision, the options considered, the choice made, and its consequences. ADRs are immutable once accepted — a superseding decision is recorded as a new ADR rather than editing the original.</w:t>
      </w:r>
    </w:p>
    <w:p>
      <w:pPr>
        <w:pStyle w:val="BodyText"/>
      </w:pPr>
      <w:r>
        <w:t xml:space="preserve">This document records the four foundational ACRME architecture decisions: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and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Disaster Recovery 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and Increase of Capacity and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Evidence tags</w:t>
      </w:r>
      <w:r>
        <w:t xml:space="preserve"> </w:t>
      </w:r>
      <w:r>
        <w:t xml:space="preserve">used throughout: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(traceable to Azure platform behaviour or documentation),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(an explicit ACRME design choice recorded in this ADR set),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(a logical consequence of a documented constraint or decision),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(architectural judgement pending proof-of-concept validation).</w:t>
      </w:r>
    </w:p>
    <w:p>
      <w:r>
        <w:pict>
          <v:rect style="width:0;height:1.5pt" o:hralign="center" o:hrstd="t" o:hr="t"/>
        </w:pict>
      </w:r>
    </w:p>
    <w:bookmarkEnd w:id="21"/>
    <w:bookmarkStart w:id="39" w:name="adr-001-region-selection"/>
    <w:p>
      <w:pPr>
        <w:pStyle w:val="Heading2"/>
      </w:pPr>
      <w:r>
        <w:t xml:space="preserve">ADR-001 — Region Selection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DR Owner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HC-1..HC-10 (hard constraints); VR-1..VR-11 (validation rules)</w:t>
      </w:r>
    </w:p>
    <w:bookmarkStart w:id="22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Customers request capacity by supplying either a specific Azure region or an Azure geography (e.g. </w:t>
      </w:r>
      <w:r>
        <w:t xml:space="preserve">“</w:t>
      </w:r>
      <w:r>
        <w:t xml:space="preserve">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Europe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Middle East</w:t>
      </w:r>
      <w:r>
        <w:t xml:space="preserve">”</w:t>
      </w:r>
      <w:r>
        <w:t xml:space="preserve">). The engine must derive three environment regions —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NonProd/CVAL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— that satisfy isolation, resilience, capacity, quota, and data-residency requirements.</w:t>
      </w:r>
    </w:p>
    <w:p>
      <w:pPr>
        <w:pStyle w:val="BodyText"/>
      </w:pPr>
      <w:r>
        <w:t xml:space="preserve">Forces at play:</w:t>
      </w:r>
    </w:p>
    <w:p>
      <w:pPr>
        <w:numPr>
          <w:ilvl w:val="0"/>
          <w:numId w:val="1001"/>
        </w:numPr>
        <w:pStyle w:val="Compact"/>
      </w:pPr>
      <w:r>
        <w:t xml:space="preserve">Azure regions differ in SKU availability, zone count, capacity headroom, and quota posture. A naive</w:t>
      </w:r>
      <w:r>
        <w:t xml:space="preserve"> </w:t>
      </w:r>
      <w:r>
        <w:t xml:space="preserve">“</w:t>
      </w:r>
      <w:r>
        <w:t xml:space="preserve">pick the nearest region</w:t>
      </w:r>
      <w:r>
        <w:t xml:space="preserve">”</w:t>
      </w:r>
      <w:r>
        <w:t xml:space="preserve"> </w:t>
      </w:r>
      <w:r>
        <w:t xml:space="preserve">approach silently produces single-zone or capacity-starved placements.</w:t>
      </w:r>
    </w:p>
    <w:p>
      <w:pPr>
        <w:numPr>
          <w:ilvl w:val="0"/>
          <w:numId w:val="1001"/>
        </w:numPr>
        <w:pStyle w:val="Compact"/>
      </w:pPr>
      <w:r>
        <w:t xml:space="preserve">Some regions are</w:t>
      </w:r>
      <w:r>
        <w:t xml:space="preserve"> </w:t>
      </w:r>
      <w:r>
        <w:rPr>
          <w:bCs/>
          <w:b/>
        </w:rPr>
        <w:t xml:space="preserve">Restricted Capacity Regions</w:t>
      </w:r>
      <w:r>
        <w:t xml:space="preserve"> </w:t>
      </w:r>
      <w:r>
        <w:t xml:space="preserve">(sovereign clouds, limited-SKU regions) that must never be selected by automated placement.</w:t>
      </w:r>
    </w:p>
    <w:p>
      <w:pPr>
        <w:numPr>
          <w:ilvl w:val="0"/>
          <w:numId w:val="1001"/>
        </w:numPr>
        <w:pStyle w:val="Compact"/>
      </w:pPr>
      <w:r>
        <w:t xml:space="preserve">Certain geographies (notably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, with only UAE North and Saudi Arabia Central) do not have enough Standard regions to satisfy a three-region model in-geo, forcing a governed cross-geo DR path.</w:t>
      </w:r>
    </w:p>
    <w:p>
      <w:pPr>
        <w:numPr>
          <w:ilvl w:val="0"/>
          <w:numId w:val="1001"/>
        </w:numPr>
        <w:pStyle w:val="Compact"/>
      </w:pPr>
      <w:r>
        <w:t xml:space="preserve">Placement decisions must be</w:t>
      </w:r>
      <w:r>
        <w:t xml:space="preserve"> </w:t>
      </w:r>
      <w:r>
        <w:rPr>
          <w:bCs/>
          <w:b/>
        </w:rPr>
        <w:t xml:space="preserve">deterministic, auditable, and replayable</w:t>
      </w:r>
      <w:r>
        <w:t xml:space="preserve"> </w:t>
      </w:r>
      <w:r>
        <w:t xml:space="preserve">— the same inputs must always produce the same output, and every decision must be reconstructable for compliance.</w:t>
      </w:r>
    </w:p>
    <w:bookmarkEnd w:id="22"/>
    <w:bookmarkStart w:id="36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staged, constraint-then-score placement pipeline</w:t>
      </w:r>
      <w:r>
        <w:t xml:space="preserve"> </w:t>
      </w:r>
      <w:r>
        <w:t xml:space="preserve">driven by environment-type-specific scoring formulas: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1 — Eligibility pre-filtering.</w:t>
      </w:r>
      <w:r>
        <w:t xml:space="preserve"> </w:t>
      </w:r>
      <w:r>
        <w:t xml:space="preserve">Reduce all Azure regions to Standard Capacity Regions within the customer’s geography.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HC-9 STANDARD_REGION_ONLY</w:t>
      </w:r>
      <w:r>
        <w:t xml:space="preserve"> </w:t>
      </w:r>
      <w:r>
        <w:t xml:space="preserve">excludes Restricted regions before scoring.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HC-8 GEOGRAPHY_CONTAINMENT</w:t>
      </w:r>
      <w:r>
        <w:t xml:space="preserve"> </w:t>
      </w:r>
      <w:r>
        <w:t xml:space="preserve">confines the Prod anchor to the customer’s chosen geography.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2 — Hard-constraint gate.</w:t>
      </w:r>
      <w:r>
        <w:t xml:space="preserve"> </w:t>
      </w:r>
      <w:r>
        <w:t xml:space="preserve">Each surviving region must pass</w:t>
      </w:r>
      <w:r>
        <w:t xml:space="preserve"> </w:t>
      </w:r>
      <w:r>
        <w:rPr>
          <w:bCs/>
          <w:b/>
        </w:rPr>
        <w:t xml:space="preserve">HC-1..HC-7 and HC-10</w:t>
      </w:r>
      <w:r>
        <w:t xml:space="preserve"> </w:t>
      </w:r>
      <w:r>
        <w:t xml:space="preserve">(region separation, capacity floor, quota floor, DR separation class, zone availability, DR coverage floor, DR floor integrity, cross-geo extension approval). Any failure excludes the region from scoring entirely — hard constraints are binary gates, never scored penalties.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3 — Environment-type-specific scoring.</w:t>
      </w:r>
      <w:r>
        <w:t xml:space="preserve"> </w:t>
      </w:r>
      <w:r>
        <w:t xml:space="preserve">Rank survivors using three formulas sharing default weights (α=0.30, β=0.20, γ=0.25, δ=0.15, ε=0.10) but with env-type-specific semantics for α (capacity signal) and δ (DR readiness):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rPr>
          <w:rStyle w:val="VerbatimChar"/>
        </w:rPr>
        <w:t xml:space="preserve">Prod_region = argmax(PS_Prod(r))</w:t>
      </w:r>
      <w:r>
        <w:t xml:space="preserve"> </w:t>
      </w:r>
      <w:r>
        <w:t xml:space="preserve">over eligible Standard regions in-geo.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NonProd/CVAL:</w:t>
      </w:r>
      <w:r>
        <w:t xml:space="preserve"> </w:t>
      </w:r>
      <w:r>
        <w:rPr>
          <w:rStyle w:val="VerbatimChar"/>
        </w:rPr>
        <w:t xml:space="preserve">argmax(PS_NonProd(r))</w:t>
      </w:r>
      <w:r>
        <w:t xml:space="preserve"> </w:t>
      </w:r>
      <w:r>
        <w:t xml:space="preserve">over survivors, excluding the Prod region.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DR:</w:t>
      </w:r>
      <w:r>
        <w:t xml:space="preserve"> </w:t>
      </w:r>
      <w:r>
        <w:rPr>
          <w:rStyle w:val="VerbatimChar"/>
        </w:rPr>
        <w:t xml:space="preserve">argmax(PS_DR(r))</w:t>
      </w:r>
      <w:r>
        <w:t xml:space="preserve"> </w:t>
      </w:r>
      <w:r>
        <w:t xml:space="preserve">over survivors, excluding the Prod region (but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NonProd).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Selection order is sequential — Prod → NonProd → DR</w:t>
      </w:r>
      <w:r>
        <w:t xml:space="preserve"> </w:t>
      </w:r>
      <w:r>
        <w:t xml:space="preserve">— not joint optimization. With 3–4 regions the greedy sequential result equals the joint-optimal result in nearly all practical cases, while remaining transparent and auditable.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Middle East special handling.</w:t>
      </w:r>
      <w:r>
        <w:t xml:space="preserve"> </w:t>
      </w:r>
      <w:r>
        <w:t xml:space="preserve">Prod and NonProd are chosen in-geo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Central}; DR is assigned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via the only approved Cross-Geo Extension paths (Saudi Arabia → Switzerland North, UAE North → Switzerland North). Switzerland North must itself pass HC-1..HC-10; if it fails, the placement is rejected with an ops alert — the engine never silently substitutes another region.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Determinism &amp; audit.</w:t>
      </w:r>
      <w:r>
        <w:t xml:space="preserve"> </w:t>
      </w:r>
      <w:r>
        <w:t xml:space="preserve">All candidate sets, sub-scores, the winning score, and the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version are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replay (VR-8, VR-9). Even the 3-region edge case (single eligible candidate) runs the full scoring path so the score is logged as a capacity-health signal.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Operating mode.</w:t>
      </w:r>
      <w:r>
        <w:t xml:space="preserve"> </w:t>
      </w:r>
      <w:r>
        <w:t xml:space="preserve">In Phase 1 the engine runs region selection in</w:t>
      </w:r>
      <w:r>
        <w:t xml:space="preserve"> </w:t>
      </w:r>
      <w:r>
        <w:rPr>
          <w:bCs/>
          <w:b/>
        </w:rPr>
        <w:t xml:space="preserve">recommendation/shadow mode</w:t>
      </w:r>
      <w:r>
        <w:t xml:space="preserve"> </w:t>
      </w:r>
      <w:r>
        <w:t xml:space="preserve">— it produces and logs the ranked recommendation but does not autonomously place. Autonomous placement is gated on POC validation of the scoring formulas.</w:t>
      </w:r>
    </w:p>
    <w:p>
      <w:pPr>
        <w:pStyle w:val="CaptionedFigure"/>
      </w:pPr>
      <w:r>
        <w:drawing>
          <wp:inline>
            <wp:extent cx="5334000" cy="5442857"/>
            <wp:effectExtent b="0" l="0" r="0" t="0"/>
            <wp:docPr descr="Figure 1. ACRME staged placement pipeline — Stage 1 eligibility pre-filter, Stage 2 hard-constraint gate, Stage 3 environment-type-specific scoring, then sequential Prod → NonProd → DR selection." title="" id="24" name="Picture"/>
            <a:graphic>
              <a:graphicData uri="http://schemas.openxmlformats.org/drawingml/2006/picture">
                <pic:pic>
                  <pic:nvPicPr>
                    <pic:cNvPr descr="adr/diagrams/adr001_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ACRME staged placement pipeline — Stage 1 eligibility pre-filter, Stage 2 hard-constraint gate, Stage 3 environment-type-specific scoring, then sequential Prod → NonProd → DR selection.</w:t>
      </w:r>
    </w:p>
    <w:bookmarkStart w:id="26" w:name="region-classification-model-normative"/>
    <w:p>
      <w:pPr>
        <w:pStyle w:val="Heading4"/>
      </w:pPr>
      <w:r>
        <w:t xml:space="preserve">Region Classification Model (normative)</w:t>
      </w:r>
    </w:p>
    <w:p>
      <w:pPr>
        <w:pStyle w:val="FirstParagraph"/>
      </w:pPr>
      <w:r>
        <w:t xml:space="preserve">Every Azure region carries exactly one classification tier,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config-as-code (versioned, auditable, replayable) — classification is a</w:t>
      </w:r>
      <w:r>
        <w:t xml:space="preserve"> </w:t>
      </w:r>
      <w:r>
        <w:rPr>
          <w:bCs/>
          <w:b/>
        </w:rPr>
        <w:t xml:space="preserve">governance decision, not a live capability query</w:t>
      </w:r>
      <w:r>
        <w:t xml:space="preserve">.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dynamic selection, scoring, and all env assignments (Prod/CVAL/DR) — the only regions that enter the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NA: West US 3, Central US, Canada Central · EU: Sweden Central, Switzerland North · ME: Saudi Arabia, UAE North · APAC: Japan East, Southeast Asia, Australia 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Capacity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Exception-only (Scenario 2 + Prod + approval); never scored, ranked, or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2, North Europe, West Europe, East Asia, Australia Southeast (all: Azure physical capacity constraint)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Cross-Geo Extension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DR-only, for geographies that cannot meet the 3-region minimum in-geo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→ Switzerland North; UAE North → Switzerland North (Middle East only)</w:t>
            </w:r>
          </w:p>
        </w:tc>
      </w:tr>
    </w:tbl>
    <w:p>
      <w:pPr>
        <w:pStyle w:val="BodyText"/>
      </w:pPr>
      <w:r>
        <w:t xml:space="preserve">Restricted regions are excluded by a</w:t>
      </w:r>
      <w:r>
        <w:t xml:space="preserve"> </w:t>
      </w:r>
      <w:r>
        <w:rPr>
          <w:bCs/>
          <w:b/>
        </w:rPr>
        <w:t xml:space="preserve">pre-filter ahead of all hard constraints</w:t>
      </w:r>
      <w:r>
        <w:t xml:space="preserve"> </w:t>
      </w:r>
      <w:r>
        <w:t xml:space="preserve">(HC-9), never as a scoring penalty.</w:t>
      </w:r>
    </w:p>
    <w:bookmarkEnd w:id="26"/>
    <w:bookmarkStart w:id="30" w:name="prod-region-input-modes"/>
    <w:p>
      <w:pPr>
        <w:pStyle w:val="Heading4"/>
      </w:pPr>
      <w:r>
        <w:t xml:space="preserve">Prod Region Input Modes</w:t>
      </w:r>
    </w:p>
    <w:p>
      <w:pPr>
        <w:pStyle w:val="FirstParagraph"/>
      </w:pPr>
      <w:r>
        <w:t xml:space="preserve">The Prod region is the anchor; CVAL and DR are selected sequentially from it. The customer supplies the anchor one of two ways, and both converge on a single validated Prod anchor: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 1 — geography supplied.</w:t>
      </w:r>
      <w:r>
        <w:t xml:space="preserve"> </w:t>
      </w:r>
      <w:r>
        <w:t xml:space="preserve">The engine derives Prod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Standard Capacity Regions</w:t>
      </w:r>
      <w:r>
        <w:t xml:space="preserve"> </w:t>
      </w:r>
      <w:r>
        <w:rPr>
          <w:bCs/>
          <w:b/>
        </w:rPr>
        <w:t xml:space="preserve">in that geography only</w:t>
      </w:r>
      <w:r>
        <w:t xml:space="preserve">. Ties break deterministically by the Standard-region list order for the geography; the first-listed region is the deterministic cold-start default when no snapshot exists. Geography exhaustion → reject (never silently cross-geo or use a Restricted region).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 2 — specific region supplied.</w:t>
      </w:r>
      <w:r>
        <w:t xml:space="preserve"> </w:t>
      </w:r>
      <w:r>
        <w:t xml:space="preserve">If Standard, validate against HC-1..HC-10 and adopt as the anchor (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used only for post-selection validation). If Restricted, route to the Exception Deployment Workflow.</w:t>
      </w:r>
    </w:p>
    <w:p>
      <w:pPr>
        <w:pStyle w:val="CaptionedFigure"/>
      </w:pPr>
      <w:r>
        <w:drawing>
          <wp:inline>
            <wp:extent cx="5334000" cy="7136946"/>
            <wp:effectExtent b="0" l="0" r="0" t="0"/>
            <wp:docPr descr="Figure 2. Prod region input modes — geography-supplied (Scenario 1) versus specific-region (Scenario 2), including the restricted-region Exception Deployment Workflow." title="" id="28" name="Picture"/>
            <a:graphic>
              <a:graphicData uri="http://schemas.openxmlformats.org/drawingml/2006/picture">
                <pic:pic>
                  <pic:nvPicPr>
                    <pic:cNvPr descr="adr/diagrams/adr001_input_mod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3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Prod region input modes — geography-supplied (Scenario 1) versus specific-region (Scenario 2), including the restricted-region Exception Deployment Workflow.</w:t>
      </w:r>
    </w:p>
    <w:bookmarkEnd w:id="30"/>
    <w:bookmarkStart w:id="31" w:name="X844b545e4620926cc70c9c09d323b98bfdbf572"/>
    <w:p>
      <w:pPr>
        <w:pStyle w:val="Heading4"/>
      </w:pPr>
      <w:r>
        <w:t xml:space="preserve">Exception Deployment Workflow (Scenario 2 — Restricted region)</w:t>
      </w:r>
    </w:p>
    <w:p>
      <w:pPr>
        <w:pStyle w:val="FirstParagraph"/>
      </w:pPr>
      <w:r>
        <w:t xml:space="preserve">A Restricted region is used only if</w:t>
      </w:r>
      <w:r>
        <w:t xml:space="preserve"> </w:t>
      </w:r>
      <w:r>
        <w:rPr>
          <w:bCs/>
          <w:b/>
        </w:rPr>
        <w:t xml:space="preserve">all four</w:t>
      </w:r>
      <w:r>
        <w:t xml:space="preserve"> </w:t>
      </w:r>
      <w:r>
        <w:t xml:space="preserve">conditions hold; failure rejects at the first failing gate: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named the region; engine never recommended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</w:t>
            </w:r>
            <w:r>
              <w:t xml:space="preserve"> </w:t>
            </w:r>
            <w:r>
              <w:rPr>
                <w:bCs/>
                <w:b/>
              </w:rPr>
              <w:t xml:space="preserve">never</w:t>
            </w:r>
            <w:r>
              <w:t xml:space="preserve"> </w:t>
            </w:r>
            <w:r>
              <w:t xml:space="preserve">use a Restricted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named, revocable approval record exists for the customer–region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can never be engine-derived</w:t>
            </w:r>
          </w:p>
        </w:tc>
      </w:tr>
    </w:tbl>
    <w:p>
      <w:pPr>
        <w:pStyle w:val="BodyText"/>
      </w:pPr>
      <w:r>
        <w:t xml:space="preserve">On success the region becomes the</w:t>
      </w:r>
      <w:r>
        <w:t xml:space="preserve"> </w:t>
      </w:r>
      <w:r>
        <w:rPr>
          <w:bCs/>
          <w:b/>
        </w:rPr>
        <w:t xml:space="preserve">Exception Prod Anchor</w:t>
      </w:r>
      <w:r>
        <w:t xml:space="preserve">, the placement is marked an</w:t>
      </w:r>
      <w:r>
        <w:t xml:space="preserve"> </w:t>
      </w:r>
      <w:r>
        <w:rPr>
          <w:bCs/>
          <w:b/>
        </w:rPr>
        <w:t xml:space="preserve">Exception Deployment</w:t>
      </w:r>
      <w:r>
        <w:t xml:space="preserve">, a capacity-constraint warning is emitted to the caller, and the approval ID + restriction status are mandatory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fields (commit blocked if absent). CVAL/DR still select from Standard regions via normal scoring.</w:t>
      </w:r>
    </w:p>
    <w:bookmarkEnd w:id="31"/>
    <w:bookmarkStart w:id="32" w:name="validation-rule-framework-vr-1..vr-11"/>
    <w:p>
      <w:pPr>
        <w:pStyle w:val="Heading4"/>
      </w:pPr>
      <w:r>
        <w:t xml:space="preserve">Validation Rule Framework (VR-1..VR-11)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exists in classification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placement uses Standard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before scoring if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Restricted: EC-1..EC-4 all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at first failing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1 derived Prod in-geo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Geography-scoped exhaustion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 passes HC-1..HC-10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Exclude; exhaustion error if all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= Switzerland North via approved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with ops alert if Switzerland North fails HC-1..HC-10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approval ID persisted before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Capacity-constraint warning emitted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age within policy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targeted ARM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hold acquired before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hold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absent from all recommendation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Post-scoring filter (defence-in-depth)</w:t>
            </w:r>
          </w:p>
        </w:tc>
      </w:tr>
    </w:tbl>
    <w:bookmarkEnd w:id="32"/>
    <w:bookmarkStart w:id="33" w:name="capacity-holds-concurrency"/>
    <w:p>
      <w:pPr>
        <w:pStyle w:val="Heading4"/>
      </w:pPr>
      <w:r>
        <w:t xml:space="preserve">Capacity Holds &amp; Concurrency</w:t>
      </w:r>
    </w:p>
    <w:p>
      <w:pPr>
        <w:pStyle w:val="FirstParagraph"/>
      </w:pPr>
      <w:r>
        <w:t xml:space="preserve">Before returning a committed assignment the engine creates a</w:t>
      </w:r>
      <w:r>
        <w:t xml:space="preserve"> </w:t>
      </w:r>
      <w:r>
        <w:rPr>
          <w:bCs/>
          <w:b/>
        </w:rPr>
        <w:t xml:space="preserve">capacity hold</w:t>
      </w:r>
      <w:r>
        <w:t xml:space="preserve"> </w:t>
      </w:r>
      <w:r>
        <w:t xml:space="preserve">keyed by region, SKU, zone, environment, and policy version, using</w:t>
      </w:r>
      <w:r>
        <w:t xml:space="preserve"> </w:t>
      </w:r>
      <w:r>
        <w:rPr>
          <w:bCs/>
          <w:b/>
        </w:rPr>
        <w:t xml:space="preserve">optimistic concurrency</w:t>
      </w:r>
      <w:r>
        <w:t xml:space="preserve">; the hold expires if Azure provisioning does not begin. This closes the concurrent-placement race.</w:t>
      </w:r>
      <w:r>
        <w:t xml:space="preserve"> </w:t>
      </w:r>
      <w:r>
        <w:rPr>
          <w:rStyle w:val="VerbatimChar"/>
        </w:rPr>
        <w:t xml:space="preserve">[Documented]</w:t>
      </w:r>
    </w:p>
    <w:bookmarkEnd w:id="33"/>
    <w:bookmarkStart w:id="34" w:name="corrected-scoring-model-pilot"/>
    <w:p>
      <w:pPr>
        <w:pStyle w:val="Heading4"/>
      </w:pPr>
      <w:r>
        <w:t xml:space="preserve">Corrected Scoring Model (pilot)</w:t>
      </w:r>
    </w:p>
    <w:p>
      <w:pPr>
        <w:numPr>
          <w:ilvl w:val="0"/>
          <w:numId w:val="1006"/>
        </w:numPr>
        <w:pStyle w:val="Compact"/>
      </w:pPr>
      <w:r>
        <w:t xml:space="preserve">Default weights retained for pilot comparison:</w:t>
      </w:r>
      <w:r>
        <w:t xml:space="preserve"> </w:t>
      </w:r>
      <w:r>
        <w:rPr>
          <w:rStyle w:val="VerbatimChar"/>
        </w:rPr>
        <w:t xml:space="preserve">α=0.30, β=0.20, γ=0.25, δ=0.15, ε=0.10</w:t>
      </w:r>
      <w:r>
        <w:t xml:space="preserve">; every component is clamped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To avoid double-counting the same signal under α and δ, the CVAL/NonProd formula is proposed as</w:t>
      </w:r>
      <w:r>
        <w:t xml:space="preserve"> </w:t>
      </w:r>
      <w:r>
        <w:rPr>
          <w:rStyle w:val="VerbatimChar"/>
        </w:rPr>
        <w:t xml:space="preserve">PS_NonProd = 0.35·Capacity + 0.25·Quota + 0.25·Distribution + 0.05·DR_Overflow_Integrity + 0.10·Zones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Distribution uses</w:t>
      </w:r>
      <w:r>
        <w:t xml:space="preserve"> </w:t>
      </w:r>
      <w:r>
        <w:rPr>
          <w:bCs/>
          <w:b/>
        </w:rPr>
        <w:t xml:space="preserve">demand units, not customer 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Distribution = 1 − Region_Assigned_Demand / Total_Assigned_Demand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Revised weights are proposed, not empirically validated — advisory until pilot measurement.</w:t>
      </w:r>
    </w:p>
    <w:bookmarkEnd w:id="34"/>
    <w:bookmarkStart w:id="35" w:name="governance-compliance-controls"/>
    <w:p>
      <w:pPr>
        <w:pStyle w:val="Heading4"/>
      </w:pPr>
      <w:r>
        <w:t xml:space="preserve">Governance &amp; Compliance Controls</w:t>
      </w:r>
    </w:p>
    <w:p>
      <w:pPr>
        <w:numPr>
          <w:ilvl w:val="0"/>
          <w:numId w:val="1007"/>
        </w:numPr>
        <w:pStyle w:val="Compact"/>
      </w:pPr>
      <w:r>
        <w:t xml:space="preserve">The classification list lives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; any change requires a policy-version increment, a Decision Log entry, and</w:t>
      </w:r>
      <w:r>
        <w:t xml:space="preserve"> </w:t>
      </w:r>
      <w:r>
        <w:rPr>
          <w:bCs/>
          <w:b/>
        </w:rPr>
        <w:t xml:space="preserve">replay of the prior 30 days of placements</w:t>
      </w:r>
      <w:r>
        <w:t xml:space="preserve"> </w:t>
      </w:r>
      <w:r>
        <w:t xml:space="preserve">against the new classification before activation.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7"/>
        </w:numPr>
        <w:pStyle w:val="Compact"/>
      </w:pPr>
      <w:r>
        <w:t xml:space="preserve">Exception approval records are revocable engine artefacts; a revoked approval blocks future exception deployments for the customer–region pair with no code change.</w:t>
      </w:r>
    </w:p>
    <w:p>
      <w:pPr>
        <w:numPr>
          <w:ilvl w:val="0"/>
          <w:numId w:val="1007"/>
        </w:numPr>
        <w:pStyle w:val="Compact"/>
      </w:pPr>
      <w:r>
        <w:t xml:space="preserve">Every classification change is audited with approver identity, timestamp, previous/new classification, and affected geography.</w:t>
      </w:r>
    </w:p>
    <w:p>
      <w:pPr>
        <w:numPr>
          <w:ilvl w:val="0"/>
          <w:numId w:val="1007"/>
        </w:numPr>
        <w:pStyle w:val="Compact"/>
      </w:pPr>
      <w:r>
        <w:t xml:space="preserve">Switzerland North’s regional capacity-planning targets must include potential Middle East DR demand on top of in-geo Europe demand.</w:t>
      </w:r>
    </w:p>
    <w:bookmarkEnd w:id="35"/>
    <w:bookmarkEnd w:id="36"/>
    <w:bookmarkStart w:id="37" w:name="consequences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Deterministic, replayable placement with a complete audit trail satisfies compliance and post-incident review.</w:t>
      </w:r>
      <w:r>
        <w:t xml:space="preserve"> </w:t>
      </w:r>
      <w:r>
        <w:t xml:space="preserve">- Hard constraints guarantee no placement ever violates isolation, zone, quota, or residency rules regardless of score.</w:t>
      </w:r>
      <w:r>
        <w:t xml:space="preserve"> </w:t>
      </w:r>
      <w:r>
        <w:t xml:space="preserve">- Restricted regions are structurally impossible to select automatically; exceptions flow through a governed Scenario 2 workflow with a persisted, revocable approval ID.</w:t>
      </w:r>
      <w:r>
        <w:t xml:space="preserve"> </w:t>
      </w:r>
      <w:r>
        <w:t xml:space="preserve">- Env-type-specific formulas let Prod optimise for capacity/isolation while DR optimises for overflow readiness.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Three formulas plus 16 per-CRG-type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fields increase implementation and snapshot-maintenance cost.</w:t>
      </w:r>
      <w:r>
        <w:t xml:space="preserve"> </w:t>
      </w:r>
      <w:r>
        <w:t xml:space="preserve">- Sequential selection is greedy; if the region count ever exceeds 6, joint optimization should be revisited.</w:t>
      </w:r>
      <w:r>
        <w:t xml:space="preserve"> </w:t>
      </w:r>
      <w:r>
        <w:t xml:space="preserve">- Cross-geo extension paths are a manual governance artefact — adding a path requires a PlacementPolicy update, governance approval, and a Decision Log entry.</w:t>
      </w:r>
      <w:r>
        <w:t xml:space="preserve"> </w:t>
      </w:r>
      <w:r>
        <w:t xml:space="preserve">- Worked scoring examples remain a known gap until per-CRG-type inputs are finalised.</w:t>
      </w:r>
    </w:p>
    <w:p>
      <w:pPr>
        <w:pStyle w:val="BodyText"/>
      </w:pPr>
      <w:r>
        <w:rPr>
          <w:bCs/>
          <w:b/>
        </w:rPr>
        <w:t xml:space="preserve">Neutral:</w:t>
      </w:r>
      <w:r>
        <w:t xml:space="preserve"> </w:t>
      </w:r>
      <w:r>
        <w:t xml:space="preserve">- CRG_Score (Regional Capacity Weight) is demoted from a primary scoring input to a monitoring-only signal.</w:t>
      </w:r>
    </w:p>
    <w:bookmarkEnd w:id="37"/>
    <w:bookmarkStart w:id="38" w:name="alternatives-considered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optimization</w:t>
            </w:r>
            <w:r>
              <w:t xml:space="preserve"> </w:t>
            </w:r>
            <w:r>
              <w:t xml:space="preserve">(select all three regions simultaneously)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combinatorial complexity; opaque and harder to audit; identical result to sequential for 3–4 regions.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generic PS(r, env_type)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and δ have fundamentally different meanings per env type; a single formula needs so many branches it becomes three formulas anyway.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distance as a scored soft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already choose geographically independent region sets at design time; HC-4 as a hard constraint is sufficient and simpler.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fallback region for failed Middle East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governance and residency guarantees; the engine must fail loudly and require an approved extension path.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0" w:name="adr-002-quota-and-capacity-management"/>
    <w:p>
      <w:pPr>
        <w:pStyle w:val="Heading2"/>
      </w:pPr>
      <w:r>
        <w:t xml:space="preserve">ADR-002 — Quota and Capacity Management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HC-2, HC-3, HC-7 (hard constraints)</w:t>
      </w:r>
    </w:p>
    <w:bookmarkStart w:id="40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Each customer needs three CRGs per region (Prod, NonProd, DR). Azure tracks compute quota per subscription per region per SKU family; quota exhaustion silently blocks CR creation and VM deployment. The engine must:</w:t>
      </w:r>
    </w:p>
    <w:p>
      <w:pPr>
        <w:numPr>
          <w:ilvl w:val="0"/>
          <w:numId w:val="1008"/>
        </w:numPr>
        <w:pStyle w:val="Compact"/>
      </w:pPr>
      <w:r>
        <w:t xml:space="preserve">Prevent a NonProd surge from consuming quota that Prod CR creation needs (isolation).</w:t>
      </w:r>
    </w:p>
    <w:p>
      <w:pPr>
        <w:numPr>
          <w:ilvl w:val="0"/>
          <w:numId w:val="1008"/>
        </w:numPr>
        <w:pStyle w:val="Compact"/>
      </w:pPr>
      <w:r>
        <w:t xml:space="preserve">Make emergency capacity transfer (see ADR-003)</w:t>
      </w:r>
      <w:r>
        <w:t xml:space="preserve"> </w:t>
      </w:r>
      <w:r>
        <w:rPr>
          <w:bCs/>
          <w:b/>
        </w:rPr>
        <w:t xml:space="preserve">quota-neutral</w:t>
      </w:r>
      <w:r>
        <w:t xml:space="preserve"> </w:t>
      </w:r>
      <w:r>
        <w:t xml:space="preserve">where possible — i.e. reshuffle capacity without waiting hours for an Azure quota-increase approval during a crisis.</w:t>
      </w:r>
    </w:p>
    <w:p>
      <w:pPr>
        <w:numPr>
          <w:ilvl w:val="0"/>
          <w:numId w:val="1008"/>
        </w:numPr>
        <w:pStyle w:val="Compact"/>
      </w:pPr>
      <w:r>
        <w:t xml:space="preserve">Provide clean per-environment cost attribution for chargeback.</w:t>
      </w:r>
    </w:p>
    <w:p>
      <w:pPr>
        <w:numPr>
          <w:ilvl w:val="0"/>
          <w:numId w:val="1008"/>
        </w:numPr>
        <w:pStyle w:val="Compact"/>
      </w:pPr>
      <w:r>
        <w:t xml:space="preserve">Enforce a protected DR reservation that NonProd growth can never erode.</w:t>
      </w:r>
    </w:p>
    <w:p>
      <w:pPr>
        <w:pStyle w:val="FirstParagraph"/>
      </w:pPr>
      <w:r>
        <w:t xml:space="preserve">Azure</w:t>
      </w:r>
      <w:r>
        <w:t xml:space="preserve"> </w:t>
      </w:r>
      <w:r>
        <w:rPr>
          <w:bCs/>
          <w:b/>
        </w:rPr>
        <w:t xml:space="preserve">Quota Groups</w:t>
      </w:r>
      <w:r>
        <w:t xml:space="preserve"> </w:t>
      </w:r>
      <w:r>
        <w:t xml:space="preserve">(Preview) allow multiple subscriptions/CRGs to share a group-level quota pool, but Azure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natively support intra-group sub-reservations — so any sub-partition of a group pool must be enforced by the engine.</w:t>
      </w:r>
    </w:p>
    <w:bookmarkEnd w:id="40"/>
    <w:bookmarkStart w:id="47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Two-Quota-Group-per-region model with an engine-enforced DR floor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Two groups per region:</w:t>
      </w:r>
      <w:r>
        <w:t xml:space="preserve"> </w:t>
      </w:r>
      <w:r>
        <w:t xml:space="preserve">one</w:t>
      </w:r>
      <w:r>
        <w:t xml:space="preserve"> </w:t>
      </w:r>
      <w:r>
        <w:rPr>
          <w:bCs/>
          <w:b/>
        </w:rPr>
        <w:t xml:space="preserve">Prod-only</w:t>
      </w:r>
      <w:r>
        <w:t xml:space="preserve"> </w:t>
      </w:r>
      <w:r>
        <w:t xml:space="preserve">group and one</w:t>
      </w:r>
      <w:r>
        <w:t xml:space="preserve"> </w:t>
      </w:r>
      <w:r>
        <w:rPr>
          <w:bCs/>
          <w:b/>
        </w:rPr>
        <w:t xml:space="preserve">shared NonProd+DR</w:t>
      </w:r>
      <w:r>
        <w:t xml:space="preserve"> </w:t>
      </w:r>
      <w:r>
        <w:t xml:space="preserve">group.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Prod_Group_Limit(R)        = base_subscription_quota_limit × (1 + emergency_transfer_headroom_vcpu / base_limit)</w:t>
      </w:r>
      <w:r>
        <w:br/>
      </w:r>
      <w:r>
        <w:rPr>
          <w:rStyle w:val="VerbatimChar"/>
        </w:rPr>
        <w:t xml:space="preserve">NonProd_DR_Group_Limit(R)  = base_subscription_quota_limit × (1 + emergency_transfer_headroom_vcpu / base_limit)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Engine-enforced DR floor</w:t>
      </w:r>
      <w:r>
        <w:t xml:space="preserve"> </w:t>
      </w:r>
      <w:r>
        <w:t xml:space="preserve">inside the NonProd+DR group (Azure has no native sub-reservation):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DR_Floor_vCPU(R)               = potential_dr_demand(R) × vCPU_per_instance × dr_ratio_max</w:t>
      </w:r>
      <w:r>
        <w:br/>
      </w:r>
      <w:r>
        <w:rPr>
          <w:rStyle w:val="VerbatimChar"/>
        </w:rPr>
        <w:t xml:space="preserve">Effective_NonProd_Ceiling(R)   = NonProd_DR_Group_Limit(R) − DR_Floor_vCPU(R)</w:t>
      </w:r>
    </w:p>
    <w:p>
      <w:pPr>
        <w:numPr>
          <w:ilvl w:val="0"/>
          <w:numId w:val="1000"/>
        </w:numPr>
      </w:pPr>
      <w:r>
        <w:t xml:space="preserve">The floor is always sized at</w:t>
      </w:r>
      <w:r>
        <w:t xml:space="preserve"> </w:t>
      </w:r>
      <w:r>
        <w:rPr>
          <w:rStyle w:val="VerbatimChar"/>
          <w:bCs/>
          <w:b/>
        </w:rPr>
        <w:t xml:space="preserve">dr_ratio_max</w:t>
      </w:r>
      <w:r>
        <w:rPr>
          <w:bCs/>
          <w:b/>
        </w:rPr>
        <w:t xml:space="preserve"> </w:t>
      </w:r>
      <w:r>
        <w:rPr>
          <w:bCs/>
          <w:b/>
        </w:rPr>
        <w:t xml:space="preserve">(0.40)</w:t>
      </w:r>
      <w:r>
        <w:t xml:space="preserve"> </w:t>
      </w:r>
      <w:r>
        <w:t xml:space="preserve">— the upper bound of the DR ratio range — so it never needs to grow if the operating ratio is later raised (0.30 → 0.40). Only actual Prod demand growth expands the floor.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Hard-constraint enforcement at placement: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HC-2 CAPACITY_FLOOR</w:t>
      </w:r>
      <w:r>
        <w:t xml:space="preserve"> </w:t>
      </w:r>
      <w:r>
        <w:t xml:space="preserve">— CR headroom ≥</w:t>
      </w:r>
      <w:r>
        <w:t xml:space="preserve"> </w:t>
      </w:r>
      <w:r>
        <w:rPr>
          <w:rStyle w:val="VerbatimChar"/>
        </w:rPr>
        <w:t xml:space="preserve">2 × requested_vm_count × SKU_vCPU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HC-3 QUOTA_FLOOR</w:t>
      </w:r>
      <w:r>
        <w:t xml:space="preserve"> </w:t>
      </w:r>
      <w:r>
        <w:t xml:space="preserve">— env-type-aware group headroom check (Prod group / effective NonProd ceiling / DR headroom). Reads from the</w:t>
      </w:r>
      <w:r>
        <w:t xml:space="preserve"> </w:t>
      </w:r>
      <w:r>
        <w:rPr>
          <w:rStyle w:val="VerbatimChar"/>
        </w:rPr>
        <w:t xml:space="preserve">QuotaGroup</w:t>
      </w:r>
      <w:r>
        <w:t xml:space="preserve"> </w:t>
      </w:r>
      <w:r>
        <w:t xml:space="preserve">entity, not legacy per-subscription</w:t>
      </w:r>
      <w:r>
        <w:t xml:space="preserve"> </w:t>
      </w:r>
      <w:r>
        <w:rPr>
          <w:rStyle w:val="VerbatimChar"/>
        </w:rPr>
        <w:t xml:space="preserve">QuotaRecord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HC-7 DR_FLOOR_INTEGRITY</w:t>
      </w:r>
      <w:r>
        <w:t xml:space="preserve"> </w:t>
      </w:r>
      <w:r>
        <w:t xml:space="preserve">— rejects NonProd placement that would push</w:t>
      </w:r>
      <w:r>
        <w:t xml:space="preserve"> </w:t>
      </w:r>
      <w:r>
        <w:rPr>
          <w:rStyle w:val="VerbatimChar"/>
        </w:rPr>
        <w:t xml:space="preserve">nonprod_quota_used</w:t>
      </w:r>
      <w:r>
        <w:t xml:space="preserve"> </w:t>
      </w:r>
      <w:r>
        <w:t xml:space="preserve">above the effective ceiling, evaluated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HC-3.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Legacy per-subscription quota tracking is retained for monitoring/audit only</w:t>
      </w:r>
      <w:r>
        <w:t xml:space="preserve"> </w:t>
      </w:r>
      <w:r>
        <w:t xml:space="preserve">and superseded for all placement and scoring checks by group-level fields.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Continuous protection:</w:t>
      </w:r>
      <w:r>
        <w:t xml:space="preserve"> </w:t>
      </w:r>
      <w:r>
        <w:t xml:space="preserve">the reconciliation loop watches for floor violations and emits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; NonProd CRG scale operations that approach the ceiling are operator-gated.</w:t>
      </w:r>
    </w:p>
    <w:p>
      <w:pPr>
        <w:pStyle w:val="FirstParagraph"/>
      </w:pPr>
      <w:r>
        <w:rPr>
          <w:bCs/>
          <w:b/>
        </w:rPr>
        <w:t xml:space="preserve">Worked topology example:</w:t>
      </w:r>
      <w:r>
        <w:t xml:space="preserve"> </w:t>
      </w:r>
      <w:r>
        <w:t xml:space="preserve">Prod group 128 vCPU; NonProd+DR group 80 vCPU; DR floor 32 vCPU → effective NonProd ceiling 48 vCPU.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Figure 3. Two-quota-group-per-region model — an isolated Prod-only group and a shared NonProd+DR group with the engine-enforced DR floor and the effective NonProd ceiling." title="" id="42" name="Picture"/>
            <a:graphic>
              <a:graphicData uri="http://schemas.openxmlformats.org/drawingml/2006/picture">
                <pic:pic>
                  <pic:nvPicPr>
                    <pic:cNvPr descr="adr/diagrams/adr002_quota_group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</w:t>
      </w:r>
      <w:r>
        <w:t xml:space="preserve"> </w:t>
      </w:r>
      <w:r>
        <w:t xml:space="preserve">Two-quota-group-per-region model — an isolated Prod-only group and a shared NonProd+DR group with the engine-enforced DR floor and the effective NonProd ceiling.</w:t>
      </w:r>
    </w:p>
    <w:bookmarkStart w:id="44" w:name="group-accounting-formulas-normative"/>
    <w:p>
      <w:pPr>
        <w:pStyle w:val="Heading4"/>
      </w:pPr>
      <w:r>
        <w:t xml:space="preserve">Group Accounting Formulas (normative)</w:t>
      </w:r>
    </w:p>
    <w:p>
      <w:pPr>
        <w:pStyle w:val="FirstParagraph"/>
      </w:pPr>
      <w:r>
        <w:t xml:space="preserve">All four are</w:t>
      </w:r>
      <w:r>
        <w:t xml:space="preserve"> </w:t>
      </w:r>
      <w:r>
        <w:rPr>
          <w:bCs/>
          <w:b/>
        </w:rPr>
        <w:t xml:space="preserve">engine accounting controls</w:t>
      </w:r>
      <w:r>
        <w:t xml:space="preserve"> </w:t>
      </w:r>
      <w:r>
        <w:t xml:space="preserve">— they do not create a native Azure sub-reservation: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SourceCode"/>
      </w:pPr>
      <w:r>
        <w:rPr>
          <w:rStyle w:val="VerbatimChar"/>
        </w:rPr>
        <w:t xml:space="preserve">DR_Floor_vCPU             = Potential_DR_Demand × vCPU_Per_Instance × DR_Ratio_Max</w:t>
      </w:r>
      <w:r>
        <w:br/>
      </w:r>
      <w:r>
        <w:rPr>
          <w:rStyle w:val="VerbatimChar"/>
        </w:rPr>
        <w:t xml:space="preserve">Effective_NonProd_Ceiling = NonProd_DR_Group_Limit − DR_Floor_vCPU</w:t>
      </w:r>
      <w:r>
        <w:br/>
      </w:r>
      <w:r>
        <w:rPr>
          <w:rStyle w:val="VerbatimChar"/>
        </w:rPr>
        <w:t xml:space="preserve">NonProd_Headroom          = Effective_NonProd_Ceiling − NonProd_Used_vCPU</w:t>
      </w:r>
      <w:r>
        <w:br/>
      </w:r>
      <w:r>
        <w:rPr>
          <w:rStyle w:val="VerbatimChar"/>
        </w:rPr>
        <w:t xml:space="preserve">Group_Headroom            = Group_Limit − Group_Used</w:t>
      </w:r>
    </w:p>
    <w:bookmarkEnd w:id="44"/>
    <w:bookmarkStart w:id="45" w:name="exact-enforcement-controls"/>
    <w:p>
      <w:pPr>
        <w:pStyle w:val="Heading4"/>
      </w:pPr>
      <w:r>
        <w:t xml:space="preserve">Exact Enforcement Controls</w:t>
      </w:r>
    </w:p>
    <w:p>
      <w:pPr>
        <w:numPr>
          <w:ilvl w:val="0"/>
          <w:numId w:val="1011"/>
        </w:numPr>
        <w:pStyle w:val="Compact"/>
      </w:pPr>
      <w:r>
        <w:t xml:space="preserve">Every</w:t>
      </w:r>
      <w:r>
        <w:t xml:space="preserve"> </w:t>
      </w:r>
      <w:r>
        <w:rPr>
          <w:bCs/>
          <w:b/>
        </w:rPr>
        <w:t xml:space="preserve">NonProd</w:t>
      </w:r>
      <w:r>
        <w:t xml:space="preserve"> </w:t>
      </w:r>
      <w:r>
        <w:t xml:space="preserve">increase performs a group check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subscription check.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1"/>
        </w:numPr>
        <w:pStyle w:val="Compact"/>
      </w:pPr>
      <w:r>
        <w:t xml:space="preserve">Every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increase performs a group check, subscription check, SKU check, capacity check,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active-incident check.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separate detector</w:t>
      </w:r>
      <w:r>
        <w:t xml:space="preserve"> </w:t>
      </w:r>
      <w:r>
        <w:t xml:space="preserve">recalculates the DR floor from authoritative assignment/allocation data. Any disagreement between the command-time and detector calculations</w:t>
      </w:r>
      <w:r>
        <w:t xml:space="preserve"> </w:t>
      </w:r>
      <w:r>
        <w:rPr>
          <w:bCs/>
          <w:b/>
        </w:rPr>
        <w:t xml:space="preserve">disables automatic NonProd expansion</w:t>
      </w:r>
      <w:r>
        <w:t xml:space="preserve"> </w:t>
      </w:r>
      <w:r>
        <w:t xml:space="preserve">(fail-safe) and raises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Group propagation is</w:t>
      </w:r>
      <w:r>
        <w:t xml:space="preserve"> </w:t>
      </w:r>
      <w:r>
        <w:rPr>
          <w:bCs/>
          <w:b/>
        </w:rPr>
        <w:t xml:space="preserve">polled</w:t>
      </w:r>
      <w:r>
        <w:t xml:space="preserve"> </w:t>
      </w:r>
      <w:r>
        <w:t xml:space="preserve">— no fixed propagation SLA is assumed.</w:t>
      </w:r>
    </w:p>
    <w:bookmarkEnd w:id="45"/>
    <w:bookmarkStart w:id="46" w:name="grouptype-preview-dependency"/>
    <w:p>
      <w:pPr>
        <w:pStyle w:val="Heading4"/>
      </w:pPr>
      <w:r>
        <w:rPr>
          <w:rStyle w:val="VerbatimChar"/>
        </w:rPr>
        <w:t xml:space="preserve">groupType</w:t>
      </w:r>
      <w:r>
        <w:t xml:space="preserve"> </w:t>
      </w:r>
      <w:r>
        <w:t xml:space="preserve">Preview Dependency</w:t>
      </w:r>
    </w:p>
    <w:p>
      <w:pPr>
        <w:pStyle w:val="FirstParagraph"/>
      </w:pPr>
      <w:r>
        <w:t xml:space="preserve">The Quota-Group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property (</w:t>
      </w:r>
      <w:r>
        <w:rPr>
          <w:rStyle w:val="VerbatimChar"/>
        </w:rPr>
        <w:t xml:space="preserve">AllocationGroup</w:t>
      </w:r>
      <w:r>
        <w:t xml:space="preserve"> </w:t>
      </w:r>
      <w:r>
        <w:t xml:space="preserve">= advisory vs</w:t>
      </w:r>
      <w:r>
        <w:t xml:space="preserve"> </w:t>
      </w:r>
      <w:r>
        <w:rPr>
          <w:rStyle w:val="VerbatimChar"/>
        </w:rPr>
        <w:t xml:space="preserve">EnforcedGroup</w:t>
      </w:r>
      <w:r>
        <w:t xml:space="preserve"> </w:t>
      </w:r>
      <w:r>
        <w:t xml:space="preserve">= enforced) is</w:t>
      </w:r>
      <w:r>
        <w:t xml:space="preserve"> </w:t>
      </w:r>
      <w:r>
        <w:rPr>
          <w:bCs/>
          <w:b/>
        </w:rPr>
        <w:t xml:space="preserve">preview-only</w:t>
      </w:r>
      <w:r>
        <w:t xml:space="preserve"> </w:t>
      </w:r>
      <w:r>
        <w:t xml:space="preserve">in the Azure Quota REST API and is not GA.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The engine’s accounting controls are deliberately</w:t>
      </w:r>
      <w:r>
        <w:t xml:space="preserve"> </w:t>
      </w:r>
      <w:r>
        <w:rPr>
          <w:bCs/>
          <w:b/>
        </w:rPr>
        <w:t xml:space="preserve">engine-level and do not depend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groupType</w:t>
      </w:r>
      <w:r>
        <w:rPr>
          <w:bCs/>
          <w:b/>
        </w:rPr>
        <w:t xml:space="preserve"> </w:t>
      </w:r>
      <w:r>
        <w:rPr>
          <w:bCs/>
          <w:b/>
        </w:rPr>
        <w:t xml:space="preserve">enforcement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EnforcedGroup</w:t>
      </w:r>
      <w:r>
        <w:t xml:space="preserve"> </w:t>
      </w:r>
      <w:r>
        <w:t xml:space="preserve">is ever relied upon to drop the engine’s own subscription-level check, that dependency must pass a preview-acceptance proof-of-concept and a recorded decision first. Engineering constraint: pin the exact preview API version in all quota-group calls and add version-drift detection to the platform health check.</w:t>
      </w:r>
    </w:p>
    <w:bookmarkEnd w:id="46"/>
    <w:bookmarkEnd w:id="47"/>
    <w:bookmarkStart w:id="48" w:name="consequences-1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Prod isolation is enforced at the Azure control-plane level — a NonProd surge cannot starve Prod.</w:t>
      </w:r>
      <w:r>
        <w:t xml:space="preserve"> </w:t>
      </w:r>
      <w:r>
        <w:t xml:space="preserve">- Tier 2 Emergency Capacity Transfer becomes</w:t>
      </w:r>
      <w:r>
        <w:t xml:space="preserve"> </w:t>
      </w:r>
      <w:r>
        <w:rPr>
          <w:bCs/>
          <w:b/>
        </w:rPr>
        <w:t xml:space="preserve">truly quota-neutral</w:t>
      </w:r>
      <w:r>
        <w:t xml:space="preserve"> </w:t>
      </w:r>
      <w:r>
        <w:t xml:space="preserve">(ARM operations only, no Azure approval gate) because NonProd and DR draw from the same group pool (see ADR-003).</w:t>
      </w:r>
      <w:r>
        <w:t xml:space="preserve"> </w:t>
      </w:r>
      <w:r>
        <w:t xml:space="preserve">- Clean chargeback: one Azure billing record per group per region.</w:t>
      </w:r>
      <w:r>
        <w:t xml:space="preserve"> </w:t>
      </w:r>
      <w:r>
        <w:t xml:space="preserve">- The DR floor guarantees a protected reservation NonProd can never erode.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The DR floor is a</w:t>
      </w:r>
      <w:r>
        <w:t xml:space="preserve"> </w:t>
      </w:r>
      <w:r>
        <w:rPr>
          <w:bCs/>
          <w:b/>
        </w:rPr>
        <w:t xml:space="preserve">soft ceiling the engine must maintain continuously</w:t>
      </w:r>
      <w:r>
        <w:t xml:space="preserve"> </w:t>
      </w:r>
      <w:r>
        <w:t xml:space="preserve">— Azure won’t enforce it. A bug could allow NonProd to breach the floor; mitigated by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 </w:t>
      </w:r>
      <w:r>
        <w:t xml:space="preserve">alerting and operator gates.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 Sizing the floor at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over-reserves quota slightly at lower operating ratios — a deliberate reliability-over-cost trade, reviewed quarterly.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Quota_Score</w:t>
      </w:r>
      <w:r>
        <w:t xml:space="preserve"> </w:t>
      </w:r>
      <w:r>
        <w:t xml:space="preserve">and HC-3 must be environment-type-aware (three code paths).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dependency on Azure Quota Groups GA</w:t>
      </w:r>
      <w:r>
        <w:t xml:space="preserve"> </w:t>
      </w:r>
      <w:r>
        <w:t xml:space="preserve">— validated by proof-of-concept before rollout; if</w:t>
      </w:r>
      <w:r>
        <w:t xml:space="preserve"> </w:t>
      </w:r>
      <w:r>
        <w:rPr>
          <w:rStyle w:val="VerbatimChar"/>
        </w:rPr>
        <w:t xml:space="preserve">groupQuotas</w:t>
      </w:r>
      <w:r>
        <w:t xml:space="preserve"> </w:t>
      </w:r>
      <w:r>
        <w:t xml:space="preserve">returns 404 in the target tenant/region, escalate to Azure Support.</w:t>
      </w:r>
    </w:p>
    <w:bookmarkEnd w:id="48"/>
    <w:bookmarkStart w:id="49" w:name="alternatives-considered-1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shared quota pool</w:t>
            </w:r>
            <w:r>
              <w:t xml:space="preserve"> </w:t>
            </w:r>
            <w:r>
              <w:t xml:space="preserve">(all three CRGs)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Prod isolation — a NonProd surge can consume Prod’s quota.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separate groups</w:t>
            </w:r>
            <w:r>
              <w:t xml:space="preserve"> </w:t>
            </w:r>
            <w:r>
              <w:t xml:space="preserve">(one per 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isolation but makes Tier 3 transfer non-atomic — releasing NonProd quota lands in the wrong group, forcing an Azure quota request mid-crisis (hours of RTO impact).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Per-subscription quota only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make emergency transfer quota-neutral without risky cross-subscription coordination.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floor sized at current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Undersizes the floor if the ratio is later increased, blocking DR expansion.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4" w:name="Xb03910cb3c9a0c0ecb9b813c5fa342521392efc"/>
    <w:p>
      <w:pPr>
        <w:pStyle w:val="Heading2"/>
      </w:pPr>
      <w:r>
        <w:t xml:space="preserve">ADR-003 — Capacity Management during Disaster Recovery (DR)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DR Owner, Platform Engineering, Security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HC-1, HC-4, HC-6 (hard constraints)</w:t>
      </w:r>
    </w:p>
    <w:bookmarkStart w:id="51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When a primary region fails, customers must recover in their DR region within a committed RTO. Pre-positioning a full 1:1 DR reserve is prohibitively expensive, yet under-provisioning risks a failed failover. During a crisis, waiting on Azure quota-increase approvals (hours) is unacceptable. The engine must also strictly separate</w:t>
      </w:r>
      <w:r>
        <w:t xml:space="preserve"> </w:t>
      </w:r>
      <w:r>
        <w:rPr>
          <w:bCs/>
          <w:b/>
        </w:rPr>
        <w:t xml:space="preserve">routine growth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destructive crisis operations</w:t>
      </w:r>
      <w:r>
        <w:t xml:space="preserve"> </w:t>
      </w:r>
      <w:r>
        <w:t xml:space="preserve">so that reconciliation can never accidentally trigger VM disruption.</w:t>
      </w:r>
    </w:p>
    <w:p>
      <w:pPr>
        <w:pStyle w:val="BodyText"/>
      </w:pPr>
      <w:r>
        <w:t xml:space="preserve">Two capabilities are needed:</w:t>
      </w:r>
      <w:r>
        <w:t xml:space="preserve"> </w:t>
      </w:r>
      <w:r>
        <w:t xml:space="preserve">- A way to reuse otherwise-idle NonProd capacity as DR overflow.</w:t>
      </w:r>
      <w:r>
        <w:t xml:space="preserve"> </w:t>
      </w:r>
      <w:r>
        <w:t xml:space="preserve">- A safe, tiered escalation model for expanding DR capacity during a declared event.</w:t>
      </w:r>
    </w:p>
    <w:bookmarkEnd w:id="51"/>
    <w:bookmarkStart w:id="61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NonProd/DR co-location with a coverage floor</w:t>
      </w:r>
      <w:r>
        <w:t xml:space="preserve">, a</w:t>
      </w:r>
      <w:r>
        <w:t xml:space="preserve"> </w:t>
      </w:r>
      <w:r>
        <w:rPr>
          <w:bCs/>
          <w:b/>
        </w:rPr>
        <w:t xml:space="preserve">formal two-mode engine state</w:t>
      </w:r>
      <w:r>
        <w:t xml:space="preserve">, and a</w:t>
      </w:r>
      <w:r>
        <w:t xml:space="preserve"> </w:t>
      </w:r>
      <w:r>
        <w:rPr>
          <w:bCs/>
          <w:b/>
        </w:rPr>
        <w:t xml:space="preserve">three-tier emergency transfer model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NonProd and DR may share a region (HC-1 constraint removed).</w:t>
      </w:r>
      <w:r>
        <w:t xml:space="preserve"> </w:t>
      </w:r>
      <w:r>
        <w:t xml:space="preserve">This lets the NonProd CRG’s</w:t>
      </w:r>
      <w:r>
        <w:t xml:space="preserve"> </w:t>
      </w:r>
      <w:r>
        <w:rPr>
          <w:rStyle w:val="VerbatimChar"/>
        </w:rPr>
        <w:t xml:space="preserve">effective_free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dr_overflow_reserve</w:t>
      </w:r>
      <w:r>
        <w:t xml:space="preserve">) count as DR overflow headroom.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3"/>
        </w:numPr>
      </w:pPr>
      <w:r>
        <w:rPr>
          <w:bCs/>
          <w:b/>
        </w:rPr>
        <w:t xml:space="preserve">HC-6 DR_COVERAGE_FLOOR</w:t>
      </w:r>
      <w:r>
        <w:t xml:space="preserve"> </w:t>
      </w:r>
      <w:r>
        <w:t xml:space="preserve">guarantees the combined pool can absorb demand before DR placement is accepted: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dr_crg_free_slots(R) + nonprod_crg_effective_free(R) ≥ prod_vm_count × dr_ratio_max</w:t>
      </w:r>
    </w:p>
    <w:p>
      <w:pPr>
        <w:numPr>
          <w:ilvl w:val="1"/>
          <w:numId w:val="1013"/>
        </w:numPr>
      </w:pPr>
      <w:r>
        <w:rPr>
          <w:bCs/>
          <w:b/>
        </w:rPr>
        <w:t xml:space="preserve">HC-4 DR_SEPARATION_CLASS</w:t>
      </w:r>
      <w:r>
        <w:t xml:space="preserve"> </w:t>
      </w:r>
      <w:r>
        <w:t xml:space="preserve">still guarantees Prod and DR sit in non-correlated failure domains (HIGH separation for non-paired regions).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Two separate operating systems gated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engine_mode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STEADY_STATE</w:t>
      </w:r>
      <w:r>
        <w:t xml:space="preserve"> </w:t>
      </w:r>
      <w:r>
        <w:t xml:space="preserve">— organic growth via the reconciliation loop and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(see ADR-004). Emergency Transfer is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in this mode.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DR_EVENT_ACTIVE</w:t>
      </w:r>
      <w:r>
        <w:t xml:space="preserve"> </w:t>
      </w:r>
      <w:r>
        <w:t xml:space="preserve">— crisis operations only. The auto-increase trigger is</w:t>
      </w:r>
      <w:r>
        <w:t xml:space="preserve"> </w:t>
      </w:r>
      <w:r>
        <w:rPr>
          <w:bCs/>
          <w:b/>
        </w:rPr>
        <w:t xml:space="preserve">suppressed</w:t>
      </w:r>
      <w:r>
        <w:t xml:space="preserve"> </w:t>
      </w:r>
      <w:r>
        <w:t xml:space="preserve">in this mode. Mode transitions are operator-gated with dual approval (state machine</w:t>
      </w:r>
      <w:r>
        <w:t xml:space="preserve"> </w:t>
      </w:r>
      <w:r>
        <w:rPr>
          <w:rStyle w:val="VerbatimChar"/>
        </w:rPr>
        <w:t xml:space="preserve">EngineModeState</w:t>
      </w:r>
      <w:r>
        <w:t xml:space="preserve">), never automatic.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Three-tier Emergency Capacity Transfer escalation: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1 — DirectExpansion (automated):</w:t>
      </w:r>
      <w:r>
        <w:t xml:space="preserve"> </w:t>
      </w:r>
      <w:r>
        <w:t xml:space="preserve">expand DR CR quantity using free headroom in the DR group. No approval beyond DR-event declaration.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2 — QuotaNeutralTransfer (policy-gated):</w:t>
      </w:r>
      <w:r>
        <w:t xml:space="preserve"> </w:t>
      </w:r>
      <w:r>
        <w:t xml:space="preserve">reduce a NonProd CR (releasing quota to the shared NonProd+DR group pool) and expand the DR CR from that same pool. Net group headroom change ≈ 0 —</w:t>
      </w:r>
      <w:r>
        <w:t xml:space="preserve"> </w:t>
      </w:r>
      <w:r>
        <w:rPr>
          <w:bCs/>
          <w:b/>
        </w:rPr>
        <w:t xml:space="preserve">quota-neutral, no VM execution-state change</w:t>
      </w:r>
      <w:r>
        <w:t xml:space="preserve"> </w:t>
      </w:r>
      <w:r>
        <w:t xml:space="preserve">(only NonProd SLA is removed). This is possible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because of the two-group model (see ADR-002).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3 — DestructiveTransfer (dual approval + elevated RBAC):</w:t>
      </w:r>
      <w:r>
        <w:t xml:space="preserve"> </w:t>
      </w:r>
      <w:r>
        <w:t xml:space="preserve">the only tier that modifies VM-to-CRG associations. The operator supplies an explicit</w:t>
      </w:r>
      <w:r>
        <w:t xml:space="preserve"> </w:t>
      </w:r>
      <w:r>
        <w:rPr>
          <w:rStyle w:val="VerbatimChar"/>
        </w:rPr>
        <w:t xml:space="preserve">vm_disassociation_list</w:t>
      </w:r>
      <w:r>
        <w:t xml:space="preserve"> </w:t>
      </w:r>
      <w:r>
        <w:t xml:space="preserve">(no automated VM selection in Phase 1); executed via 6-step Path B with Path A fallback per VM. VMSS entries are rejected in Phase 1.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Quota-neutral math (Tier 2):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NonProd CR reduction  → releases quota to shared NonProd+DR GROUP pool</w:t>
      </w:r>
      <w:r>
        <w:br/>
      </w:r>
      <w:r>
        <w:rPr>
          <w:rStyle w:val="VerbatimChar"/>
        </w:rPr>
        <w:t xml:space="preserve">DR CR expansion       → consumes from the SAME pool</w:t>
      </w:r>
      <w:r>
        <w:br/>
      </w:r>
      <w:r>
        <w:rPr>
          <w:rStyle w:val="VerbatimChar"/>
        </w:rPr>
        <w:t xml:space="preserve">⇒ net group headroom change ≈ 0  (ARM operations only; no Azure quota approval)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DR reserve sizing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30–40%</w:t>
      </w:r>
      <w:r>
        <w:t xml:space="preserve"> </w:t>
      </w:r>
      <w:r>
        <w:t xml:space="preserve">of Prod (</w:t>
      </w:r>
      <w:r>
        <w:rPr>
          <w:rStyle w:val="VerbatimChar"/>
        </w:rPr>
        <w:t xml:space="preserve">dr_ratio_min=0.30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dr_ratio_max=0.40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dr_ratio_target=0.35</w:t>
      </w:r>
      <w:r>
        <w:t xml:space="preserve">); the protected floor uses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(see ADR-002).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Phase-1 safety posture:</w:t>
      </w:r>
      <w:r>
        <w:t xml:space="preserve"> </w:t>
      </w:r>
      <w:r>
        <w:t xml:space="preserve">Tier 2 is approval-gated;</w:t>
      </w:r>
      <w:r>
        <w:t xml:space="preserve"> </w:t>
      </w:r>
      <w:r>
        <w:rPr>
          <w:bCs/>
          <w:b/>
        </w:rPr>
        <w:t xml:space="preserve">Tier 3 is blocked</w:t>
      </w:r>
      <w:r>
        <w:t xml:space="preserve"> </w:t>
      </w:r>
      <w:r>
        <w:t xml:space="preserve">pending the consumer-credential model and the engine-mode state machine. No invented SLA — propagation/approval times are measured and reported as unknown until observed.</w:t>
      </w:r>
    </w:p>
    <w:p>
      <w:pPr>
        <w:pStyle w:val="CaptionedFigure"/>
      </w:pPr>
      <w:r>
        <w:drawing>
          <wp:inline>
            <wp:extent cx="5334000" cy="17597437"/>
            <wp:effectExtent b="0" l="0" r="0" t="0"/>
            <wp:docPr descr="Figure 4. Three-tier Emergency Capacity Transfer escalation — Tier 1 automated, Tier 2 quota-neutral, Tier 3 destructive (blocked in Phase 1)." title="" id="53" name="Picture"/>
            <a:graphic>
              <a:graphicData uri="http://schemas.openxmlformats.org/drawingml/2006/picture">
                <pic:pic>
                  <pic:nvPicPr>
                    <pic:cNvPr descr="adr/diagrams/adr003_transfer_tier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</w:t>
      </w:r>
      <w:r>
        <w:t xml:space="preserve"> </w:t>
      </w:r>
      <w:r>
        <w:t xml:space="preserve">Three-tier Emergency Capacity Transfer escalation — Tier 1 automated, Tier 2 quota-neutral, Tier 3 destructive (blocked in Phase 1).</w:t>
      </w:r>
    </w:p>
    <w:bookmarkStart w:id="58" w:name="full-engine-state-machine-normative"/>
    <w:p>
      <w:pPr>
        <w:pStyle w:val="Heading4"/>
      </w:pPr>
      <w:r>
        <w:t xml:space="preserve">Full Engine State Machine (normative)</w:t>
      </w:r>
    </w:p>
    <w:p>
      <w:pPr>
        <w:pStyle w:val="FirstParagraph"/>
      </w:pPr>
      <w:r>
        <w:rPr>
          <w:rStyle w:val="VerbatimChar"/>
        </w:rPr>
        <w:t xml:space="preserve">engine_mode</w:t>
      </w:r>
      <w:r>
        <w:t xml:space="preserve"> </w:t>
      </w:r>
      <w:r>
        <w:t xml:space="preserve">is not a two-value flag but a</w:t>
      </w:r>
      <w:r>
        <w:t xml:space="preserve"> </w:t>
      </w:r>
      <w:r>
        <w:rPr>
          <w:bCs/>
          <w:b/>
        </w:rPr>
        <w:t xml:space="preserve">five-state machine</w:t>
      </w:r>
      <w:r>
        <w:t xml:space="preserve"> </w:t>
      </w:r>
      <w:r>
        <w:t xml:space="preserve">persisted in Cosmos DB with conditional writes, transition guards, and recovery tests — a production blocker until implemented: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growth only; Emergency Transfer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DR_DECLARATION_PENDING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DR_DECLARATION_PENDING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requested, awaiting dual approval +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DR_EVENT_ACTIVE (approved) · → STEADY_STATE (rejected/expired)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DR_EVENT_ACTIVE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operations only; auto-increase 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FAILBACK_PENDING · → 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requested, being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STEADY_STATE (completed) · → DR_EVENT_ACTIVE (validation failed) · → 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conflict / critical failure — safe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DR_EVENT_ACTIVE · → FAILBACK_PENDING (on recovery approval)</w:t>
            </w:r>
          </w:p>
        </w:tc>
      </w:tr>
    </w:tbl>
    <w:p>
      <w:pPr>
        <w:pStyle w:val="BodyText"/>
      </w:pPr>
      <w:r>
        <w:t xml:space="preserve">All transitions are</w:t>
      </w:r>
      <w:r>
        <w:t xml:space="preserve"> </w:t>
      </w:r>
      <w:r>
        <w:rPr>
          <w:bCs/>
          <w:b/>
        </w:rPr>
        <w:t xml:space="preserve">operator-gated with dual approval</w:t>
      </w:r>
      <w:r>
        <w:t xml:space="preserve"> </w:t>
      </w:r>
      <w:r>
        <w:t xml:space="preserve">— never automatic.</w:t>
      </w:r>
    </w:p>
    <w:p>
      <w:pPr>
        <w:pStyle w:val="CaptionedFigure"/>
      </w:pPr>
      <w:r>
        <w:drawing>
          <wp:inline>
            <wp:extent cx="5334000" cy="3918857"/>
            <wp:effectExtent b="0" l="0" r="0" t="0"/>
            <wp:docPr descr="Figure 5. Five-state engine mode machine — every transition is operator-gated with dual approval." title="" id="56" name="Picture"/>
            <a:graphic>
              <a:graphicData uri="http://schemas.openxmlformats.org/drawingml/2006/picture">
                <pic:pic>
                  <pic:nvPicPr>
                    <pic:cNvPr descr="adr/diagrams/adr003_state_mach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</w:t>
      </w:r>
      <w:r>
        <w:t xml:space="preserve"> </w:t>
      </w:r>
      <w:r>
        <w:t xml:space="preserve">Five-state engine mode machine — every transition is operator-gated with dual approval.</w:t>
      </w:r>
    </w:p>
    <w:bookmarkEnd w:id="58"/>
    <w:bookmarkStart w:id="59" w:name="enginemodestate-entity"/>
    <w:p>
      <w:pPr>
        <w:pStyle w:val="Heading4"/>
      </w:pPr>
      <w:r>
        <w:rPr>
          <w:rStyle w:val="VerbatimChar"/>
        </w:rPr>
        <w:t xml:space="preserve">EngineModeState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Must carry: environment/control-plane scope · current mode · state version · incident ID · requested-by · approved-by · transition timestamp · transition reason · active operation IDs · lease owner + expiry · recovery checkpoint.</w:t>
      </w:r>
      <w:r>
        <w:t xml:space="preserve"> </w:t>
      </w:r>
      <w:r>
        <w:rPr>
          <w:rStyle w:val="VerbatimChar"/>
        </w:rPr>
        <w:t xml:space="preserve">[Documented]</w:t>
      </w:r>
    </w:p>
    <w:bookmarkEnd w:id="59"/>
    <w:bookmarkStart w:id="60" w:name="dr-activation-semantics"/>
    <w:p>
      <w:pPr>
        <w:pStyle w:val="Heading4"/>
      </w:pPr>
      <w:r>
        <w:t xml:space="preserve">DR Activation Semantics</w:t>
      </w:r>
    </w:p>
    <w:p>
      <w:pPr>
        <w:pStyle w:val="FirstParagraph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rPr>
          <w:bCs/>
          <w:b/>
        </w:rPr>
        <w:t xml:space="preserve">only establishes the operating mode</w:t>
      </w:r>
      <w:r>
        <w:t xml:space="preserve"> </w:t>
      </w:r>
      <w:r>
        <w:t xml:space="preserve">in which separately-governed emergency operations may be evaluated —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authorize Tier 2 or Tier 3. Each tier is independently gated. The DR orchestrator validates group and subscription quota and CR/sharing state before starting any approved failover deployment, and records active-or-incident-hold state back to the state service.</w:t>
      </w:r>
      <w:r>
        <w:t xml:space="preserve"> </w:t>
      </w:r>
      <w:r>
        <w:rPr>
          <w:rStyle w:val="VerbatimChar"/>
        </w:rPr>
        <w:t xml:space="preserve">[Documented]</w:t>
      </w:r>
    </w:p>
    <w:bookmarkEnd w:id="60"/>
    <w:bookmarkEnd w:id="61"/>
    <w:bookmarkStart w:id="62" w:name="consequences-2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Idle NonProd capacity doubles as DR overflow, cutting the cost of pre-positioned DR reserve while HC-6 guarantees sufficiency.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gate makes it structurally impossible for routine reconciliation to trigger destructive VM operations.</w:t>
      </w:r>
      <w:r>
        <w:t xml:space="preserve"> </w:t>
      </w:r>
      <w:r>
        <w:t xml:space="preserve">- Tier 2 delivers meaningful crisis capacity</w:t>
      </w:r>
      <w:r>
        <w:t xml:space="preserve"> </w:t>
      </w:r>
      <w:r>
        <w:rPr>
          <w:bCs/>
          <w:b/>
        </w:rPr>
        <w:t xml:space="preserve">with zero VM disruption and zero Azure quota wait</w:t>
      </w:r>
      <w:r>
        <w:t xml:space="preserve"> </w:t>
      </w:r>
      <w:r>
        <w:t xml:space="preserve">— the common escalation path avoids Tier 3 entirely.</w:t>
      </w:r>
      <w:r>
        <w:t xml:space="preserve"> </w:t>
      </w:r>
      <w:r>
        <w:t xml:space="preserve">- Every operation is tagged with its operating mode for a clean audit trail.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Co-location adds risk that NonProd over-consumption erodes DR overflow; mitigated by HC-6,</w:t>
      </w:r>
      <w:r>
        <w:t xml:space="preserve"> </w:t>
      </w:r>
      <w:r>
        <w:rPr>
          <w:rStyle w:val="VerbatimChar"/>
        </w:rPr>
        <w:t xml:space="preserve">dr_overflow_reserve</w:t>
      </w:r>
      <w:r>
        <w:t xml:space="preserve">, and floor alerting.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must be a formal Cosmos DB state propagated to every reconciliation cycle, with operator-gated, dual-approval transitions.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3 is blocked</w:t>
      </w:r>
      <w:r>
        <w:t xml:space="preserve"> </w:t>
      </w:r>
      <w:r>
        <w:t xml:space="preserve">until the consumer-credential model (Managed Identity vs cross-tenant service-principal) and the engine-mode state machine are resolved — a known Phase-1 limitation.</w:t>
      </w:r>
      <w:r>
        <w:t xml:space="preserve"> </w:t>
      </w:r>
      <w:r>
        <w:t xml:space="preserve">- Tier 3 requires a rare, audited break-glass role (</w:t>
      </w:r>
      <w:r>
        <w:rPr>
          <w:rStyle w:val="VerbatimChar"/>
        </w:rPr>
        <w:t xml:space="preserve">ACRME.SuperAdmin</w:t>
      </w:r>
      <w:r>
        <w:t xml:space="preserve">) for single-approver override.</w:t>
      </w:r>
      <w:r>
        <w:t xml:space="preserve"> </w:t>
      </w:r>
      <w:r>
        <w:t xml:space="preserve">- Requires per-CRG-type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fields to evaluate HC-6.</w:t>
      </w:r>
    </w:p>
    <w:bookmarkEnd w:id="62"/>
    <w:bookmarkStart w:id="63" w:name="alternatives-considered-2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DR_region ≠ NonProd_region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using NonProd as DR overflow — the whole point of co-location.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separation with no compensating 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 NonProd over-consumption leaving no DR headroom.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capacity engine with mode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flags create complex conditionals and risk triggering VM disassociation during routine reconciliation.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transfer as an extension of auto-increase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Conflates policy-driven growth with operator-gated crisis response; could run destructive ops without a DR declaration.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tiers only (automated + destructive)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the quota-neutral Tier 2 — the critical low-risk intermediate that avoids Tier 3 in most crises.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 tiers (separate VMSS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VMSS disassociation deferred as a Phase-1 limitation rather than a distinct tier.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5" w:name="X26bb2dd1e6ed50cfaa8bfd7d8d9521ec21700a3"/>
    <w:p>
      <w:pPr>
        <w:pStyle w:val="Heading2"/>
      </w:pPr>
      <w:r>
        <w:t xml:space="preserve">ADR-004 — Forecast and Increase of Capacity and Quota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FinOps, Capacity Planning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HC-3 (applied at increase-execution time)</w:t>
      </w:r>
    </w:p>
    <w:bookmarkStart w:id="65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Reserved capacity must grow ahead of demand — but Azure quota increases take time to approve, and over-reservation wastes money. The engine needs to forecast demand, recommend right-sized capacity, and drive quota/CR increases with enough lead time,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ever autonomously performing material or destructive changes in Phase 1. This growth path must be architecturally distinct from crisis operations (see ADR-003).</w:t>
      </w:r>
    </w:p>
    <w:bookmarkEnd w:id="65"/>
    <w:bookmarkStart w:id="72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forecast-driven, approval-gated capacity growth</w:t>
      </w:r>
      <w:r>
        <w:t xml:space="preserve"> </w:t>
      </w:r>
      <w:r>
        <w:t xml:space="preserve">operating exclusively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Forecasting</w:t>
      </w:r>
      <w:r>
        <w:t xml:space="preserve"> </w:t>
      </w:r>
      <w:r>
        <w:t xml:space="preserve">analyses historical CR allocation and projects demand over a configurable window (default 30/60/90 days), exposing raw time series and derived recommendations via API.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Capacity sizing formula: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Forecast_Quantity = ceil(Forecast_Peak × (1 + Growth_Buffer) + DR_Buffer)</w:t>
      </w:r>
    </w:p>
    <w:p>
      <w:pPr>
        <w:numPr>
          <w:ilvl w:val="0"/>
          <w:numId w:val="1000"/>
        </w:numPr>
      </w:pPr>
      <w:r>
        <w:t xml:space="preserve">Increase when forecast demand exceeds current reserved quantity within the window; right-size down when demand is consistently below current, honouring a configurable buffer.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a quota limit (default</w:t>
      </w:r>
      <w:r>
        <w:t xml:space="preserve"> </w:t>
      </w:r>
      <w:r>
        <w:rPr>
          <w:bCs/>
          <w:b/>
        </w:rPr>
        <w:t xml:space="preserve">80%</w:t>
      </w:r>
      <w:r>
        <w:t xml:space="preserve">),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14-day lead time</w:t>
      </w:r>
      <w:r>
        <w:t xml:space="preserve"> </w:t>
      </w:r>
      <w:r>
        <w:t xml:space="preserve">— enough for quota-increase processing.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Auto-increase is approval-gated in Phase 1.</w:t>
      </w:r>
      <w:r>
        <w:t xml:space="preserve"> </w:t>
      </w:r>
      <w:r>
        <w:t xml:space="preserve">The trigger uses utilisation thresholds with</w:t>
      </w:r>
      <w:r>
        <w:t xml:space="preserve"> </w:t>
      </w:r>
      <w:r>
        <w:rPr>
          <w:bCs/>
          <w:b/>
        </w:rPr>
        <w:t xml:space="preserve">debounce/cooldown</w:t>
      </w:r>
      <w:r>
        <w:t xml:space="preserve"> </w:t>
      </w:r>
      <w:r>
        <w:t xml:space="preserve">to avoid thrashing;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entity carries the full lifecycle (create → approve → execute → retry → cancel), and Phase 1 requires</w:t>
      </w:r>
      <w:r>
        <w:t xml:space="preserve"> </w:t>
      </w:r>
      <w:r>
        <w:rPr>
          <w:bCs/>
          <w:b/>
        </w:rPr>
        <w:t xml:space="preserve">operator approval</w:t>
      </w:r>
      <w:r>
        <w:t xml:space="preserve"> </w:t>
      </w:r>
      <w:r>
        <w:t xml:space="preserve">before execution.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Quota increases</w:t>
      </w:r>
      <w:r>
        <w:t xml:space="preserve"> </w:t>
      </w:r>
      <w:r>
        <w:t xml:space="preserve">are initiated via the Azure Support REST API (</w:t>
      </w:r>
      <w:r>
        <w:rPr>
          <w:rStyle w:val="VerbatimChar"/>
        </w:rPr>
        <w:t xml:space="preserve">Microsoft.Capacity/.../serviceLimits</w:t>
      </w:r>
      <w:r>
        <w:t xml:space="preserve">) — at group level where Quota Groups apply (see ADR-002) — subject to the same operator-approval gate.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Mode isolation.</w:t>
      </w:r>
      <w:r>
        <w:t xml:space="preserve"> </w:t>
      </w:r>
      <w:r>
        <w:t xml:space="preserve">Auto-increase 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suppressed during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DR_EVENT_ACTIVE</w:t>
      </w:r>
      <w:r>
        <w:t xml:space="preserve">, keeping organic growth strictly separate from crisis transfer (see ADR-003).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Non-destructive guarantee.</w:t>
      </w:r>
      <w:r>
        <w:t xml:space="preserve"> </w:t>
      </w:r>
      <w:r>
        <w:t xml:space="preserve">Increases only ever raise CR quantity or request more quota; guarded reduction (right-sizing) never drops a CR below its allocated count (the platform floor) and is itself approval-gated.</w:t>
      </w:r>
    </w:p>
    <w:bookmarkStart w:id="69" w:name="Xf1426b79a09c525d9ee2bfb22640520d79a16bd"/>
    <w:p>
      <w:pPr>
        <w:pStyle w:val="Heading4"/>
      </w:pPr>
      <w:r>
        <w:t xml:space="preserve">Steady-State Capacity Lifecycle (normative 10-step policy)</w:t>
      </w:r>
    </w:p>
    <w:p>
      <w:pPr>
        <w:pStyle w:val="FirstParagraph"/>
      </w:pPr>
      <w:r>
        <w:t xml:space="preserve">The steady-state increase runs strictly separate from DR crisis operations and follows a fixed sequence, with</w:t>
      </w:r>
      <w:r>
        <w:t xml:space="preserve"> </w:t>
      </w:r>
      <w:r>
        <w:rPr>
          <w:bCs/>
          <w:b/>
        </w:rPr>
        <w:t xml:space="preserve">no assumed quota-propagation SLA</w:t>
      </w:r>
      <w:r>
        <w:t xml:space="preserve">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7"/>
        </w:numPr>
        <w:pStyle w:val="Compact"/>
      </w:pPr>
      <w:r>
        <w:t xml:space="preserve">Detect threshold crossing.</w:t>
      </w:r>
    </w:p>
    <w:p>
      <w:pPr>
        <w:numPr>
          <w:ilvl w:val="0"/>
          <w:numId w:val="1017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formula above).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Require operator approval (Phase 1).</w:t>
      </w:r>
    </w:p>
    <w:p>
      <w:pPr>
        <w:numPr>
          <w:ilvl w:val="0"/>
          <w:numId w:val="1017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17"/>
        </w:numPr>
        <w:pStyle w:val="Compact"/>
      </w:pPr>
      <w:r>
        <w:t xml:space="preserve">Wait for confirmed quota state</w:t>
      </w:r>
      <w:r>
        <w:t xml:space="preserve"> </w:t>
      </w:r>
      <w:r>
        <w:rPr>
          <w:bCs/>
          <w:b/>
        </w:rPr>
        <w:t xml:space="preserve">without assuming a propagation SLA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Update CR quantity.</w:t>
      </w:r>
    </w:p>
    <w:p>
      <w:pPr>
        <w:numPr>
          <w:ilvl w:val="0"/>
          <w:numId w:val="1017"/>
        </w:numPr>
        <w:pStyle w:val="Compact"/>
      </w:pPr>
      <w:r>
        <w:t xml:space="preserve">Confirm the actual quantity.</w:t>
      </w:r>
    </w:p>
    <w:p>
      <w:pPr>
        <w:numPr>
          <w:ilvl w:val="0"/>
          <w:numId w:val="1017"/>
        </w:numPr>
        <w:pStyle w:val="Compact"/>
      </w:pPr>
      <w:r>
        <w:t xml:space="preserve">Refresh the snapshot and close the request.</w:t>
      </w:r>
    </w:p>
    <w:p>
      <w:pPr>
        <w:pStyle w:val="CaptionedFigure"/>
      </w:pPr>
      <w:r>
        <w:drawing>
          <wp:inline>
            <wp:extent cx="5334000" cy="24080304"/>
            <wp:effectExtent b="0" l="0" r="0" t="0"/>
            <wp:docPr descr="Figure 6. Ten-step steady-state capacity-increase lifecycle, running only in STEADY_STATE behind an operator-approval gate." title="" id="67" name="Picture"/>
            <a:graphic>
              <a:graphicData uri="http://schemas.openxmlformats.org/drawingml/2006/picture">
                <pic:pic>
                  <pic:nvPicPr>
                    <pic:cNvPr descr="adr/diagrams/adr004_lifecyc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6.</w:t>
      </w:r>
      <w:r>
        <w:t xml:space="preserve"> </w:t>
      </w:r>
      <w:r>
        <w:t xml:space="preserve">Ten-step steady-state capacity-increase lifecycle, running only in STEADY_STATE behind an operator-approval gate.</w:t>
      </w:r>
    </w:p>
    <w:bookmarkEnd w:id="69"/>
    <w:bookmarkStart w:id="70" w:name="auto-decrease-exclusion"/>
    <w:p>
      <w:pPr>
        <w:pStyle w:val="Heading4"/>
      </w:pPr>
      <w:r>
        <w:t xml:space="preserve">Auto-Decrease Exclusion</w:t>
      </w:r>
    </w:p>
    <w:p>
      <w:pPr>
        <w:pStyle w:val="FirstParagraph"/>
      </w:pPr>
      <w:r>
        <w:t xml:space="preserve">Auto-decrease is</w:t>
      </w:r>
      <w:r>
        <w:t xml:space="preserve"> </w:t>
      </w:r>
      <w:r>
        <w:rPr>
          <w:bCs/>
          <w:b/>
        </w:rPr>
        <w:t xml:space="preserve">excluded from Phase 1</w:t>
      </w:r>
      <w:r>
        <w:t xml:space="preserve">: it can remove future capacity and interact with running VMs. Right-sizing down remains operator-driven and guarded by the platform floor (never below allocated count).</w:t>
      </w:r>
      <w:r>
        <w:t xml:space="preserve"> </w:t>
      </w:r>
      <w:r>
        <w:rPr>
          <w:rStyle w:val="VerbatimChar"/>
        </w:rPr>
        <w:t xml:space="preserve">[Documented]</w:t>
      </w:r>
    </w:p>
    <w:bookmarkEnd w:id="70"/>
    <w:bookmarkStart w:id="71" w:name="forecast-advisory-posture"/>
    <w:p>
      <w:pPr>
        <w:pStyle w:val="Heading4"/>
      </w:pPr>
      <w:r>
        <w:t xml:space="preserve">Forecast Advisory Posture</w:t>
      </w:r>
    </w:p>
    <w:p>
      <w:pPr>
        <w:pStyle w:val="FirstParagraph"/>
      </w:pPr>
      <w:r>
        <w:t xml:space="preserve">Forecast recommendations stay</w:t>
      </w:r>
      <w:r>
        <w:t xml:space="preserve"> </w:t>
      </w:r>
      <w:r>
        <w:rPr>
          <w:bCs/>
          <w:b/>
        </w:rPr>
        <w:t xml:space="preserve">advisory until model accuracy and false-positive rates are measured</w:t>
      </w:r>
      <w:r>
        <w:t xml:space="preserve">; the horizon is 30/60/90 days and</w:t>
      </w:r>
      <w:r>
        <w:t xml:space="preserve"> </w:t>
      </w:r>
      <w:r>
        <w:rPr>
          <w:rStyle w:val="VerbatimChar"/>
        </w:rPr>
        <w:t xml:space="preserve">Growth_Buffer</w:t>
      </w:r>
      <w:r>
        <w:t xml:space="preserve">/</w:t>
      </w:r>
      <w:r>
        <w:rPr>
          <w:rStyle w:val="VerbatimChar"/>
        </w:rPr>
        <w:t xml:space="preserve">DR_Buffer</w:t>
      </w:r>
      <w:r>
        <w:t xml:space="preserve"> </w:t>
      </w:r>
      <w:r>
        <w:t xml:space="preserve">are policy percentages, not fixed constants.</w:t>
      </w:r>
      <w:r>
        <w:t xml:space="preserve"> </w:t>
      </w:r>
      <w:r>
        <w:rPr>
          <w:rStyle w:val="VerbatimChar"/>
        </w:rPr>
        <w:t xml:space="preserve">[Documented]</w:t>
      </w:r>
    </w:p>
    <w:bookmarkEnd w:id="71"/>
    <w:bookmarkEnd w:id="72"/>
    <w:bookmarkStart w:id="73" w:name="consequences-3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Capacity grows ahead of demand with sufficient lead time for quota approvals — reducing capacity-exhaustion incidents.</w:t>
      </w:r>
      <w:r>
        <w:t xml:space="preserve"> </w:t>
      </w:r>
      <w:r>
        <w:t xml:space="preserve">- The debounce/cooldown and approval gate prevent runaway or thrashing increases.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gives a fully auditable, retryable, cancellable growth workflow.</w:t>
      </w:r>
      <w:r>
        <w:t xml:space="preserve"> </w:t>
      </w:r>
      <w:r>
        <w:t xml:space="preserve">- Right-sizing recovers cost from over-reserved CRs without risking allocated VMs.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Approval-gated in Phase 1 means growth is not instantaneous — acceptable because Emergency Transfer (see ADR-003) covers crisis speed.</w:t>
      </w:r>
      <w:r>
        <w:t xml:space="preserve"> </w:t>
      </w:r>
      <w:r>
        <w:t xml:space="preserve">- Forecast accuracy depends on history; workload-tagged per-workload forecasts are only partially covered.</w:t>
      </w:r>
      <w:r>
        <w:t xml:space="preserve"> </w:t>
      </w:r>
      <w:r>
        <w:t xml:space="preserve">- Threshold, buffer, and cooldown values are empirical and require tuning during the pilot; SLA/propagation times are measured, not invented.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lifecycle (entity, approval, retry, cancellation) is still a backlog item requiring an end-to-end approved-increase test.</w:t>
      </w:r>
    </w:p>
    <w:bookmarkEnd w:id="73"/>
    <w:bookmarkStart w:id="74" w:name="alternatives-considered-3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 autonomous auto-increase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human control over material cost/quota changes; unacceptable in Phase 1.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Auto-increase escalating into emergency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Conflates growth with crisis response; could run emergency ops without a DR declaration.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Fixed-timer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adaptive than recovering the budget incrementally using observed success rates.</w:t>
            </w:r>
            <w:r>
              <w:t xml:space="preserve"> </w:t>
            </w:r>
            <w:r>
              <w:rPr>
                <w:rStyle w:val="VerbatimChar"/>
              </w:rPr>
              <w:t xml:space="preserve">[Assumed]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lead-time alerting (react on exhaustion)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approvals take too long; reacting at exhaustion guarantees deployment failures.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without a DR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Under-reserves relative to DR obligations; the formula includes an explicit</w:t>
            </w:r>
            <w:r>
              <w:t xml:space="preserve"> </w:t>
            </w:r>
            <w:r>
              <w:rPr>
                <w:rStyle w:val="VerbatimChar"/>
              </w:rPr>
              <w:t xml:space="preserve">DR_Buffer</w:t>
            </w:r>
            <w:r>
              <w:t xml:space="preserve"> </w:t>
            </w:r>
            <w:r>
              <w:t xml:space="preserve">term.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appendix-a-adr-summary"/>
    <w:p>
      <w:pPr>
        <w:pStyle w:val="Heading2"/>
      </w:pPr>
      <w:r>
        <w:t xml:space="preserve">Appendix A —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HC-4, HC-5, HC-8, 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scoring examples pending final per-CRG-type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Quota &amp;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HC-2, 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Quota Groups GA validated by proof-of-concept before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Capacity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HC-4, 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Consumer-credential model and engine-mode state machine; quota-release latency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 Forecast &amp;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(at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Workload-tagged forecasts;</w:t>
            </w:r>
            <w:r>
              <w:t xml:space="preserve"> </w:t>
            </w:r>
            <w:r>
              <w:rPr>
                <w:rStyle w:val="VerbatimChar"/>
              </w:rPr>
              <w:t xml:space="preserve">CapacityIncreaseRequest</w:t>
            </w:r>
            <w:r>
              <w:t xml:space="preserve"> </w:t>
            </w:r>
            <w:r>
              <w:t xml:space="preserve">lifecycle end-to-end test</w:t>
            </w:r>
          </w:p>
        </w:tc>
      </w:tr>
    </w:tbl>
    <w:bookmarkEnd w:id="76"/>
    <w:bookmarkStart w:id="77" w:name="appendix-b-status-legend"/>
    <w:p>
      <w:pPr>
        <w:pStyle w:val="Heading2"/>
      </w:pPr>
      <w:r>
        <w:t xml:space="preserve">Appendix B —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 (referenced explicitly)</w:t>
            </w:r>
          </w:p>
        </w:tc>
      </w:tr>
    </w:tbl>
    <w:bookmarkEnd w:id="77"/>
    <w:bookmarkStart w:id="78" w:name="appendix-c-evidence-tag-taxonomy"/>
    <w:p>
      <w:pPr>
        <w:pStyle w:val="Heading2"/>
      </w:pPr>
      <w:r>
        <w:t xml:space="preserve">Appendix C —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proof-of-concept validation of Azure Quota Groups GA and quota-release latency, and on resolution of the consumer-credential model and engine-mode state-machine items.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2026-09-02T16:11:38Z</dcterms:created>
  <dcterms:modified xsi:type="dcterms:W3CDTF">2026-09-02T16:11:38Z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