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63d0ebac742682b5c4cdb44adec96a0683a341"/>
    <w:p>
      <w:pPr>
        <w:pStyle w:val="Heading1"/>
      </w:pPr>
      <w:r>
        <w:t xml:space="preserve">ACRME — Design Change Analysis &amp; FDD / TDD Plan</w:t>
      </w:r>
    </w:p>
    <w:p>
      <w:pPr>
        <w:pStyle w:val="FirstParagraph"/>
      </w:pPr>
      <w:r>
        <w:rPr>
          <w:bCs/>
          <w:b/>
        </w:rPr>
        <w:t xml:space="preserve">Against:</w:t>
      </w:r>
      <w:r>
        <w:t xml:space="preserve"> </w:t>
      </w:r>
      <w:r>
        <w:t xml:space="preserve">Azure Capacity &amp; Quota Management — Consolidated Requirements Baseline</w:t>
      </w:r>
      <w:r>
        <w:t xml:space="preserve"> </w:t>
      </w:r>
      <w:r>
        <w:rPr>
          <w:bCs/>
          <w:b/>
        </w:rPr>
        <w:t xml:space="preserve">v2.2</w:t>
      </w:r>
      <w:r>
        <w:t xml:space="preserve"> </w:t>
      </w:r>
      <w:r>
        <w:t xml:space="preserve">(27 Aug 2026)</w:t>
      </w:r>
      <w:r>
        <w:t xml:space="preserve"> </w:t>
      </w:r>
      <w:r>
        <w:rPr>
          <w:bCs/>
          <w:b/>
        </w:rPr>
        <w:t xml:space="preserve">Prepared:</w:t>
      </w:r>
      <w:r>
        <w:t xml:space="preserve"> </w:t>
      </w:r>
      <w:r>
        <w:t xml:space="preserve">2 Sep 2026 ·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Vishnuvardhan Reddy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(A) enumerate the changes required to the</w:t>
      </w:r>
      <w:r>
        <w:t xml:space="preserve"> </w:t>
      </w:r>
      <w:r>
        <w:rPr>
          <w:iCs/>
          <w:i/>
        </w:rPr>
        <w:t xml:space="preserve">original design</w:t>
      </w:r>
      <w:r>
        <w:t xml:space="preserve"> </w:t>
      </w:r>
      <w:r>
        <w:t xml:space="preserve">so it reconciles with Requirements Baseline v2.2, and (B) plan the creation of a new</w:t>
      </w:r>
      <w:r>
        <w:t xml:space="preserve"> </w:t>
      </w:r>
      <w:r>
        <w:rPr>
          <w:bCs/>
          <w:b/>
        </w:rPr>
        <w:t xml:space="preserve">Functional Design Document (FDD)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Technical Design Document (TDD)</w:t>
      </w:r>
      <w:r>
        <w:t xml:space="preserve"> </w:t>
      </w:r>
      <w:r>
        <w:t xml:space="preserve">with the diagrams each needs.</w:t>
      </w:r>
    </w:p>
    <w:p>
      <w:r>
        <w:pict>
          <v:rect style="width:0;height:1.5pt" o:hralign="center" o:hrstd="t" o:hr="t"/>
        </w:pict>
      </w:r>
    </w:p>
    <w:bookmarkStart w:id="20" w:name="method-baseline-reconciliation"/>
    <w:p>
      <w:pPr>
        <w:pStyle w:val="Heading2"/>
      </w:pPr>
      <w:r>
        <w:t xml:space="preserve">0. Method &amp; Baseline Reconciliation</w:t>
      </w:r>
    </w:p>
    <w:p>
      <w:pPr>
        <w:pStyle w:val="FirstParagraph"/>
      </w:pPr>
      <w:r>
        <w:t xml:space="preserve">The uploaded</w:t>
      </w:r>
      <w:r>
        <w:t xml:space="preserve"> </w:t>
      </w:r>
      <w:r>
        <w:rPr>
          <w:iCs/>
          <w:i/>
        </w:rPr>
        <w:t xml:space="preserve">Consolidated Requirements Baseline</w:t>
      </w:r>
      <w:r>
        <w:t xml:space="preserve"> </w:t>
      </w:r>
      <w:r>
        <w:t xml:space="preserve">was compared line-by-line against the in-repo baseline (</w:t>
      </w:r>
      <w:r>
        <w:rPr>
          <w:rStyle w:val="VerbatimChar"/>
        </w:rPr>
        <w:t xml:space="preserve">acrme_requirements_baseline_v2_4.md</w:t>
      </w:r>
      <w:r>
        <w:t xml:space="preserve">) and the existing design corpus.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 set is identical to repo v2.2</w:t>
      </w:r>
      <w:r>
        <w:t xml:space="preserve"> </w:t>
      </w:r>
      <w:r>
        <w:t xml:space="preserve">— same requirement IDs (REG/ENV/CAP/QUA/RDY/PLC/DR/FIN/INT/DAT/OBS/GOV/NFR/OPS/POC/DEC/DEP and the C-/DEV- registers); no new or removed IDs. The uploaded file is therefore confirmed as the authoritative v2.2 requirements baseline, not a new revision.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gap is design-side, not requirements-side.</w:t>
      </w:r>
      <w:r>
        <w:t xml:space="preserve"> </w:t>
      </w:r>
      <w:r>
        <w:t xml:space="preserve">The requirements pivot (lean DR bootstrap, distributed/reciprocal DR, max-not-sum sizing, exact-region-first onboarding, seed record, source→destination DR index, standby activation, CVAL earmarking, quota-as-governor) is fully expressed in the baseline but only</w:t>
      </w:r>
      <w:r>
        <w:t xml:space="preserve"> </w:t>
      </w:r>
      <w:r>
        <w:rPr>
          <w:bCs/>
          <w:b/>
        </w:rPr>
        <w:t xml:space="preserve">partially</w:t>
      </w:r>
      <w:r>
        <w:t xml:space="preserve"> </w:t>
      </w:r>
      <w:r>
        <w:t xml:space="preserve">reflected in the design artifacts.</w:t>
      </w:r>
    </w:p>
    <w:p>
      <w:pPr>
        <w:pStyle w:val="FirstParagraph"/>
      </w:pPr>
      <w:r>
        <w:rPr>
          <w:bCs/>
          <w:b/>
        </w:rPr>
        <w:t xml:space="preserve">Current design corpus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original design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to v2.2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acrme_production_readiness_review_and_architecture.md</w:t>
            </w:r>
            <w:r>
              <w:t xml:space="preserve"> </w:t>
            </w:r>
            <w:r>
              <w:t xml:space="preserve">(PRR + Final Architecture, Section 1–Section 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Mostly aligned</w:t>
            </w:r>
            <w:r>
              <w:t xml:space="preserve"> </w:t>
            </w:r>
            <w:r>
              <w:t xml:space="preserve">— already adopted lean/distributed/max-not-sum/exact-region/seed/reciprocal/index/earmark/zero-capacity model.</w:t>
            </w:r>
            <w:r>
              <w:t xml:space="preserve"> </w:t>
            </w:r>
            <w:r>
              <w:rPr>
                <w:bCs/>
                <w:b/>
              </w:rPr>
              <w:t xml:space="preserve">One material stale item:</w:t>
            </w:r>
            <w:r>
              <w:t xml:space="preserve"> </w:t>
            </w:r>
            <w:r>
              <w:t xml:space="preserve">cross-geo DR still names</w:t>
            </w:r>
            <w:r>
              <w:t xml:space="preserve"> </w:t>
            </w:r>
            <w:r>
              <w:rPr>
                <w:bCs/>
                <w:b/>
              </w:rPr>
              <w:t xml:space="preserve">Belgium Central</w:t>
            </w:r>
            <w:r>
              <w:t xml:space="preserve"> </w:t>
            </w:r>
            <w:r>
              <w:t xml:space="preserve">(must be</w:t>
            </w:r>
            <w:r>
              <w:t xml:space="preserve"> </w:t>
            </w:r>
            <w:r>
              <w:rPr>
                <w:bCs/>
                <w:b/>
              </w:rPr>
              <w:t xml:space="preserve">Switzerland North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acrme_architecture_decision_records.md</w:t>
            </w:r>
            <w:r>
              <w:t xml:space="preserve"> </w:t>
            </w:r>
            <w:r>
              <w:t xml:space="preserve">(ADR-001…004)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still fixed-ratio DR, equal input modes, no seed record, no DR index, no standby-activation workflow, no reciprocal topology, no max-not-sum. Needs ADR-001…004 updates +</w:t>
            </w:r>
            <w:r>
              <w:t xml:space="preserve"> </w:t>
            </w:r>
            <w:r>
              <w:rPr>
                <w:bCs/>
                <w:b/>
              </w:rPr>
              <w:t xml:space="preserve">new ADR-005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acrme_executive_design_document.md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region table names Belgium Central; DR/placement narrative predates max-not-sum, reciprocal hosting, seed reuse.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acrme_calculation_logic_reference.md</w:t>
            </w:r>
            <w:r>
              <w:t xml:space="preserve"> </w:t>
            </w:r>
            <w:r>
              <w:t xml:space="preserve">(v2.2)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Aligned</w:t>
            </w:r>
            <w:r>
              <w:t xml:space="preserve"> </w:t>
            </w:r>
            <w:r>
              <w:t xml:space="preserve">— already carries max-not-sum (DR-017) and Switzerland North. Verify all worked examples use Switzerland North + max-not-sum.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acrme_hard_constraints_reference.md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HC-10 / Middle East DR path still Belgium Central.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acrme_complete_requirements_reference.md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Re-map to v2.2 IDs; confirm 100% coverage of DR-016…019, PLC-010.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acrme_uml_class_diagrams_summary.md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Lagging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 </w:t>
            </w:r>
            <w:r>
              <w:t xml:space="preserve">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acrme_requirements_deviation_analysis.md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input — its 17-item register + ADR workplan drive Part A below.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FDD or TDD exists yet.</w:t>
      </w:r>
      <w:r>
        <w:t xml:space="preserve"> </w:t>
      </w:r>
      <w:r>
        <w:t xml:space="preserve">The nearest analogues are the Executive Design Document (business-facing) and the PRR/Final Architecture (engineering-facing). The plan in Parts B–C treats these as source material, not replacements.</w:t>
      </w:r>
    </w:p>
    <w:p>
      <w:r>
        <w:pict>
          <v:rect style="width:0;height:1.5pt" o:hralign="center" o:hrstd="t" o:hr="t"/>
        </w:pict>
      </w:r>
    </w:p>
    <w:bookmarkEnd w:id="20"/>
    <w:bookmarkStart w:id="33" w:name="X71f2d6df588e981f6d648fab94032a3cb56c786"/>
    <w:p>
      <w:pPr>
        <w:pStyle w:val="Heading2"/>
      </w:pPr>
      <w:r>
        <w:t xml:space="preserve">Part A — Changes Required to the Original Design</w:t>
      </w:r>
    </w:p>
    <w:p>
      <w:pPr>
        <w:pStyle w:val="FirstParagraph"/>
      </w:pPr>
      <w:r>
        <w:t xml:space="preserve">Changes are grouped by theme, each mapped to the driving</w:t>
      </w:r>
      <w:r>
        <w:t xml:space="preserve"> </w:t>
      </w:r>
      <w:r>
        <w:rPr>
          <w:bCs/>
          <w:b/>
        </w:rPr>
        <w:t xml:space="preserve">requirement IDs</w:t>
      </w:r>
      <w:r>
        <w:t xml:space="preserve">, the existing</w:t>
      </w:r>
      <w:r>
        <w:t xml:space="preserve"> </w:t>
      </w:r>
      <w:r>
        <w:rPr>
          <w:bCs/>
          <w:b/>
        </w:rPr>
        <w:t xml:space="preserve">deviation IDs</w:t>
      </w:r>
      <w:r>
        <w:t xml:space="preserve"> </w:t>
      </w:r>
      <w:r>
        <w:t xml:space="preserve">(DEV-nn), affected</w:t>
      </w:r>
      <w:r>
        <w:t xml:space="preserve"> </w:t>
      </w:r>
      <w:r>
        <w:rPr>
          <w:bCs/>
          <w:b/>
        </w:rPr>
        <w:t xml:space="preserve">artifacts</w:t>
      </w:r>
      <w:r>
        <w:t xml:space="preserve">, and</w:t>
      </w:r>
      <w:r>
        <w:t xml:space="preserve"> </w:t>
      </w:r>
      <w:r>
        <w:rPr>
          <w:bCs/>
          <w:b/>
        </w:rPr>
        <w:t xml:space="preserve">severity</w:t>
      </w:r>
      <w:r>
        <w:t xml:space="preserve">. Status reflects what the PRR already absorbed versus what still needs work.</w:t>
      </w:r>
    </w:p>
    <w:bookmarkStart w:id="21" w:name="X0a6cfc584d14e79c45ae18633bd3c03e365e168"/>
    <w:p>
      <w:pPr>
        <w:pStyle w:val="Heading3"/>
      </w:pPr>
      <w:r>
        <w:t xml:space="preserve">A.1 Global correction — Cross-geo DR region (REG-002) — 🔴 blocking, mechanical</w:t>
      </w:r>
    </w:p>
    <w:p>
      <w:pPr>
        <w:pStyle w:val="FirstParagraph"/>
      </w:pPr>
      <w:r>
        <w:rPr>
          <w:bCs/>
          <w:b/>
        </w:rPr>
        <w:t xml:space="preserve">Change:</w:t>
      </w:r>
      <w:r>
        <w:t xml:space="preserve"> </w:t>
      </w:r>
      <w:r>
        <w:t xml:space="preserve">Replace every operative use of</w:t>
      </w:r>
      <w:r>
        <w:t xml:space="preserve"> </w:t>
      </w:r>
      <w:r>
        <w:rPr>
          <w:bCs/>
          <w:b/>
        </w:rPr>
        <w:t xml:space="preserve">Belgium Central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authoritative EU cross-geo DR extension region for Middle East deployments. Keep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only where it appears as the</w:t>
      </w:r>
      <w:r>
        <w:t xml:space="preserve"> </w:t>
      </w:r>
      <w:r>
        <w:rPr>
          <w:iCs/>
          <w:i/>
        </w:rPr>
        <w:t xml:space="preserve">historical example of a corrected mistake</w:t>
      </w:r>
      <w:r>
        <w:t xml:space="preserve"> </w:t>
      </w:r>
      <w:r>
        <w:t xml:space="preserve">(REG-002 narrative).</w:t>
      </w:r>
    </w:p>
    <w:p>
      <w:pPr>
        <w:pStyle w:val="BodyText"/>
      </w:pPr>
      <w:r>
        <w:rPr>
          <w:bCs/>
          <w:b/>
        </w:rPr>
        <w:t xml:space="preserve">Affected (confirmed by scan):</w:t>
      </w:r>
      <w:r>
        <w:t xml:space="preserve"> </w:t>
      </w:r>
      <w:r>
        <w:t xml:space="preserve">PRR/architecture (Section 27 region tables, cross-geo extension paths, VR-6, HC-10 references, the Mermaid Middle-East decision tree, capacity-planning notes — ~15 occurrences), executive design (Section 6 region table), ADRs, hard constraints reference. Calc logic already corrected.</w:t>
      </w:r>
    </w:p>
    <w:bookmarkEnd w:id="21"/>
    <w:bookmarkStart w:id="22" w:name="X3d9b0e702e16a97a8a36f43d6114228dd6a2a49"/>
    <w:p>
      <w:pPr>
        <w:pStyle w:val="Heading3"/>
      </w:pPr>
      <w:r>
        <w:t xml:space="preserve">A.2 DR sizing model — fixed-ratio → max-not-sum (DR-017, A.6, App. D) — 🔴 Critical — DEV-001, DEV-002</w:t>
      </w:r>
    </w:p>
    <w:p>
      <w:pPr>
        <w:numPr>
          <w:ilvl w:val="0"/>
          <w:numId w:val="100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and any percentage-of-prod DR floor with the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destination-sizing formula:</w:t>
      </w:r>
      <w:r>
        <w:t xml:space="preserve"> </w:t>
      </w:r>
      <w:r>
        <w:rPr>
          <w:rStyle w:val="VerbatimChar"/>
        </w:rPr>
        <w:t xml:space="preserve">Destination DR Requirement(d) = MAX over non-concurrent sources s protected by d ( workload portion of s on d 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the</w:t>
      </w:r>
      <w:r>
        <w:t xml:space="preserve"> </w:t>
      </w:r>
      <w:r>
        <w:rPr>
          <w:bCs/>
          <w:b/>
        </w:rPr>
        <w:t xml:space="preserve">overcommit ratio</w:t>
      </w:r>
      <w:r>
        <w:t xml:space="preserve"> </w:t>
      </w:r>
      <w:r>
        <w:t xml:space="preserve">(A.8) and</w:t>
      </w:r>
      <w:r>
        <w:t xml:space="preserve"> </w:t>
      </w:r>
      <w:r>
        <w:rPr>
          <w:bCs/>
          <w:b/>
        </w:rPr>
        <w:t xml:space="preserve">DR capacity gap</w:t>
      </w:r>
      <w:r>
        <w:t xml:space="preserve"> </w:t>
      </w:r>
      <w:r>
        <w:t xml:space="preserve">(A.7) as first-class engine outputs.</w:t>
      </w:r>
    </w:p>
    <w:p>
      <w:pPr>
        <w:numPr>
          <w:ilvl w:val="0"/>
          <w:numId w:val="1002"/>
        </w:numPr>
        <w:pStyle w:val="Compact"/>
      </w:pPr>
      <w:r>
        <w:t xml:space="preserve">Retain a configurable</w:t>
      </w:r>
      <w:r>
        <w:t xml:space="preserve"> </w:t>
      </w:r>
      <w:r>
        <w:rPr>
          <w:bCs/>
          <w:b/>
        </w:rPr>
        <w:t xml:space="preserve">SUM override</w:t>
      </w:r>
      <w:r>
        <w:t xml:space="preserve"> </w:t>
      </w:r>
      <w:r>
        <w:t xml:space="preserve">(C-11) for customers/contracts requiring concurrent-failure protection.</w:t>
      </w:r>
    </w:p>
    <w:p>
      <w:pPr>
        <w:numPr>
          <w:ilvl w:val="0"/>
          <w:numId w:val="1002"/>
        </w:numPr>
        <w:pStyle w:val="Compact"/>
      </w:pPr>
      <w:r>
        <w:t xml:space="preserve">Rederive</w:t>
      </w:r>
      <w:r>
        <w:t xml:space="preserve"> </w:t>
      </w:r>
      <w:r>
        <w:rPr>
          <w:bCs/>
          <w:b/>
        </w:rPr>
        <w:t xml:space="preserve">ADR-002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DR_Floor_vCPU</w:t>
      </w:r>
      <w:r>
        <w:t xml:space="preserve"> </w:t>
      </w:r>
      <w:r>
        <w:t xml:space="preserve">against distributed portions; update PRR Section 26 (formulas), Section 31 (DR activation), Section 12A linkage.</w:t>
      </w:r>
    </w:p>
    <w:bookmarkEnd w:id="22"/>
    <w:bookmarkStart w:id="23" w:name="X55723443a3281077ef9ecd0982fc89538355289"/>
    <w:p>
      <w:pPr>
        <w:pStyle w:val="Heading3"/>
      </w:pPr>
      <w:r>
        <w:t xml:space="preserve">A.3 Reciprocal multi-source DR hosting (DR-016) — 🟠 Significant — DEV-004</w:t>
      </w:r>
    </w:p>
    <w:p>
      <w:pPr>
        <w:numPr>
          <w:ilvl w:val="0"/>
          <w:numId w:val="1003"/>
        </w:numPr>
        <w:pStyle w:val="Compact"/>
      </w:pPr>
      <w:r>
        <w:t xml:space="preserve">Model the</w:t>
      </w:r>
      <w:r>
        <w:t xml:space="preserve"> </w:t>
      </w:r>
      <w:r>
        <w:rPr>
          <w:bCs/>
          <w:b/>
        </w:rPr>
        <w:t xml:space="preserve">many-to-many</w:t>
      </w:r>
      <w:r>
        <w:t xml:space="preserve"> </w:t>
      </w:r>
      <w:r>
        <w:t xml:space="preserve">topology: each region simultaneously acts as Prod, CVAL host, and DR standby for</w:t>
      </w:r>
      <w:r>
        <w:t xml:space="preserve"> </w:t>
      </w:r>
      <w:r>
        <w:rPr>
          <w:bCs/>
          <w:b/>
        </w:rPr>
        <w:t xml:space="preserve">multiple different</w:t>
      </w:r>
      <w:r>
        <w:t xml:space="preserve"> </w:t>
      </w:r>
      <w:r>
        <w:t xml:space="preserve">source regions. Add to ADR-003/new ADR-005 and to the logical architecture (PRR Section 23, Section 31).</w:t>
      </w:r>
    </w:p>
    <w:bookmarkEnd w:id="23"/>
    <w:bookmarkStart w:id="24" w:name="X621bcf26603220121f24d5963dbb8bc360a7a42"/>
    <w:p>
      <w:pPr>
        <w:pStyle w:val="Heading3"/>
      </w:pPr>
      <w:r>
        <w:t xml:space="preserve">A.4 Source→destination DR index (DR-018) — 🟠 Significant — DEV-005</w:t>
      </w:r>
    </w:p>
    <w:p>
      <w:pPr>
        <w:numPr>
          <w:ilvl w:val="0"/>
          <w:numId w:val="1004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required state entity</w:t>
      </w:r>
      <w:r>
        <w:t xml:space="preserve"> </w:t>
      </w:r>
      <w:r>
        <w:t xml:space="preserve">(DAT-002) and to the data architecture (PRR Section 34), state model (Section 29), ADR-003/005, and UML summary. It is the reverse view of the seed record and drives standby activation.</w:t>
      </w:r>
    </w:p>
    <w:bookmarkEnd w:id="24"/>
    <w:bookmarkStart w:id="25" w:name="X2eb5ac30e90fbcab8a3fab93e77125728159932"/>
    <w:p>
      <w:pPr>
        <w:pStyle w:val="Heading3"/>
      </w:pPr>
      <w:r>
        <w:t xml:space="preserve">A.5 Standby activation on declaration (DR-019) — 🟠 Significant — DEV-008</w:t>
      </w:r>
    </w:p>
    <w:p>
      <w:pPr>
        <w:numPr>
          <w:ilvl w:val="0"/>
          <w:numId w:val="1005"/>
        </w:numPr>
        <w:pStyle w:val="Compact"/>
      </w:pPr>
      <w:r>
        <w:t xml:space="preserve">Specify per-customer</w:t>
      </w:r>
      <w:r>
        <w:t xml:space="preserve"> </w:t>
      </w:r>
      <w:r>
        <w:rPr>
          <w:bCs/>
          <w:b/>
        </w:rPr>
        <w:t xml:space="preserve">associated → allocated</w:t>
      </w:r>
      <w:r>
        <w:t xml:space="preserve"> </w:t>
      </w:r>
      <w:r>
        <w:t xml:space="preserve">transition in</w:t>
      </w:r>
      <w:r>
        <w:t xml:space="preserve"> </w:t>
      </w:r>
      <w:r>
        <w:rPr>
          <w:bCs/>
          <w:b/>
        </w:rPr>
        <w:t xml:space="preserve">business-priority waves</w:t>
      </w:r>
      <w:r>
        <w:t xml:space="preserve"> </w:t>
      </w:r>
      <w:r>
        <w:t xml:space="preserve">(DR-009), driven by the DR index, executed through the</w:t>
      </w:r>
      <w:r>
        <w:t xml:space="preserve"> </w:t>
      </w:r>
      <w:r>
        <w:rPr>
          <w:bCs/>
          <w:b/>
        </w:rPr>
        <w:t xml:space="preserve">staged acquisition</w:t>
      </w:r>
      <w:r>
        <w:t xml:space="preserve"> </w:t>
      </w:r>
      <w:r>
        <w:t xml:space="preserve">sequence (DR-006), reversible on failback (DR-013). Add to ADR-003 and PRR Section 31; add runbook (OPS-001).</w:t>
      </w:r>
    </w:p>
    <w:bookmarkEnd w:id="25"/>
    <w:bookmarkStart w:id="26" w:name="X61bf5376e5220de19cff25e6eef9e1b2c2361d9"/>
    <w:p>
      <w:pPr>
        <w:pStyle w:val="Heading3"/>
      </w:pPr>
      <w:r>
        <w:t xml:space="preserve">A.6 Customer placement seed record (PLC-003…005) — 🟠 Significant — DEV-006</w:t>
      </w:r>
    </w:p>
    <w:p>
      <w:pPr>
        <w:numPr>
          <w:ilvl w:val="0"/>
          <w:numId w:val="100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(prod/CVAL/DR regions, products, policy version, snapshot ref, exception + approval metadata),</w:t>
      </w:r>
      <w:r>
        <w:t xml:space="preserve"> </w:t>
      </w:r>
      <w:r>
        <w:rPr>
          <w:bCs/>
          <w:b/>
        </w:rPr>
        <w:t xml:space="preserve">seed-once/reuse-across-products</w:t>
      </w:r>
      <w:r>
        <w:t xml:space="preserve">, and</w:t>
      </w:r>
      <w:r>
        <w:t xml:space="preserve"> </w:t>
      </w:r>
      <w:r>
        <w:rPr>
          <w:bCs/>
          <w:b/>
        </w:rPr>
        <w:t xml:space="preserve">governed seed-change</w:t>
      </w:r>
      <w:r>
        <w:t xml:space="preserve"> </w:t>
      </w:r>
      <w:r>
        <w:t xml:space="preserve">workflow. Add to ADR-001, PRR Section 29/Section 34, UML summary.</w:t>
      </w:r>
    </w:p>
    <w:bookmarkEnd w:id="26"/>
    <w:bookmarkStart w:id="27" w:name="X38777fc95a4e471d0d2b16386b56f95372e6bd1"/>
    <w:p>
      <w:pPr>
        <w:pStyle w:val="Heading3"/>
      </w:pPr>
      <w:r>
        <w:t xml:space="preserve">A.7 Exact-region-first onboarding (PLC-001/002) — 🟠 Significant — DEV-007</w:t>
      </w:r>
    </w:p>
    <w:p>
      <w:pPr>
        <w:numPr>
          <w:ilvl w:val="0"/>
          <w:numId w:val="1007"/>
        </w:numPr>
        <w:pStyle w:val="Compact"/>
      </w:pPr>
      <w:r>
        <w:t xml:space="preserve">Make</w:t>
      </w:r>
      <w:r>
        <w:t xml:space="preserve"> </w:t>
      </w:r>
      <w:r>
        <w:rPr>
          <w:bCs/>
          <w:b/>
        </w:rPr>
        <w:t xml:space="preserve">exact production region the default validated input</w:t>
      </w:r>
      <w:r>
        <w:t xml:space="preserve">;</w:t>
      </w:r>
      <w:r>
        <w:t xml:space="preserve"> </w:t>
      </w:r>
      <w:r>
        <w:rPr>
          <w:bCs/>
          <w:b/>
        </w:rPr>
        <w:t xml:space="preserve">geography-only</w:t>
      </w:r>
      <w:r>
        <w:t xml:space="preserve"> </w:t>
      </w:r>
      <w:r>
        <w:t xml:space="preserve">selection becomes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(explicit approval + acknowledgement that the derived region is fixed until a governed migration). Reframe ADR-001 Scenario 1 as primary, Scenario 2 as exception. (PRR already reflects this; ADR + executive design do not.)</w:t>
      </w:r>
    </w:p>
    <w:bookmarkEnd w:id="27"/>
    <w:bookmarkStart w:id="28" w:name="X24b8eb17ef40d7754dea6e468abcecc640f0a3f"/>
    <w:p>
      <w:pPr>
        <w:pStyle w:val="Heading3"/>
      </w:pPr>
      <w:r>
        <w:t xml:space="preserve">A.8 CVAL/DR co-location &amp; double-count guard (PLC-010) — 🟡 Moderate — DEV-009</w:t>
      </w:r>
    </w:p>
    <w:p>
      <w:pPr>
        <w:numPr>
          <w:ilvl w:val="0"/>
          <w:numId w:val="100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and the rule that earmarked CVAL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double-counted as both live CVAL and available DR headroom. ADR-003, PRR Section 31/Section 34.</w:t>
      </w:r>
    </w:p>
    <w:bookmarkEnd w:id="28"/>
    <w:bookmarkStart w:id="29" w:name="Xf6d77537c64a62cad46445b158ca4772e76f4d4"/>
    <w:p>
      <w:pPr>
        <w:pStyle w:val="Heading3"/>
      </w:pPr>
      <w:r>
        <w:t xml:space="preserve">A.9 Quota grouping decision — two-group vs single governed pool (QUA-004) — 🔴 Critical (decision) — DEV-003</w:t>
      </w:r>
    </w:p>
    <w:p>
      <w:pPr>
        <w:numPr>
          <w:ilvl w:val="0"/>
          <w:numId w:val="1009"/>
        </w:numPr>
        <w:pStyle w:val="Compact"/>
      </w:pPr>
      <w:r>
        <w:t xml:space="preserve">The design’s</w:t>
      </w:r>
      <w:r>
        <w:t xml:space="preserve"> </w:t>
      </w:r>
      <w:r>
        <w:rPr>
          <w:bCs/>
          <w:b/>
        </w:rPr>
        <w:t xml:space="preserve">two-quota-group</w:t>
      </w:r>
      <w:r>
        <w:t xml:space="preserve"> </w:t>
      </w:r>
      <w:r>
        <w:t xml:space="preserve">model conflicts with the baseline</w:t>
      </w:r>
      <w:r>
        <w:t xml:space="preserve"> </w:t>
      </w:r>
      <w:r>
        <w:rPr>
          <w:bCs/>
          <w:b/>
        </w:rPr>
        <w:t xml:space="preserve">single governed pool preference</w:t>
      </w:r>
      <w:r>
        <w:t xml:space="preserve">. This needs an explicit</w:t>
      </w:r>
      <w: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recorded in ADR-002 (resolve the tension; document why the chosen model wins).</w:t>
      </w:r>
      <w:r>
        <w:t xml:space="preserve"> </w:t>
      </w:r>
      <w:r>
        <w:rPr>
          <w:iCs/>
          <w:i/>
        </w:rPr>
        <w:t xml:space="preserve">Requires confirmation — see Part F.</w:t>
      </w:r>
    </w:p>
    <w:bookmarkEnd w:id="29"/>
    <w:bookmarkStart w:id="30" w:name="X9a4e4121f31d0b470f240fc26dc54df51e8937b"/>
    <w:p>
      <w:pPr>
        <w:pStyle w:val="Heading3"/>
      </w:pPr>
      <w:r>
        <w:t xml:space="preserve">A.10 Remaining reconciliations (Moderate/Minor) — DEV-010…017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CAP-003</w:t>
      </w:r>
      <w:r>
        <w:t xml:space="preserve"> </w:t>
      </w:r>
      <w:r>
        <w:rPr>
          <w:rStyle w:val="VerbatimChar"/>
        </w:rPr>
        <w:t xml:space="preserve">Target = Allocated + Buffer</w:t>
      </w:r>
      <w:r>
        <w:t xml:space="preserve"> </w:t>
      </w:r>
      <w:r>
        <w:t xml:space="preserve">floor formula + allocated/associated distinction → ADR-004.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CAP-009/010</w:t>
      </w:r>
      <w:r>
        <w:t xml:space="preserve"> </w:t>
      </w:r>
      <w:r>
        <w:t xml:space="preserve">zero-capacity (</w:t>
      </w:r>
      <w:r>
        <w:t xml:space="preserve">“</w:t>
      </w:r>
      <w:r>
        <w:t xml:space="preserve">set to zero, don’t delete</w:t>
      </w:r>
      <w:r>
        <w:t xml:space="preserve">”</w:t>
      </w:r>
      <w:r>
        <w:t xml:space="preserve">) + no-auto-delete → ADR-003/004.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RDY-002</w:t>
      </w:r>
      <w:r>
        <w:t xml:space="preserve"> </w:t>
      </w:r>
      <w:r>
        <w:t xml:space="preserve">readiness-state enum (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VALIDATION_REQUIRED</w:t>
      </w:r>
      <w:r>
        <w:t xml:space="preserve">) → ADR-001, API architecture Section 35.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DR-014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→ ADR-001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QUA-005</w:t>
      </w:r>
      <w:r>
        <w:t xml:space="preserve"> </w:t>
      </w:r>
      <w:r>
        <w:t xml:space="preserve">quota-as-governor strategic framing → ADR-002.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CAP-005/006</w:t>
      </w:r>
      <w:r>
        <w:t xml:space="preserve"> </w:t>
      </w:r>
      <w:r>
        <w:t xml:space="preserve">reconciliation mechanics (6-min container-app job, raise/lower logic, scale-down guards) → ADR-004.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REG-003</w:t>
      </w:r>
      <w:r>
        <w:t xml:space="preserve"> </w:t>
      </w:r>
      <w:r>
        <w:t xml:space="preserve">three-region minimum as normative constraint;</w:t>
      </w:r>
      <w:r>
        <w:t xml:space="preserve"> </w:t>
      </w:r>
      <w:r>
        <w:rPr>
          <w:bCs/>
          <w:b/>
        </w:rPr>
        <w:t xml:space="preserve">REG-001/002</w:t>
      </w:r>
      <w:r>
        <w:t xml:space="preserve"> </w:t>
      </w:r>
      <w:r>
        <w:t xml:space="preserve">configurable, versioned region catalogue → ADR-001.</w:t>
      </w:r>
    </w:p>
    <w:bookmarkEnd w:id="30"/>
    <w:bookmarkStart w:id="31" w:name="Xb145f50af79ae21ec4588376db5f52ce231b95b"/>
    <w:p>
      <w:pPr>
        <w:pStyle w:val="Heading3"/>
      </w:pPr>
      <w:r>
        <w:t xml:space="preserve">A.11 New/updated ADRs (from deviation workplan)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Exact-region-first; seed record;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; three-region minimum; readiness enum; versioned region catalogue.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Quota-as-governor; resolve QUA-004 vs two-group; rederive</w:t>
            </w:r>
            <w:r>
              <w:t xml:space="preserve"> </w:t>
            </w:r>
            <w:r>
              <w:rPr>
                <w:rStyle w:val="VerbatimChar"/>
              </w:rPr>
              <w:t xml:space="preserve">DR_Floor_vCPU</w:t>
            </w:r>
            <w:r>
              <w:t xml:space="preserve"> </w:t>
            </w:r>
            <w:r>
              <w:t xml:space="preserve">to max-not-sum.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bootstrap; max-not-sum; standby activation waves; CVAL earmark/double-count guard; zero-capacity/no-delete; reciprocal topology; POC-011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+ Buffer</w:t>
            </w:r>
            <w:r>
              <w:t xml:space="preserve"> </w:t>
            </w:r>
            <w:r>
              <w:t xml:space="preserve">floor formula; reconciliation engine normative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— Section 12A topology,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, bidirectional mapping, max-not-sum boundary, single-failure assumption, observability.</w:t>
            </w:r>
          </w:p>
        </w:tc>
      </w:tr>
    </w:tbl>
    <w:bookmarkEnd w:id="31"/>
    <w:bookmarkStart w:id="32" w:name="a.12-cross-cutting-artifact-updates"/>
    <w:p>
      <w:pPr>
        <w:pStyle w:val="Heading3"/>
      </w:pPr>
      <w:r>
        <w:t xml:space="preserve">A.12 Cross-cutting artifact updates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UML class diagrams: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, readiness-state enum.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add per-destination DR max-source coverage metric/alert (OBS-001/002) and source↔destination DR mapping dashboard view (OBS-004).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Complete Requirements Reference:</w:t>
      </w:r>
      <w:r>
        <w:t xml:space="preserve"> </w:t>
      </w:r>
      <w:r>
        <w:t xml:space="preserve">re-map to v2.2 IDs; confirm DR-016…019 + PLC-010 coverage.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Executive Design Document:</w:t>
      </w:r>
      <w:r>
        <w:t xml:space="preserve"> </w:t>
      </w:r>
      <w:r>
        <w:t xml:space="preserve">refresh region table, DR narrative (distributed + max-not-sum), placement narrative (exact-region + seed reuse), Switzerland North.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4725e6e64dcb849db8aeee94a00db4a4fbeec54"/>
    <w:p>
      <w:pPr>
        <w:pStyle w:val="Heading2"/>
      </w:pPr>
      <w:r>
        <w:t xml:space="preserve">Part B — Functional Design Document (FDD)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describe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ACRME does — the functional behaviour, flows, states, and rules — traceable to every v2.2 requirement ID. Business/architecture/ops/audit audience; implementation-neutral.</w:t>
      </w:r>
    </w:p>
    <w:p>
      <w:pPr>
        <w:pStyle w:val="BodyText"/>
      </w:pPr>
      <w:r>
        <w:rPr>
          <w:bCs/>
          <w:b/>
        </w:rPr>
        <w:t xml:space="preserve">Primary sources:</w:t>
      </w:r>
      <w:r>
        <w:t xml:space="preserve"> </w:t>
      </w:r>
      <w:r>
        <w:t xml:space="preserve">Requirements Baseline v2.2; Executive Design Document; PRR Part II (Section 19–Section 22, Section 27, Section 30, Section 31); Calculation Logic Reference (functional formulas only).</w:t>
      </w:r>
    </w:p>
    <w:bookmarkStart w:id="34" w:name="b.1-proposed-structure"/>
    <w:p>
      <w:pPr>
        <w:pStyle w:val="Heading3"/>
      </w:pPr>
      <w:r>
        <w:t xml:space="preserve">B.1 Proposed structure</w:t>
      </w:r>
    </w:p>
    <w:p>
      <w:pPr>
        <w:numPr>
          <w:ilvl w:val="0"/>
          <w:numId w:val="1012"/>
        </w:numPr>
        <w:pStyle w:val="Compact"/>
      </w:pPr>
      <w:r>
        <w:t xml:space="preserve">Introduction — purpose, audience, scope (in/out per Section 5), definitions (Section 4), traceability approach.</w:t>
      </w:r>
    </w:p>
    <w:p>
      <w:pPr>
        <w:numPr>
          <w:ilvl w:val="0"/>
          <w:numId w:val="1012"/>
        </w:numPr>
        <w:pStyle w:val="Compact"/>
      </w:pPr>
      <w:r>
        <w:t xml:space="preserve">Solution overview — capability map (Capacity, Quota, Placement/Seed, DR, Cost/FinOps, Observability, Governance) → requirement groups.</w:t>
      </w:r>
    </w:p>
    <w:p>
      <w:pPr>
        <w:numPr>
          <w:ilvl w:val="0"/>
          <w:numId w:val="1012"/>
        </w:numPr>
        <w:pStyle w:val="Compact"/>
      </w:pPr>
      <w:r>
        <w:t xml:space="preserve">Actors &amp; stakeholders — AEP, platform operator, DR coordinator, FinOps, onboarding, auditor, Microsoft dependency.</w:t>
      </w:r>
    </w:p>
    <w:p>
      <w:pPr>
        <w:numPr>
          <w:ilvl w:val="0"/>
          <w:numId w:val="1012"/>
        </w:numPr>
        <w:pStyle w:val="Compact"/>
      </w:pPr>
      <w:r>
        <w:t xml:space="preserve">Functional capabilities (one sub-section per domain, each with rules + requirement IDs):</w:t>
      </w:r>
      <w:r>
        <w:t xml:space="preserve"> </w:t>
      </w:r>
      <w:r>
        <w:t xml:space="preserve">4.1 Capacity reservation management (CAP-001…019) — allocated+buffer, reconciliation behaviour, zero-capacity, over-allocation, sharing.</w:t>
      </w:r>
      <w:r>
        <w:t xml:space="preserve"> </w:t>
      </w:r>
      <w:r>
        <w:t xml:space="preserve">4.2 Quota management (QUA-001…014) — pooling / quota-as-governor / growth buffer / reclamation.</w:t>
      </w:r>
      <w:r>
        <w:t xml:space="preserve"> </w:t>
      </w:r>
      <w:r>
        <w:t xml:space="preserve">4.3 Combined readiness (RDY-001…004) — deployment gate, readiness states, staleness.</w:t>
      </w:r>
      <w:r>
        <w:t xml:space="preserve"> </w:t>
      </w:r>
      <w:r>
        <w:t xml:space="preserve">4.4 Region selection &amp; customer placement (PLC-001…010, REG-001…003) — exact-region default, geography exception, seed lifecycle, weighting, co-location.</w:t>
      </w:r>
      <w:r>
        <w:t xml:space="preserve"> </w:t>
      </w:r>
      <w:r>
        <w:t xml:space="preserve">4.5 Disaster recovery (DR-001…019) — distributed DR, reciprocal hosting, staged acquisition, standby activation waves, drills, failback,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.</w:t>
      </w:r>
      <w:r>
        <w:t xml:space="preserve"> </w:t>
      </w:r>
      <w:r>
        <w:t xml:space="preserve">4.6 Cost &amp; FinOps (FIN-001…008) — idle cost, cost-before-expansion, shared-DR overcommit accounting.</w:t>
      </w:r>
      <w:r>
        <w:t xml:space="preserve"> </w:t>
      </w:r>
      <w:r>
        <w:t xml:space="preserve">4.7 Provisioning &amp; AEP integration (INT-001…007) — functional contract in/out, idempotency.</w:t>
      </w:r>
      <w:r>
        <w:t xml:space="preserve"> </w:t>
      </w:r>
      <w:r>
        <w:t xml:space="preserve">4.8 Observability &amp; governance (OBS, GOV, OPS) — metrics/alerts/dashboards, exceptions, break-glass, runbooks.</w:t>
      </w:r>
    </w:p>
    <w:p>
      <w:pPr>
        <w:numPr>
          <w:ilvl w:val="0"/>
          <w:numId w:val="1012"/>
        </w:numPr>
        <w:pStyle w:val="Compact"/>
      </w:pPr>
      <w:r>
        <w:t xml:space="preserve">End-to-end functional flows — onboarding+placement, steady-state reconciliation, single-region DR event, DR drill/failback.</w:t>
      </w:r>
    </w:p>
    <w:p>
      <w:pPr>
        <w:numPr>
          <w:ilvl w:val="0"/>
          <w:numId w:val="1012"/>
        </w:numPr>
        <w:pStyle w:val="Compact"/>
      </w:pPr>
      <w:r>
        <w:t xml:space="preserve">Functional states — deployment readiness states; engine mode machine (functional view).</w:t>
      </w:r>
    </w:p>
    <w:p>
      <w:pPr>
        <w:numPr>
          <w:ilvl w:val="0"/>
          <w:numId w:val="1012"/>
        </w:numPr>
        <w:pStyle w:val="Compact"/>
      </w:pPr>
      <w:r>
        <w:t xml:space="preserve">Acceptance criteria mapping (Section 20 → FDD sections).</w:t>
      </w:r>
    </w:p>
    <w:p>
      <w:pPr>
        <w:numPr>
          <w:ilvl w:val="0"/>
          <w:numId w:val="1012"/>
        </w:numPr>
        <w:pStyle w:val="Compact"/>
      </w:pPr>
      <w:r>
        <w:t xml:space="preserve">Assumptions, decisions, POC dependencies (Section 22–Section 24).</w:t>
      </w:r>
    </w:p>
    <w:p>
      <w:pPr>
        <w:numPr>
          <w:ilvl w:val="0"/>
          <w:numId w:val="1012"/>
        </w:numPr>
        <w:pStyle w:val="Compact"/>
      </w:pPr>
      <w:r>
        <w:t xml:space="preserve">Requirement traceability matrix (every v2.2 ID → FDD section).</w:t>
      </w:r>
    </w:p>
    <w:bookmarkEnd w:id="34"/>
    <w:bookmarkStart w:id="35" w:name="b.2-fdd-diagrams"/>
    <w:p>
      <w:pPr>
        <w:pStyle w:val="Heading3"/>
      </w:pPr>
      <w:r>
        <w:t xml:space="preserve">B.2 FDD diagrams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context (ACRME ↔ AEP, Azure, operators, auditors)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map → requirement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/ use-case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Use-case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+ placement flow (exact-region default; geography exception + 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reconciliation behaviour (allocated+buffer, scale up/down guards)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(Section 12A)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acrme_three_region_capacity_model.png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event → standby activation waves (functional sequence)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state model (RDY-002)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Xb16a49ea70cddf5ebd0c547a3a0cfc6037a9b68"/>
    <w:p>
      <w:pPr>
        <w:pStyle w:val="Heading2"/>
      </w:pPr>
      <w:r>
        <w:t xml:space="preserve">Part C — Technical Design Document (TDD)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describe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ACRME is built — components, data, algorithms, interfaces, runtime, security, NFRs. Engineering audience.</w:t>
      </w:r>
    </w:p>
    <w:p>
      <w:pPr>
        <w:pStyle w:val="BodyText"/>
      </w:pPr>
      <w:r>
        <w:rPr>
          <w:bCs/>
          <w:b/>
        </w:rPr>
        <w:t xml:space="preserve">Primary sources:</w:t>
      </w:r>
      <w:r>
        <w:t xml:space="preserve"> </w:t>
      </w:r>
      <w:r>
        <w:t xml:space="preserve">PRR Part II (Section 23–Section 39) &amp; Part III (Section 40–Section 43); ADRs (post-update, incl. ADR-005); Calculation Logic Reference; UML class diagrams; Hard Constraints; Security &amp; RBAC guide.</w:t>
      </w:r>
    </w:p>
    <w:bookmarkStart w:id="37" w:name="c.1-proposed-structure"/>
    <w:p>
      <w:pPr>
        <w:pStyle w:val="Heading3"/>
      </w:pPr>
      <w:r>
        <w:t xml:space="preserve">C.1 Proposed structure</w:t>
      </w:r>
    </w:p>
    <w:p>
      <w:pPr>
        <w:numPr>
          <w:ilvl w:val="0"/>
          <w:numId w:val="1013"/>
        </w:numPr>
        <w:pStyle w:val="Compact"/>
      </w:pPr>
      <w:r>
        <w:t xml:space="preserve">Introduction — scope, relationship to FDD, decision records referenced.</w:t>
      </w:r>
    </w:p>
    <w:p>
      <w:pPr>
        <w:numPr>
          <w:ilvl w:val="0"/>
          <w:numId w:val="1013"/>
        </w:numPr>
        <w:pStyle w:val="Compact"/>
      </w:pPr>
      <w:r>
        <w:t xml:space="preserve">Architecture overview — principles/rationale (Section 20), constraints (Section 21).</w:t>
      </w:r>
    </w:p>
    <w:p>
      <w:pPr>
        <w:numPr>
          <w:ilvl w:val="0"/>
          <w:numId w:val="1013"/>
        </w:numPr>
        <w:pStyle w:val="Compact"/>
      </w:pPr>
      <w:r>
        <w:t xml:space="preserve">Logical component architecture (Section 23) — inventory collector, reconciler, placement/scoring engine, quota-pool manager, DR orchestrator, readiness API, state store, config/scope-file service.</w:t>
      </w:r>
    </w:p>
    <w:p>
      <w:pPr>
        <w:numPr>
          <w:ilvl w:val="0"/>
          <w:numId w:val="1013"/>
        </w:numPr>
        <w:pStyle w:val="Compact"/>
      </w:pPr>
      <w:r>
        <w:t xml:space="preserve">Runtime &amp; deployment — container-app reconciliation job (6-min, tunable, CAP-006), function-app placement flow (PLC-009), API surface.</w:t>
      </w:r>
    </w:p>
    <w:p>
      <w:pPr>
        <w:numPr>
          <w:ilvl w:val="0"/>
          <w:numId w:val="1013"/>
        </w:numPr>
        <w:pStyle w:val="Compact"/>
      </w:pPr>
      <w:r>
        <w:t xml:space="preserve">Topology — management group/subscription model (Section 24); CRG hierarchy &amp; sharing incl. zone-alignment FC-06 (Section 25); quota-group architecture + single-pool decision (Section 26, QUA-004).</w:t>
      </w:r>
    </w:p>
    <w:p>
      <w:pPr>
        <w:numPr>
          <w:ilvl w:val="0"/>
          <w:numId w:val="1013"/>
        </w:numPr>
        <w:pStyle w:val="Compact"/>
      </w:pPr>
      <w:r>
        <w:t xml:space="preserve">Data architecture (Section 34, DAT-001…006) — entity model incl. 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, DR distribution plans; freshness metadata; versioning.</w:t>
      </w:r>
    </w:p>
    <w:p>
      <w:pPr>
        <w:numPr>
          <w:ilvl w:val="0"/>
          <w:numId w:val="1013"/>
        </w:numPr>
        <w:pStyle w:val="Compact"/>
      </w:pPr>
      <w:r>
        <w:t xml:space="preserve">State model &amp; concurrency (Section 29, NFR-002/007) — five-state engine machine, optimistic concurrency, reservation-of-intent.</w:t>
      </w:r>
    </w:p>
    <w:p>
      <w:pPr>
        <w:numPr>
          <w:ilvl w:val="0"/>
          <w:numId w:val="1013"/>
        </w:numPr>
        <w:pStyle w:val="Compact"/>
      </w:pPr>
      <w:r>
        <w:t xml:space="preserve">Placement scoring &amp; forecasting (Section 28) — PS_Prod / PS_NonProd / PS_DR, weights α=0.30/β=0.20/γ=0.25/δ=0.15/ε=0.10, normalization, determinism/replay.</w:t>
      </w:r>
    </w:p>
    <w:p>
      <w:pPr>
        <w:numPr>
          <w:ilvl w:val="0"/>
          <w:numId w:val="1013"/>
        </w:numPr>
        <w:pStyle w:val="Compact"/>
      </w:pPr>
      <w:r>
        <w:t xml:space="preserve">DR sizing &amp; activation algorithms (Section 31, App. A.6/A.7/A.8, App. D) — max-not-sum, overcommit ratio, gap; standby activation waves; staged acquisition (DR-006); tier escalation (Section 32).</w:t>
      </w:r>
    </w:p>
    <w:p>
      <w:pPr>
        <w:numPr>
          <w:ilvl w:val="0"/>
          <w:numId w:val="1013"/>
        </w:numPr>
        <w:pStyle w:val="Compact"/>
      </w:pPr>
      <w:r>
        <w:t xml:space="preserve">Steady-state capacity lifecycle (Section 30) — 10-step sequence.</w:t>
      </w:r>
    </w:p>
    <w:p>
      <w:pPr>
        <w:numPr>
          <w:ilvl w:val="0"/>
          <w:numId w:val="1013"/>
        </w:numPr>
        <w:pStyle w:val="Compact"/>
      </w:pPr>
      <w:r>
        <w:t xml:space="preserve">API architecture (Section 35, INT-001…007) — request/response contracts, idempotency keys, error/readiness codes.</w:t>
      </w:r>
    </w:p>
    <w:p>
      <w:pPr>
        <w:numPr>
          <w:ilvl w:val="0"/>
          <w:numId w:val="1013"/>
        </w:numPr>
        <w:pStyle w:val="Compact"/>
      </w:pPr>
      <w:r>
        <w:t xml:space="preserve">Security — RBAC &amp; managed identity (Section 36, GOV-001…009), break-glass, secrets.</w:t>
      </w:r>
    </w:p>
    <w:p>
      <w:pPr>
        <w:numPr>
          <w:ilvl w:val="0"/>
          <w:numId w:val="1013"/>
        </w:numPr>
        <w:pStyle w:val="Compact"/>
      </w:pPr>
      <w:r>
        <w:t xml:space="preserve">Observability implementation (Section 37, OBS-001…005) — metrics incl. per-destination DR max-source coverage; alerts; dashboards incl. source↔destination mapping.</w:t>
      </w:r>
    </w:p>
    <w:p>
      <w:pPr>
        <w:numPr>
          <w:ilvl w:val="0"/>
          <w:numId w:val="1013"/>
        </w:numPr>
        <w:pStyle w:val="Compact"/>
      </w:pPr>
      <w:r>
        <w:t xml:space="preserve">NFRs &amp; resilience (Section 38, NFR-001…010) — throttling resilience, degraded mode, simulation/dry-run incl. DR failover simulation.</w:t>
      </w:r>
    </w:p>
    <w:p>
      <w:pPr>
        <w:numPr>
          <w:ilvl w:val="0"/>
          <w:numId w:val="1013"/>
        </w:numPr>
        <w:pStyle w:val="Compact"/>
      </w:pPr>
      <w:r>
        <w:t xml:space="preserve">Integration — AKS/VMSS &amp; AEP (Section 33, Section 6 review).</w:t>
      </w:r>
    </w:p>
    <w:p>
      <w:pPr>
        <w:numPr>
          <w:ilvl w:val="0"/>
          <w:numId w:val="1013"/>
        </w:numPr>
        <w:pStyle w:val="Compact"/>
      </w:pPr>
      <w:r>
        <w:t xml:space="preserve">POC &amp; validation dependencies (Section 42) — POC-001 (sharing quota), POC-006 (DR topology), POC-007 (bootstrap sizing), POC-011 (max-not-sum overcommit safety); gating.</w:t>
      </w:r>
    </w:p>
    <w:p>
      <w:pPr>
        <w:numPr>
          <w:ilvl w:val="0"/>
          <w:numId w:val="1013"/>
        </w:numPr>
        <w:pStyle w:val="Compact"/>
      </w:pPr>
      <w:r>
        <w:t xml:space="preserve">Traceability — requirement/deviation → component/algorithm/entity.</w:t>
      </w:r>
    </w:p>
    <w:bookmarkEnd w:id="37"/>
    <w:bookmarkStart w:id="38" w:name="c.2-tdd-diagrams"/>
    <w:p>
      <w:pPr>
        <w:pStyle w:val="Heading3"/>
      </w:pPr>
      <w:r>
        <w:t xml:space="preserve">C.2 TDD diagrams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component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group / subscription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hierarchy &amp; cross-subscription sharing (zone alignment FC-06)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Quota-group / pool architecture (single-pool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26; reuse</w:t>
            </w:r>
            <w:r>
              <w:t xml:space="preserve"> </w:t>
            </w:r>
            <w:r>
              <w:rPr>
                <w:rStyle w:val="VerbatimChar"/>
              </w:rPr>
              <w:t xml:space="preserve">adr002_quota_groups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/ ERD incl. seed record +</w:t>
            </w:r>
            <w:r>
              <w:t xml:space="preserve"> </w:t>
            </w:r>
            <w:r>
              <w:rPr>
                <w:bCs/>
                <w:b/>
              </w:rPr>
              <w:t xml:space="preserve">SourceDestinationDRIndex</w:t>
            </w:r>
            <w:r>
              <w:t xml:space="preserve"> </w:t>
            </w:r>
            <w:r>
              <w:t xml:space="preserve">+ CVAL earmark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34, DAT-002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Five-state engine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29; reuse</w:t>
            </w:r>
            <w:r>
              <w:t xml:space="preserve"> </w:t>
            </w:r>
            <w:r>
              <w:rPr>
                <w:rStyle w:val="VerbatimChar"/>
              </w:rPr>
              <w:t xml:space="preserve">adr003_state_machine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placement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adr001_pipeline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input modes (exact vs geography 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adr001_input_modes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Steady-state 10-step capacity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30; reuse</w:t>
            </w:r>
            <w:r>
              <w:t xml:space="preserve"> </w:t>
            </w:r>
            <w:r>
              <w:rPr>
                <w:rStyle w:val="VerbatimChar"/>
              </w:rPr>
              <w:t xml:space="preserve">adr004_lifecycle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Three-tier emergency transfer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32; reuse</w:t>
            </w:r>
            <w:r>
              <w:t xml:space="preserve"> </w:t>
            </w:r>
            <w:r>
              <w:rPr>
                <w:rStyle w:val="VerbatimChar"/>
              </w:rPr>
              <w:t xml:space="preserve">adr003_transfer_tiers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activation sequence (index lookup → waves → staged acquisition)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, Section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sizing illustration (overcommit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, App.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(Section 12A)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acrme_three_region_capacity_model.png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diagrams (updated with new entities)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part-d-diagram-inventory-summary"/>
    <w:p>
      <w:pPr>
        <w:pStyle w:val="Heading2"/>
      </w:pPr>
      <w:r>
        <w:t xml:space="preserve">Part D — Diagram Inventory Summary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Reuse as-is (7):</w:t>
      </w:r>
      <w:r>
        <w:t xml:space="preserve"> </w:t>
      </w:r>
      <w:r>
        <w:t xml:space="preserve">staged placement pipeline, prod input modes, quota groups, transfer tiers, state machine, capacity lifecycle, distributed DR reference model.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New required (5):</w:t>
      </w:r>
      <w:r>
        <w:t xml:space="preserve"> </w:t>
      </w:r>
      <w:r>
        <w:t xml:space="preserve">F4 onboarding+placement (functional), F7/T11 DR standby activation sequence, F8 readiness state model, T5 data-model ERD with new entities, T12 max-not-sum/overcommit illustration.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Update (2):</w:t>
      </w:r>
      <w:r>
        <w:t xml:space="preserve"> </w:t>
      </w:r>
      <w:r>
        <w:t xml:space="preserve">T14 class diagrams (+3 entities), region tables/diagrams to Switzerland North.</w:t>
      </w:r>
    </w:p>
    <w:p>
      <w:r>
        <w:pict>
          <v:rect style="width:0;height:1.5pt" o:hralign="center" o:hrstd="t" o:hr="t"/>
        </w:pict>
      </w:r>
    </w:p>
    <w:bookmarkEnd w:id="40"/>
    <w:bookmarkStart w:id="41" w:name="part-e-work-plan-sequencing"/>
    <w:p>
      <w:pPr>
        <w:pStyle w:val="Heading2"/>
      </w:pPr>
      <w:r>
        <w:t xml:space="preserve">Part E — Work Plan &amp; Sequencing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Design reconciliation (Part A) — do first, unblocks FDD/TDD</w:t>
      </w:r>
    </w:p>
    <w:p>
      <w:pPr>
        <w:numPr>
          <w:ilvl w:val="1"/>
          <w:numId w:val="1016"/>
        </w:numPr>
        <w:pStyle w:val="Compact"/>
      </w:pPr>
      <w:r>
        <w:t xml:space="preserve">Global Belgium→Switzerland North replacement (A.1).</w:t>
      </w:r>
    </w:p>
    <w:p>
      <w:pPr>
        <w:numPr>
          <w:ilvl w:val="1"/>
          <w:numId w:val="1016"/>
        </w:numPr>
        <w:pStyle w:val="Compact"/>
      </w:pPr>
      <w:r>
        <w:t xml:space="preserve">Update ADR-001…004 + author ADR-005 (A.11) — resolve QUA-004 decision (A.9) as a prerequisite.</w:t>
      </w:r>
    </w:p>
    <w:p>
      <w:pPr>
        <w:numPr>
          <w:ilvl w:val="1"/>
          <w:numId w:val="1016"/>
        </w:numPr>
        <w:pStyle w:val="Compact"/>
      </w:pPr>
      <w:r>
        <w:t xml:space="preserve">Refresh executive design, hard constraints, UML, complete-requirements mapping (A.12).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Author FDD</w:t>
      </w:r>
      <w:r>
        <w:t xml:space="preserve"> </w:t>
      </w:r>
      <w:r>
        <w:t xml:space="preserve">(Part B) — MD → DOCX → PDF, diagrams F1–F8.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Author TDD</w:t>
      </w:r>
      <w:r>
        <w:t xml:space="preserve"> </w:t>
      </w:r>
      <w:r>
        <w:t xml:space="preserve">(Part C) — MD → DOCX → PDF, diagrams T1–T14.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Traceability pass</w:t>
      </w:r>
      <w:r>
        <w:t xml:space="preserve"> </w:t>
      </w:r>
      <w:r>
        <w:t xml:space="preserve">— every v2.2 ID mapped in FDD and TDD; deviation register closed.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each stage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(MD + DOCX + PDF), consistent with existing doc pipeline.</w:t>
      </w:r>
    </w:p>
    <w:p>
      <w:pPr>
        <w:pStyle w:val="FirstParagraph"/>
      </w:pPr>
      <w:r>
        <w:rPr>
          <w:bCs/>
          <w:b/>
        </w:rPr>
        <w:t xml:space="preserve">Deliverable formats (assumed, per established convention):</w:t>
      </w:r>
      <w:r>
        <w:t xml:space="preserve"> </w:t>
      </w:r>
      <w:r>
        <w:t xml:space="preserve">Markdown source of truth + auto-generated DOCX + PDF, diagrams as self-contained HTML + high-res PNG, all committed to the repo.</w:t>
      </w:r>
    </w:p>
    <w:p>
      <w:r>
        <w:pict>
          <v:rect style="width:0;height:1.5pt" o:hralign="center" o:hrstd="t" o:hr="t"/>
        </w:pict>
      </w:r>
    </w:p>
    <w:bookmarkEnd w:id="41"/>
    <w:bookmarkStart w:id="42" w:name="Xb1c111d7d3bbaafb50fc9c75aa985b1100c2440"/>
    <w:p>
      <w:pPr>
        <w:pStyle w:val="Heading2"/>
      </w:pPr>
      <w:r>
        <w:t xml:space="preserve">Part F — Open Decisions Needing Confirmation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Quota grouping (A.9 / QUA-004 / DEV-003):</w:t>
      </w:r>
      <w:r>
        <w:t xml:space="preserve"> </w:t>
      </w:r>
      <w:r>
        <w:t xml:space="preserve">confirm whether the baseline’s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preference overrides the design’s</w:t>
      </w:r>
      <w:r>
        <w:t xml:space="preserve"> </w:t>
      </w:r>
      <w:r>
        <w:rPr>
          <w:bCs/>
          <w:b/>
        </w:rPr>
        <w:t xml:space="preserve">two-quota-group</w:t>
      </w:r>
      <w:r>
        <w:t xml:space="preserve"> </w:t>
      </w:r>
      <w:r>
        <w:t xml:space="preserve">model, or whether the two-group model is retained with documented justification. This changes ADR-002, TDD Section 5, and quota diagrams.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FDD/TDD relationship to existing docs:</w:t>
      </w:r>
      <w:r>
        <w:t xml:space="preserve"> </w:t>
      </w:r>
      <w:r>
        <w:t xml:space="preserve">produce FDD and TDD as</w:t>
      </w:r>
      <w:r>
        <w:t xml:space="preserve"> </w:t>
      </w:r>
      <w:r>
        <w:rPr>
          <w:bCs/>
          <w:b/>
        </w:rPr>
        <w:t xml:space="preserve">net-new standalone documents</w:t>
      </w:r>
      <w:r>
        <w:t xml:space="preserve"> </w:t>
      </w:r>
      <w:r>
        <w:t xml:space="preserve">(recommended) that supersede the Executive Design Document (→ FDD) and consolidate PRR Part II (→ TDD)? Or keep all existing docs and add FDD/TDD as additional layers?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Scope of this engagement now:</w:t>
      </w:r>
      <w:r>
        <w:t xml:space="preserve"> </w:t>
      </w:r>
      <w:r>
        <w:t xml:space="preserve">deliver</w:t>
      </w:r>
      <w:r>
        <w:t xml:space="preserve"> </w:t>
      </w:r>
      <w:r>
        <w:rPr>
          <w:bCs/>
          <w:b/>
        </w:rPr>
        <w:t xml:space="preserve">this plan only</w:t>
      </w:r>
      <w:r>
        <w:t xml:space="preserve"> </w:t>
      </w:r>
      <w:r>
        <w:t xml:space="preserve">for review, or proceed straight into Part A reconciliation + FDD/TDD authoring?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Output formats:</w:t>
      </w:r>
      <w:r>
        <w:t xml:space="preserve"> </w:t>
      </w:r>
      <w:r>
        <w:t xml:space="preserve">confirm MD + DOCX + PDF committed to repo (assumed), or a different target (e.g., Confluence/single combined doc).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2026-09-07T14:50:24Z</dcterms:created>
  <dcterms:modified xsi:type="dcterms:W3CDTF">2026-09-07T14:50:24Z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