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6dfe45840c9ffb326f72a855a8af361d09c8cf7"/>
    <w:p>
      <w:pPr>
        <w:pStyle w:val="Heading1"/>
      </w:pPr>
      <w:r>
        <w:t xml:space="preserve">ACRME Repo Consistency Audit — 17 September 2026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Full sweep of the ACRME documentation set (</w:t>
      </w:r>
      <w:r>
        <w:rPr>
          <w:rStyle w:val="VerbatimChar"/>
        </w:rPr>
        <w:t xml:space="preserve">Requirements/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Architecture/adr/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Reference-Material/</w:t>
      </w:r>
      <w:r>
        <w:t xml:space="preserve">,</w:t>
      </w:r>
      <w:r>
        <w:t xml:space="preserve"> </w:t>
      </w:r>
      <w:r>
        <w:rPr>
          <w:rStyle w:val="VerbatimChar"/>
        </w:rPr>
        <w:t xml:space="preserve">POC-Test-Scripts/</w:t>
      </w:r>
      <w:r>
        <w:t xml:space="preserve">) checked against (a) the requirements baseline and (b) the canonical calculation formulas &amp; constants.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excluded (historical). Auto-generated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twins excluded (they regenerate from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Authority sources used for the audit</w:t>
      </w:r>
      <w:r>
        <w:t xml:space="preserve"> </w:t>
      </w:r>
      <w:r>
        <w:t xml:space="preserve">- Requirements:</w:t>
      </w:r>
      <w:r>
        <w:t xml:space="preserve"> </w:t>
      </w:r>
      <w:r>
        <w:rPr>
          <w:rStyle w:val="VerbatimChar"/>
        </w:rPr>
        <w:t xml:space="preserve">Requirements/acrme_requirements_baseline_v2_4.md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v2.4 (amended), 11 September 2026</w:t>
      </w:r>
      <w:r>
        <w:t xml:space="preserve"> </w:t>
      </w:r>
      <w:r>
        <w:t xml:space="preserve">(the newest baseline in the repo).</w:t>
      </w:r>
      <w:r>
        <w:t xml:space="preserve"> </w:t>
      </w:r>
      <w:r>
        <w:t xml:space="preserve">- Formulas &amp; constants:</w:t>
      </w:r>
      <w:r>
        <w:t xml:space="preserve"> </w:t>
      </w:r>
      <w:r>
        <w:rPr>
          <w:rStyle w:val="VerbatimChar"/>
        </w:rPr>
        <w:t xml:space="preserve">Reference-Material/reference/acrme_calculation_logic_reference.md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Bottom line.</w:t>
      </w:r>
      <w:r>
        <w:t xml:space="preserve"> </w:t>
      </w:r>
      <w:r>
        <w:t xml:space="preserve">The repo is internally consistent. The audit found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issues, both now</w:t>
      </w:r>
      <w:r>
        <w:t xml:space="preserve"> </w:t>
      </w:r>
      <w:r>
        <w:rPr>
          <w:bCs/>
          <w:b/>
        </w:rPr>
        <w:t xml:space="preserve">RESOLVED</w:t>
      </w:r>
      <w:r>
        <w:t xml:space="preserve">: (1) the uploaded</w:t>
      </w:r>
      <w:r>
        <w:t xml:space="preserve"> </w:t>
      </w:r>
      <w:r>
        <w:t xml:space="preserve">“</w:t>
      </w:r>
      <w:r>
        <w:t xml:space="preserve">source of truth</w:t>
      </w:r>
      <w:r>
        <w:t xml:space="preserve">”</w:t>
      </w:r>
      <w:r>
        <w:t xml:space="preserve"> </w:t>
      </w:r>
      <w:r>
        <w:t xml:space="preserve">baseline was stale vs. the repo baseline — now synchronized to the amended 11-Sep version; (2) one internal typo (5-min vs. 6-min reconciliation interval) — corrected. All documents now reconcile to the authoritative baseline v2.4 (amended), 11 September 2026.</w:t>
      </w:r>
    </w:p>
    <w:p>
      <w:r>
        <w:pict>
          <v:rect style="width:0;height:1.5pt" o:hralign="center" o:hrstd="t" o:hr="t"/>
        </w:pict>
      </w:r>
    </w:p>
    <w:bookmarkStart w:id="20" w:name="Xa4e19d8f6e468537bc6d631c401e7cf8239677b"/>
    <w:p>
      <w:pPr>
        <w:pStyle w:val="Heading2"/>
      </w:pPr>
      <w:r>
        <w:t xml:space="preserve">Finding 1 — HIGH — The uploaded</w:t>
      </w:r>
      <w:r>
        <w:t xml:space="preserve"> </w:t>
      </w:r>
      <w:r>
        <w:t xml:space="preserve">“</w:t>
      </w:r>
      <w:r>
        <w:t xml:space="preserve">source of truth</w:t>
      </w:r>
      <w:r>
        <w:t xml:space="preserve">”</w:t>
      </w:r>
      <w:r>
        <w:t xml:space="preserve"> </w:t>
      </w:r>
      <w:r>
        <w:t xml:space="preserve">baseline was STALE vs. the repo baseline [RESOLVED]</w:t>
      </w:r>
    </w:p>
    <w:p>
      <w:pPr>
        <w:pStyle w:val="FirstParagraph"/>
      </w:pPr>
      <w:r>
        <w:t xml:space="preserve">The standing instruction points at the uploaded file as the single source of truth, but it is an</w:t>
      </w:r>
      <w:r>
        <w:t xml:space="preserve"> </w:t>
      </w:r>
      <w:r>
        <w:rPr>
          <w:bCs/>
          <w:b/>
        </w:rPr>
        <w:t xml:space="preserve">older revision</w:t>
      </w:r>
      <w:r>
        <w:t xml:space="preserve"> </w:t>
      </w:r>
      <w:r>
        <w:t xml:space="preserve">than the baseline committed in the repo, and</w:t>
      </w:r>
      <w:r>
        <w:t xml:space="preserve"> </w:t>
      </w:r>
      <w:r>
        <w:rPr>
          <w:bCs/>
          <w:b/>
        </w:rPr>
        <w:t xml:space="preserve">every other document in the repo reconciles to the newer repo baseline, not the uploaded one.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Uploaded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/home/ubuntu/Uploads/Azure Capacity &amp; Quota Management- Consolidated Requirements Baseline.md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Requirements/acrme_requirements_baseline_v2_4.md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v2.4,</w:t>
            </w:r>
            <w:r>
              <w:t xml:space="preserve"> </w:t>
            </w:r>
            <w:r>
              <w:rPr>
                <w:bCs/>
                <w:b/>
              </w:rPr>
              <w:t xml:space="preserve">7 September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v2.4 (amended), 11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DR_NOT_OFFERED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DR is unlikely to be offered there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Cross-geo DR to Europe</w:t>
            </w:r>
            <w:r>
              <w:t xml:space="preserve"> </w:t>
            </w:r>
            <w:r>
              <w:t xml:space="preserve">(Prod+CVAL co-located in a weighted-selected ME region; DR weighted-selected in a Europe Standard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/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normative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bCs/>
                <w:b/>
              </w:rPr>
              <w:t xml:space="preserve">DR-020, PLC-010b, A-ME1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Impact.</w:t>
      </w:r>
      <w:r>
        <w:t xml:space="preserve"> </w:t>
      </w:r>
      <w:r>
        <w:t xml:space="preserve">All downstream docs — ADRs, FDD, TDD, calc-logic reference, POC workbook, epics/stories, complete requirements reference — already implement the</w:t>
      </w:r>
      <w:r>
        <w:t xml:space="preserve"> </w:t>
      </w:r>
      <w:r>
        <w:rPr>
          <w:bCs/>
          <w:b/>
        </w:rPr>
        <w:t xml:space="preserve">amended (11-Sep)</w:t>
      </w:r>
      <w:r>
        <w:t xml:space="preserve"> </w:t>
      </w:r>
      <w:r>
        <w:t xml:space="preserve">Middle East cross-geo position with DEC-001 RESOLVED. Examples: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Requirements/acrme_complete_requirements_reference.md:103,302</w:t>
      </w:r>
      <w:r>
        <w:t xml:space="preserve"> </w:t>
      </w:r>
      <w:r>
        <w:t xml:space="preserve">— cross-geo DR into Europe (DR-020, PLC-010b, DEC-001 RESOLVED).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POC-Test-Scripts/acrme_poc_workbook_v2_4.md:19,144,2167</w:t>
      </w:r>
      <w:r>
        <w:t xml:space="preserve"> </w:t>
      </w:r>
      <w:r>
        <w:t xml:space="preserve">— POC-PLC-010b positive cross-geo case; supersedes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Reference-Material/backlog/acrme_epics_stories_tasks.md:593,697</w:t>
      </w:r>
      <w:r>
        <w:t xml:space="preserve"> </w:t>
      </w:r>
      <w:r>
        <w:t xml:space="preserve">— ACRME-S0706 Middle East cross-geo DR (DEC-001 RESOLVED).</w:t>
      </w:r>
    </w:p>
    <w:p>
      <w:pPr>
        <w:pStyle w:val="BodyText"/>
      </w:pPr>
      <w:r>
        <w:t xml:space="preserve">So the repo is coherent</w:t>
      </w:r>
      <w:r>
        <w:t xml:space="preserve"> </w:t>
      </w:r>
      <w:r>
        <w:rPr>
          <w:bCs/>
          <w:b/>
        </w:rPr>
        <w:t xml:space="preserve">against the amended repo baseline</w:t>
      </w:r>
      <w:r>
        <w:t xml:space="preserve">; the divergence is only against the</w:t>
      </w:r>
      <w:r>
        <w:t xml:space="preserve"> </w:t>
      </w:r>
      <w:r>
        <w:rPr>
          <w:bCs/>
          <w:b/>
        </w:rPr>
        <w:t xml:space="preserve">uploaded</w:t>
      </w:r>
      <w:r>
        <w:t xml:space="preserve"> </w:t>
      </w:r>
      <w:r>
        <w:t xml:space="preserve">file the standing instruction names.</w:t>
      </w:r>
    </w:p>
    <w:p>
      <w:pPr>
        <w:pStyle w:val="BodyText"/>
      </w:pPr>
      <w:r>
        <w:rPr>
          <w:bCs/>
          <w:b/>
        </w:rPr>
        <w:t xml:space="preserve">Resolution (confirmed by user):</w:t>
      </w:r>
      <w:r>
        <w:t xml:space="preserve"> </w:t>
      </w:r>
      <w:r>
        <w:t xml:space="preserve">The amended 11-Sep baseline is authoritative. The uploaded file at</w:t>
      </w:r>
      <w:r>
        <w:t xml:space="preserve"> </w:t>
      </w:r>
      <w:r>
        <w:rPr>
          <w:rStyle w:val="VerbatimChar"/>
        </w:rPr>
        <w:t xml:space="preserve">/home/ubuntu/Uploads/Azure Capacity &amp; Quota Management- Consolidated Requirements Baseline.md</w:t>
      </w:r>
      <w:r>
        <w:t xml:space="preserve"> </w:t>
      </w:r>
      <w:r>
        <w:t xml:space="preserve">has been</w:t>
      </w:r>
      <w:r>
        <w:t xml:space="preserve"> </w:t>
      </w:r>
      <w:r>
        <w:rPr>
          <w:bCs/>
          <w:b/>
        </w:rPr>
        <w:t xml:space="preserve">synchronized</w:t>
      </w:r>
      <w:r>
        <w:t xml:space="preserve"> </w:t>
      </w:r>
      <w:r>
        <w:t xml:space="preserve">with the repo baseline — both now carry</w:t>
      </w:r>
      <w:r>
        <w:t xml:space="preserve"> </w:t>
      </w:r>
      <w:r>
        <w:rPr>
          <w:bCs/>
          <w:b/>
        </w:rPr>
        <w:t xml:space="preserve">v2.4 (amended), 11 September 2026</w:t>
      </w:r>
      <w:r>
        <w:t xml:space="preserve"> </w:t>
      </w:r>
      <w:r>
        <w:t xml:space="preserve">with Middle East cross-geo DR, DEC-001 RESOLVED, DR-020, PLC-010b, A-ME1. The standing instruction source of truth and the repo are now aligned.</w:t>
      </w:r>
    </w:p>
    <w:p>
      <w:r>
        <w:pict>
          <v:rect style="width:0;height:1.5pt" o:hralign="center" o:hrstd="t" o:hr="t"/>
        </w:pict>
      </w:r>
    </w:p>
    <w:bookmarkEnd w:id="20"/>
    <w:bookmarkStart w:id="21" w:name="X4a6b05e97e798f4fdfe12bcaf632031464ffaf0"/>
    <w:p>
      <w:pPr>
        <w:pStyle w:val="Heading2"/>
      </w:pPr>
      <w:r>
        <w:t xml:space="preserve">Finding 2 — LOW — Reconciliation interval typo (FIXED in this change)</w:t>
      </w:r>
    </w:p>
    <w:p>
      <w:pPr>
        <w:pStyle w:val="FirstParagraph"/>
      </w:pPr>
      <w:r>
        <w:rPr>
          <w:rStyle w:val="VerbatimChar"/>
        </w:rPr>
        <w:t xml:space="preserve">Design/acrme_uml_class_diagrams_summary.md:64</w:t>
      </w:r>
      <w:r>
        <w:t xml:space="preserve"> </w:t>
      </w:r>
      <w:r>
        <w:t xml:space="preserve">stated the reconciliation loop target interval as</w:t>
      </w:r>
      <w:r>
        <w:t xml:space="preserve"> </w:t>
      </w:r>
      <w:r>
        <w:rPr>
          <w:bCs/>
          <w:b/>
        </w:rPr>
        <w:t xml:space="preserve">5 minutes</w:t>
      </w:r>
      <w:r>
        <w:t xml:space="preserve">. Every other source says</w:t>
      </w:r>
      <w:r>
        <w:t xml:space="preserve"> </w:t>
      </w:r>
      <w:r>
        <w:rPr>
          <w:bCs/>
          <w:b/>
        </w:rPr>
        <w:t xml:space="preserve">6 minutes (360 s), configurable</w:t>
      </w:r>
      <w:r>
        <w:t xml:space="preserve">:</w:t>
      </w:r>
      <w:r>
        <w:t xml:space="preserve"> </w:t>
      </w:r>
      <w:r>
        <w:t xml:space="preserve">- Baseline</w:t>
      </w:r>
      <w:r>
        <w:t xml:space="preserve"> </w:t>
      </w:r>
      <w:r>
        <w:rPr>
          <w:bCs/>
          <w:b/>
        </w:rPr>
        <w:t xml:space="preserve">CAP-006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Design/acrme_technical_design_document.md:135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6-minute target interval (configurable, CAP-006)</w:t>
      </w:r>
      <w:r>
        <w:t xml:space="preserve">”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Reference-Material/reference/acrme_calculation_logic_reference.md:610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 applied:</w:t>
      </w:r>
      <w:r>
        <w:t xml:space="preserve"> </w:t>
      </w:r>
      <w:r>
        <w:t xml:space="preserve">line 64 now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6-min target interval (configurable, CAP-006)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379a6e25e28456f896a8da66b969f61d2e21801"/>
    <w:p>
      <w:pPr>
        <w:pStyle w:val="Heading2"/>
      </w:pPr>
      <w:r>
        <w:t xml:space="preserve">Finding 3 — MEDIUM — Fixed DR ratio still live in Hard Constraints / ADR-007 (CONVERTED to max-not-sum in this change)</w:t>
      </w:r>
    </w:p>
    <w:p>
      <w:pPr>
        <w:pStyle w:val="FirstParagraph"/>
      </w:pPr>
      <w:r>
        <w:t xml:space="preserve">While the Calculation Logic Reference already sized DR with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(A.6 / DR-017 / Scenario 17) and marked Scenario 15 superseded, several docs still</w:t>
      </w:r>
      <w:r>
        <w:t xml:space="preserve"> </w:t>
      </w:r>
      <w:r>
        <w:rPr>
          <w:bCs/>
          <w:b/>
        </w:rPr>
        <w:t xml:space="preserve">actively computed HC-6 / HC-7 with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dr_ratio_max = 0.40</w:t>
      </w:r>
      <w:r>
        <w:t xml:space="preserve"> </w:t>
      </w:r>
      <w:r>
        <w:t xml:space="preserve">— the exact model the calc ref says must NOT be used. This was an internal inconsistency, now resolved by retiring the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model everywhere it was still a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formula and converting to max-not-sum plus the configurable DR bootstrap target (DR-007).</w:t>
      </w:r>
    </w:p>
    <w:p>
      <w:pPr>
        <w:pStyle w:val="BodyText"/>
      </w:pPr>
      <w:r>
        <w:rPr>
          <w:bCs/>
          <w:b/>
        </w:rPr>
        <w:t xml:space="preserve">Files converted: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Reference-Material/reference/acrme_hard_constraints_reference.md</w:t>
      </w:r>
      <w:r>
        <w:t xml:space="preserve"> </w:t>
      </w:r>
      <w:r>
        <w:t xml:space="preserve">— HC-6 (per-customer DR demand →</w:t>
      </w:r>
      <w:r>
        <w:t xml:space="preserve"> </w:t>
      </w:r>
      <w:r>
        <w:rPr>
          <w:rStyle w:val="VerbatimChar"/>
        </w:rPr>
        <w:t xml:space="preserve">dr_bootstrap_qty</w:t>
      </w:r>
      <w:r>
        <w:t xml:space="preserve">, DR-007), HC-7 DR floor (</w:t>
      </w:r>
      <w:r>
        <w:rPr>
          <w:rStyle w:val="VerbatimChar"/>
        </w:rPr>
        <w:t xml:space="preserve">DR_Floor_vCPU(R) = Destination_DR_Requirement(R) × 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Destination_DR_Requirement(R) = MAX(source portions)</w:t>
      </w:r>
      <w:r>
        <w:t xml:space="preserve">), POC example reframed, policy JSON + constants table (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marked ❌ Retired).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Reference-Material/reference/acrme_calculation_logic_reference.md</w:t>
      </w:r>
      <w:r>
        <w:t xml:space="preserve"> </w:t>
      </w:r>
      <w:r>
        <w:t xml:space="preserve">— fixed internal inconsistency in</w:t>
      </w:r>
      <w:r>
        <w:t xml:space="preserve"> </w:t>
      </w:r>
      <w:r>
        <w:rPr>
          <w:rStyle w:val="VerbatimChar"/>
        </w:rPr>
        <w:t xml:space="preserve">coverage_ratio</w:t>
      </w:r>
      <w:r>
        <w:t xml:space="preserve"> </w:t>
      </w:r>
      <w:r>
        <w:t xml:space="preserve">denominator (was</w:t>
      </w:r>
      <w:r>
        <w:t xml:space="preserve"> </w:t>
      </w:r>
      <w:r>
        <w:rPr>
          <w:rStyle w:val="VerbatimChar"/>
        </w:rPr>
        <w:t xml:space="preserve">Σ potential_dr_demand</w:t>
      </w:r>
      <w:r>
        <w:t xml:space="preserve">, now</w:t>
      </w:r>
      <w:r>
        <w:t xml:space="preserve"> </w:t>
      </w:r>
      <w:r>
        <w:rPr>
          <w:rStyle w:val="VerbatimChar"/>
        </w:rPr>
        <w:t xml:space="preserve">Destination_DR_Requirement = MAX(...)</w:t>
      </w:r>
      <w:r>
        <w:t xml:space="preserve">, matching line ~465); Scenario 15 reframed</w:t>
      </w:r>
      <w:r>
        <w:t xml:space="preserve"> </w:t>
      </w:r>
      <w:r>
        <w:rPr>
          <w:bCs/>
          <w:b/>
        </w:rPr>
        <w:t xml:space="preserve">Retired (historical rationale only)</w:t>
      </w:r>
      <w:r>
        <w:t xml:space="preserve">; clarified the C-11 SUM override sums actual source portions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reintroduce</w:t>
      </w:r>
      <w:r>
        <w:t xml:space="preserve"> </w:t>
      </w:r>
      <w:r>
        <w:rPr>
          <w:rStyle w:val="VerbatimChar"/>
        </w:rPr>
        <w:t xml:space="preserve">dr_ratio</w:t>
      </w:r>
      <w:r>
        <w:t xml:space="preserve">; summary/disambiguation tables → Retired.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Architecture/adr/acrme_adr_007_crg_deployment_model.md</w:t>
      </w:r>
      <w:r>
        <w:t xml:space="preserve"> </w:t>
      </w:r>
      <w:r>
        <w:t xml:space="preserve">— Appendix B HC-6/HC-7 formulas converted to bootstrap + max-not-sum.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Requirements/acrme_complete_requirements_reference.md</w:t>
      </w:r>
      <w:r>
        <w:t xml:space="preserve"> </w:t>
      </w:r>
      <w:r>
        <w:t xml:space="preserve">— FR-5.6 traceability note updated to max-not-sum floor + configurable bootstrap.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Design/acrme_technical_design_document.md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Reference-Material/reference/ACRME_Scoring_Weights_Explained.md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Reference-Material/reference/acrme_plain_english_walkthrough.md</w:t>
      </w:r>
      <w:r>
        <w:t xml:space="preserve">, and calc ref PS_DR — the scoring δ term’s normalization constant renamed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dr_coverage_target</w:t>
      </w:r>
      <w:r>
        <w:t xml:space="preserve"> </w:t>
      </w:r>
      <w:r>
        <w:t xml:space="preserve">and annotated as a</w:t>
      </w:r>
      <w:r>
        <w:t xml:space="preserve"> </w:t>
      </w:r>
      <w:r>
        <w:rPr>
          <w:bCs/>
          <w:b/>
        </w:rPr>
        <w:t xml:space="preserve">scoring-only</w:t>
      </w:r>
      <w:r>
        <w:t xml:space="preserve"> </w:t>
      </w:r>
      <w:r>
        <w:t xml:space="preserve">reference (its</w:t>
      </w:r>
      <w:r>
        <w:t xml:space="preserve"> </w:t>
      </w:r>
      <w:r>
        <w:rPr>
          <w:rStyle w:val="VerbatimChar"/>
        </w:rPr>
        <w:t xml:space="preserve">coverage_ratio</w:t>
      </w:r>
      <w:r>
        <w:t xml:space="preserve"> </w:t>
      </w:r>
      <w:r>
        <w:t xml:space="preserve">uses the max-not-sum denominator), NOT the retired sizing ratio.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POC-Test-Scripts/acrme_poc_workbook_v2_4.md</w:t>
      </w:r>
      <w:r>
        <w:t xml:space="preserve"> </w:t>
      </w:r>
      <w:r>
        <w:t xml:space="preserve">— assumption A-09 (</w:t>
      </w:r>
      <w:r>
        <w:t xml:space="preserve">“</w:t>
      </w:r>
      <w:r>
        <w:t xml:space="preserve">30–40% baseline is sufficient</w:t>
      </w:r>
      <w:r>
        <w:t xml:space="preserve">”</w:t>
      </w:r>
      <w:r>
        <w:t xml:space="preserve">) marked</w:t>
      </w:r>
      <w:r>
        <w:t xml:space="preserve"> </w:t>
      </w:r>
      <w:r>
        <w:rPr>
          <w:bCs/>
          <w:b/>
        </w:rPr>
        <w:t xml:space="preserve">RETIRED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Preserved (historical rationale, intentionally not removed):</w:t>
      </w:r>
      <w:r>
        <w:t xml:space="preserve"> </w:t>
      </w:r>
      <w:r>
        <w:t xml:space="preserve">the $1.5M–$5M/year idle-cost justification (Scenario 15, ADR-002/003/005, baseline Appendix D), ENV-005</w:t>
      </w:r>
      <w:r>
        <w:t xml:space="preserve"> </w:t>
      </w:r>
      <w:r>
        <w:t xml:space="preserve">“</w:t>
      </w:r>
      <w:r>
        <w:t xml:space="preserve">must NOT default to fixed 30–40%</w:t>
      </w:r>
      <w:r>
        <w:t xml:space="preserve">”</w:t>
      </w:r>
      <w:r>
        <w:t xml:space="preserve">, and C-1’s ratio-evolution history.</w:t>
      </w:r>
      <w:r>
        <w:t xml:space="preserve"> </w:t>
      </w:r>
      <w:r>
        <w:rPr>
          <w:bCs/>
          <w:b/>
        </w:rPr>
        <w:t xml:space="preserve">Out of scope: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documents (historical snapshots) retain the old fixed-ratio formulas by design.</w:t>
      </w:r>
    </w:p>
    <w:p>
      <w:pPr>
        <w:pStyle w:val="BodyText"/>
      </w:pPr>
      <w:r>
        <w:rPr>
          <w:bCs/>
          <w:b/>
        </w:rPr>
        <w:t xml:space="preserve">No conversion needed (already correct):</w:t>
      </w:r>
      <w:r>
        <w:t xml:space="preserve"> </w:t>
      </w:r>
      <w:r>
        <w:t xml:space="preserve">FDD §4.5, ADR-002/003/005, comprehensive walkthrough, code glossary C-1, and the baseline itself — all already state max-not-sum / configurable bootstrap and reject the fixed ratio.</w:t>
      </w:r>
    </w:p>
    <w:p>
      <w:r>
        <w:pict>
          <v:rect style="width:0;height:1.5pt" o:hralign="center" o:hrstd="t" o:hr="t"/>
        </w:pict>
      </w:r>
    </w:p>
    <w:bookmarkEnd w:id="22"/>
    <w:bookmarkStart w:id="23" w:name="X5d3064559ddf095171a5ceba913ec7b26116cab"/>
    <w:p>
      <w:pPr>
        <w:pStyle w:val="Heading2"/>
      </w:pPr>
      <w:r>
        <w:t xml:space="preserve">Items reviewed and confirmed CONSISTENT (no action)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Formulas A.1–A.9</w:t>
      </w:r>
      <w:r>
        <w:t xml:space="preserve"> </w:t>
      </w:r>
      <w:r>
        <w:t xml:space="preserve">(baseline Appendix A) match the calc-logic reference — including A.6 DR destination sizing =</w:t>
      </w:r>
      <w:r>
        <w:t xml:space="preserve"> </w:t>
      </w:r>
      <w:r>
        <w:rPr>
          <w:bCs/>
          <w:b/>
        </w:rPr>
        <w:t xml:space="preserve">MAX not SUM</w:t>
      </w:r>
      <w:r>
        <w:t xml:space="preserve"> </w:t>
      </w:r>
      <w:r>
        <w:t xml:space="preserve">over sources (DR-017) and A.9 even-zone share = 1/zone_count.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Scoring weights</w:t>
      </w:r>
      <w:r>
        <w:t xml:space="preserve"> </w:t>
      </w:r>
      <w:r>
        <w:t xml:space="preserve">α=0.30, β=0.20, γ=0.25, δ=0.15, ε=0.10 (sum 1.0) — consistent wherever cited (marked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in the calc ref, which is correct; the baseline does not fix them numerically).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Growth buffers</w:t>
      </w:r>
      <w:r>
        <w:t xml:space="preserve"> </w:t>
      </w:r>
      <w:r>
        <w:t xml:space="preserve">prod/nonprod = 0.20, emergency transfer = 0.30;</w:t>
      </w:r>
      <w:r>
        <w:t xml:space="preserve"> </w:t>
      </w:r>
      <w:r>
        <w:rPr>
          <w:bCs/>
          <w:b/>
        </w:rPr>
        <w:t xml:space="preserve">auto-increase thresholds</w:t>
      </w:r>
      <w:r>
        <w:t xml:space="preserve"> </w:t>
      </w:r>
      <w:r>
        <w:t xml:space="preserve">dr=0.35, prod=0.20, nonprod=0.20; debounce 30 min — consistent.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 model</w:t>
      </w:r>
      <w:r>
        <w:t xml:space="preserve"> </w:t>
      </w:r>
      <w:r>
        <w:t xml:space="preserve">(US 3-region; EU/AU/APAC 2-region co-located; Middle East cross-geo) — consistent across ADRs, FDD, TDD, POC, backlog.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ADRs</w:t>
      </w:r>
      <w:r>
        <w:t xml:space="preserve"> </w:t>
      </w:r>
      <w:r>
        <w:t xml:space="preserve">— no inconsistencies. ADR-007 is intentionally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(pending POC-001/006, DEP-001); its §15 note that CAP-013 wording says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while Azure’s hard limit is exactly 100 is a documented wording nit, not a contradiction.</w:t>
      </w:r>
    </w:p>
    <w:bookmarkEnd w:id="23"/>
    <w:bookmarkStart w:id="24" w:name="X20ec131f7d3ed5a85aaf5205debc433d6c622cc"/>
    <w:p>
      <w:pPr>
        <w:pStyle w:val="Heading2"/>
      </w:pPr>
      <w:r>
        <w:t xml:space="preserve">Known open design gaps (not inconsistencies — noted for awareness)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total_customers</w:t>
      </w:r>
      <w:r>
        <w:rPr>
          <w:bCs/>
          <w:b/>
        </w:rPr>
        <w:t xml:space="preserve"> </w:t>
      </w:r>
      <w:r>
        <w:rPr>
          <w:bCs/>
          <w:b/>
        </w:rPr>
        <w:t xml:space="preserve">denominator</w:t>
      </w:r>
      <w:r>
        <w:t xml:space="preserve"> </w:t>
      </w:r>
      <w:r>
        <w:t xml:space="preserve">in the γ (fairness) term is not defined in the baseline. Already captured as an OPEN ISSUE in</w:t>
      </w:r>
      <w:r>
        <w:t xml:space="preserve"> </w:t>
      </w:r>
      <w:r>
        <w:rPr>
          <w:rStyle w:val="VerbatimChar"/>
        </w:rPr>
        <w:t xml:space="preserve">Reference-Material/reference/acrme_calculation_logic_comprehensive_walkthrough.md</w:t>
      </w:r>
      <w:r>
        <w:t xml:space="preserve"> </w:t>
      </w:r>
      <w:r>
        <w:t xml:space="preserve">(prior commit) — left as-is.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PS_NonProd design-of-record</w:t>
      </w:r>
      <w:r>
        <w:t xml:space="preserve"> </w:t>
      </w:r>
      <w:r>
        <w:t xml:space="preserve">intentionally combines α and δ signal (0.45); flagged in the PRR with a corrected pilot variant — intentional, not an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Scenario 15</w:t>
      </w:r>
      <w:r>
        <w:t xml:space="preserve"> </w:t>
      </w:r>
      <w:r>
        <w:t xml:space="preserve">(fixed</w:t>
      </w:r>
      <w:r>
        <w:t xml:space="preserve"> </w:t>
      </w:r>
      <w:r>
        <w:rPr>
          <w:rStyle w:val="VerbatimChar"/>
        </w:rPr>
        <w:t xml:space="preserve">dr_ratio</w:t>
      </w:r>
      <w:r>
        <w:t xml:space="preserve">) is now</w:t>
      </w:r>
      <w:r>
        <w:t xml:space="preserve"> </w:t>
      </w:r>
      <w:r>
        <w:rPr>
          <w:bCs/>
          <w:b/>
        </w:rPr>
        <w:t xml:space="preserve">RETIRED</w:t>
      </w:r>
      <w:r>
        <w:t xml:space="preserve"> </w:t>
      </w:r>
      <w:r>
        <w:t xml:space="preserve">and every live HC-6/HC-7 formula has been converted to max-not-sum (see Finding 3). Historical rationale retained by design.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2026-09-18T08:39:44Z</dcterms:created>
  <dcterms:modified xsi:type="dcterms:W3CDTF">2026-09-18T08:39:44Z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