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0937e25643a6a79e1e318fcfbde4f5f174396b5"/>
    <w:p>
      <w:pPr>
        <w:pStyle w:val="Heading1"/>
      </w:pPr>
      <w:r>
        <w:t xml:space="preserve">ACRME UML Class Diagrams — Design-First Summary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Vishnuvardhan Reddy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August 22,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Design-first tool (70% complete) — identifies gaps for focused design sessions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domain model, operation tracking, service architecture, and state machines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document presents</w:t>
      </w:r>
      <w:r>
        <w:t xml:space="preserve"> </w:t>
      </w:r>
      <w:r>
        <w:rPr>
          <w:bCs/>
          <w:b/>
        </w:rPr>
        <w:t xml:space="preserve">four comprehensive UML diagram sets</w:t>
      </w:r>
      <w:r>
        <w:t xml:space="preserve"> </w:t>
      </w:r>
      <w:r>
        <w:t xml:space="preserve">for the Azure Capacity Reservation Management Engine (ACRME). These diagrams serve as a</w:t>
      </w:r>
      <w:r>
        <w:t xml:space="preserve"> </w:t>
      </w:r>
      <w:r>
        <w:rPr>
          <w:bCs/>
          <w:b/>
        </w:rPr>
        <w:t xml:space="preserve">design-first tool</w:t>
      </w:r>
      <w:r>
        <w:t xml:space="preserve"> </w:t>
      </w:r>
      <w:r>
        <w:t xml:space="preserve">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Visualize the domain model</w:t>
      </w:r>
      <w:r>
        <w:t xml:space="preserve"> </w:t>
      </w:r>
      <w:r>
        <w:t xml:space="preserve">— core entities, relationships, and business rules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Map operation tracking</w:t>
      </w:r>
      <w:r>
        <w:t xml:space="preserve"> </w:t>
      </w:r>
      <w:r>
        <w:t xml:space="preserve">— saga patterns, compensation chains, and audit trails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Define service boundaries</w:t>
      </w:r>
      <w:r>
        <w:t xml:space="preserve"> </w:t>
      </w:r>
      <w:r>
        <w:t xml:space="preserve">— interfaces, dependencies, and responsibilities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Model state machines</w:t>
      </w:r>
      <w:r>
        <w:t xml:space="preserve"> </w:t>
      </w:r>
      <w:r>
        <w:t xml:space="preserve">— engine mode, capacity increase requests, and emergency transfers</w:t>
      </w:r>
    </w:p>
    <w:p>
      <w:pPr>
        <w:pStyle w:val="FirstParagraph"/>
      </w:pPr>
      <w:r>
        <w:rPr>
          <w:bCs/>
          <w:b/>
        </w:rPr>
        <w:t xml:space="preserve">Important:</w:t>
      </w:r>
      <w:r>
        <w:t xml:space="preserve"> </w:t>
      </w:r>
      <w:r>
        <w:t xml:space="preserve">These diagrams are ~70% complete by design. They intentionally</w:t>
      </w:r>
      <w:r>
        <w:t xml:space="preserve"> </w:t>
      </w:r>
      <w:r>
        <w:rPr>
          <w:bCs/>
          <w:b/>
        </w:rPr>
        <w:t xml:space="preserve">surface gaps and unresolved design questions</w:t>
      </w:r>
      <w:r>
        <w:t xml:space="preserve"> </w:t>
      </w:r>
      <w:r>
        <w:t xml:space="preserve">that must be closed before implementation begins. Known gaps are explicitly called out in each diagram.</w:t>
      </w:r>
    </w:p>
    <w:p>
      <w:r>
        <w:pict>
          <v:rect style="width:0;height:1.5pt" o:hralign="center" o:hrstd="t" o:hr="t"/>
        </w:pict>
      </w:r>
    </w:p>
    <w:bookmarkEnd w:id="20"/>
    <w:bookmarkStart w:id="21" w:name="diagram-inventory"/>
    <w:p>
      <w:pPr>
        <w:pStyle w:val="Heading2"/>
      </w:pPr>
      <w:r>
        <w:t xml:space="preserve">Diagram Inventory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Domain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entities (CRG, Assignment, Policy, QuotaGroup, Snapshot, Increase, Transfer)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entity outlines complete; property types &amp; Cosmos schemas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 Tracking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Saga, OperationRecord, compensation chains, VM_ImpactRecord, audit 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saga pattern defined; compensation lambda structure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Layer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PlacementEngine, Reconciliation, Transfer, Quota, Sharing, Zone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 — service boundaries clear; FastAPI contracts &amp; DTOs TBD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engine_mode, IncreaseRequest lifecycle, Transfer workflow (Tier 1/2/3)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60% — high-level states defined; transition guards &amp; recovery TBD (G-15/B-3 blocker)</w:t>
            </w:r>
          </w:p>
        </w:tc>
      </w:tr>
    </w:tbl>
    <w:p>
      <w:pPr>
        <w:pStyle w:val="BodyText"/>
      </w:pPr>
      <w:r>
        <w:rPr>
          <w:bCs/>
          <w:b/>
        </w:rPr>
        <w:t xml:space="preserve">Overall Completeness:</w:t>
      </w:r>
      <w:r>
        <w:t xml:space="preserve"> </w:t>
      </w:r>
      <w:r>
        <w:t xml:space="preserve">68%</w:t>
      </w:r>
      <w:r>
        <w:br/>
      </w:r>
      <w:r>
        <w:rPr>
          <w:bCs/>
          <w:b/>
        </w:rPr>
        <w:t xml:space="preserve">Path to 100%:</w:t>
      </w:r>
      <w:r>
        <w:t xml:space="preserve"> </w:t>
      </w:r>
      <w:r>
        <w:t xml:space="preserve">Resolve design gaps (see below), define Cosmos schemas, build FastAPI contracts, close G-14/G-15 blockers</w:t>
      </w:r>
    </w:p>
    <w:p>
      <w:r>
        <w:pict>
          <v:rect style="width:0;height:1.5pt" o:hralign="center" o:hrstd="t" o:hr="t"/>
        </w:pict>
      </w:r>
    </w:p>
    <w:bookmarkEnd w:id="21"/>
    <w:bookmarkStart w:id="26" w:name="key-design-decisions-captured"/>
    <w:p>
      <w:pPr>
        <w:pStyle w:val="Heading2"/>
      </w:pPr>
      <w:r>
        <w:t xml:space="preserve">Key Design Decisions Captured</w:t>
      </w:r>
    </w:p>
    <w:bookmarkStart w:id="22" w:name="from-diagram-1-core-domain-model"/>
    <w:p>
      <w:pPr>
        <w:pStyle w:val="Heading3"/>
      </w:pPr>
      <w:r>
        <w:t xml:space="preserve">From Diagram 1 (Core Domain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Three-CRG model per region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CustomerRegionAssignment</w:t>
      </w:r>
      <w:r>
        <w:t xml:space="preserve"> </w:t>
      </w:r>
      <w:r>
        <w:t xml:space="preserve">targets exactly 3 CRGs: Prod, NonProd, DR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Two quota groups per region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QuotaGroupType.PROD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QuotaGroupType.NONPROD_DR_SHARED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Placement scoring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PlacementPolicy</w:t>
      </w:r>
      <w:r>
        <w:t xml:space="preserve"> </w:t>
      </w:r>
      <w:r>
        <w:t xml:space="preserve">contains weights (alpha, beta, gamma, delta, epsilon) for deterministic placement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Regional snapshot caching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RegionalSnapshot</w:t>
      </w:r>
      <w:r>
        <w:t xml:space="preserve"> </w:t>
      </w:r>
      <w:r>
        <w:t xml:space="preserve">with 5-min TTL, cached in Redis, persisted to Cosmos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Sharing relationships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SharingRelationship</w:t>
      </w:r>
      <w:r>
        <w:t xml:space="preserve"> </w:t>
      </w:r>
      <w:r>
        <w:t xml:space="preserve">tracks provider-consumer pairs; 100-consumer hard limit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ZoneMappingRecord</w:t>
      </w:r>
      <w:r>
        <w:t xml:space="preserve"> </w:t>
      </w:r>
      <w:r>
        <w:t xml:space="preserve">required for cross-subscription CRG sharing</w:t>
      </w:r>
    </w:p>
    <w:bookmarkEnd w:id="22"/>
    <w:bookmarkStart w:id="23" w:name="from-diagram-2-operation-tracking-model"/>
    <w:p>
      <w:pPr>
        <w:pStyle w:val="Heading3"/>
      </w:pPr>
      <w:r>
        <w:t xml:space="preserve">From Diagram 2 (Operation Tracking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Saga pattern for all mutations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OperationRecord</w:t>
      </w:r>
      <w:r>
        <w:t xml:space="preserve"> </w:t>
      </w:r>
      <w:r>
        <w:t xml:space="preserve">with compensation chain for rollback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impact audit trail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VM_ImpactRecord</w:t>
      </w:r>
      <w:r>
        <w:t xml:space="preserve"> </w:t>
      </w:r>
      <w:r>
        <w:t xml:space="preserve">created for every Tier 3 VM state change (immutable)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Incident-driven transfers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IncidentRecord</w:t>
      </w:r>
      <w:r>
        <w:t xml:space="preserve"> </w:t>
      </w:r>
      <w:r>
        <w:t xml:space="preserve">required to enable emergency capacity transfers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Append-only audit 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for every state change, approval, mutation</w:t>
      </w:r>
    </w:p>
    <w:bookmarkEnd w:id="23"/>
    <w:bookmarkStart w:id="24" w:name="from-diagram-3-service-layer-model"/>
    <w:p>
      <w:pPr>
        <w:pStyle w:val="Heading3"/>
      </w:pPr>
      <w:r>
        <w:t xml:space="preserve">From Diagram 3 (Service Layer Model):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Placement engine</w:t>
      </w:r>
      <w:r>
        <w:t xml:space="preserve"> </w:t>
      </w:r>
      <w:r>
        <w:t xml:space="preserve">— Applies HC-1..HC-7 hard constraints, then weighted scoring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Reconciliation loop</w:t>
      </w:r>
      <w:r>
        <w:t xml:space="preserve"> </w:t>
      </w:r>
      <w:r>
        <w:t xml:space="preserve">— 5-min target interval; debounce guard (30-min cooldown) for auto-increase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Capacity transfer service</w:t>
      </w:r>
      <w:r>
        <w:t xml:space="preserve"> </w:t>
      </w:r>
      <w:r>
        <w:t xml:space="preserve">— ONLY callable when</w:t>
      </w:r>
      <w:r>
        <w:t xml:space="preserve"> </w:t>
      </w:r>
      <w:r>
        <w:rPr>
          <w:rStyle w:val="VerbatimChar"/>
        </w:rPr>
        <w:t xml:space="preserve">engine_mode == DR_EVENT_ACTIVE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Quota validation</w:t>
      </w:r>
      <w:r>
        <w:t xml:space="preserve"> </w:t>
      </w:r>
      <w:r>
        <w:t xml:space="preserve">— Pre-validates every mutating operation; enforces quota group floors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VM disassociation service</w:t>
      </w:r>
      <w:r>
        <w:t xml:space="preserve"> </w:t>
      </w:r>
      <w:r>
        <w:t xml:space="preserve">— Path B (default, VM keeps running) vs. Path A (deallocate, requires restart)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Zone mapping service</w:t>
      </w:r>
      <w:r>
        <w:t xml:space="preserve"> </w:t>
      </w:r>
      <w:r>
        <w:t xml:space="preserve">— Translates logical zones for cross-subscription deployments</w:t>
      </w:r>
    </w:p>
    <w:bookmarkEnd w:id="24"/>
    <w:bookmarkStart w:id="25" w:name="from-diagram-4-state-machines"/>
    <w:p>
      <w:pPr>
        <w:pStyle w:val="Heading3"/>
      </w:pPr>
      <w:r>
        <w:t xml:space="preserve">From Diagram 4 (State Machines):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Engine mode states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STEADY_STATE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DR_EVENT_ACTIVE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FAILBACK_PENDING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MAINTENANCE_MODE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Increase request phases</w:t>
      </w:r>
      <w:r>
        <w:t xml:space="preserve"> </w:t>
      </w:r>
      <w:r>
        <w:t xml:space="preserve">— Phase A (approval-gated), Phase B (auto-approve with headroom check)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Transfer tiers</w:t>
      </w:r>
      <w:r>
        <w:t xml:space="preserve"> </w:t>
      </w:r>
      <w:r>
        <w:t xml:space="preserve">— Tier 1 (additive), Tier 2 (quota-neutral), Tier 3 (destructive, dual-approval)</w:t>
      </w:r>
      <w:r>
        <w:br/>
      </w:r>
      <w:r>
        <w:t xml:space="preserve">✅</w:t>
      </w:r>
      <w:r>
        <w:t xml:space="preserve"> </w:t>
      </w:r>
      <w:r>
        <w:rPr>
          <w:bCs/>
          <w:b/>
        </w:rPr>
        <w:t xml:space="preserve">Compensation on failure</w:t>
      </w:r>
      <w:r>
        <w:t xml:space="preserve"> </w:t>
      </w:r>
      <w:r>
        <w:t xml:space="preserve">— Every transfer state has defined compensation path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Xc038907ae0a0a4ca94a4e505855ecefaff56536"/>
    <w:p>
      <w:pPr>
        <w:pStyle w:val="Heading2"/>
      </w:pPr>
      <w:r>
        <w:t xml:space="preserve">Critical Gaps Identified (Must Resolve Before Implementation)</w:t>
      </w:r>
    </w:p>
    <w:bookmarkStart w:id="27" w:name="X6ba53fa08d0fb991c322a2b0e9f0a028e969f79"/>
    <w:p>
      <w:pPr>
        <w:pStyle w:val="Heading3"/>
      </w:pPr>
      <w:r>
        <w:t xml:space="preserve">Production Blockers (Cannot Deploy Until Resolved)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 credential model unresolved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3 VM disassociation cannot execute without write access to consumer VMs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Select UAMI vs. Service Principal; test in consumer subscription; security 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G-15 / B-3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Engine mode state machine incomplete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 implement</w:t>
            </w:r>
            <w:r>
              <w:t xml:space="preserve"> </w:t>
            </w:r>
            <w:r>
              <w:rPr>
                <w:rStyle w:val="VerbatimChar"/>
              </w:rPr>
              <w:t xml:space="preserve">engine_mode</w:t>
            </w:r>
            <w:r>
              <w:t xml:space="preserve"> </w:t>
            </w:r>
            <w:r>
              <w:t xml:space="preserve">transitions without authoritative guards, concurrency controls, recovery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session: Define transition table, operator API contracts, crash recovery, audit trail</w:t>
            </w:r>
          </w:p>
        </w:tc>
      </w:tr>
    </w:tbl>
    <w:bookmarkEnd w:id="27"/>
    <w:bookmarkStart w:id="28" w:name="X862ddf75f19075323545be3857b1245d1a345d2"/>
    <w:p>
      <w:pPr>
        <w:pStyle w:val="Heading3"/>
      </w:pPr>
      <w:r>
        <w:t xml:space="preserve">High-Priority Design Gaps (Block Full Implementation)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 Needed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Entity Schemas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Cosmos DB schemas (partition keys, indexes, TTL)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entity: define PK, partition key, secondary indexes, TTL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Compensation Lambdas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structure of compensation functions TBD (Python callable? Azure Function?)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compensation action signature, retry semantics, idempotency guarantees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FastAPI Contracts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 signatures, DTOs, auth/RBAC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each service: define request/response models, validation rules, RBAC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Placement 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HC-1..HC-7 exact predicate logic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each constraint as testable predicate; validate against POC workbook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Quota Formula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of double-counting (R-39); exact Azure Quota API semantics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against live Azure quota API; document exact formula per SKU 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Dual Approval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2/3 require dual approval; exact mechanism TBD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 integration? Inline API? Approval timeout policy?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Escalation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Tier 1 failure auto-escalate to Tier 2?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decision tree; operator-gated vs. auto-escalate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VMSS Phase 1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detect and reject VMSS for Tier 3?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type check; error message; Phase 2 roadmap</w:t>
            </w:r>
          </w:p>
        </w:tc>
      </w:tr>
    </w:tbl>
    <w:bookmarkEnd w:id="28"/>
    <w:bookmarkStart w:id="29" w:name="X8d4cce03736bd32a7ea6e59717aa0324bc5e7f0"/>
    <w:p>
      <w:pPr>
        <w:pStyle w:val="Heading3"/>
      </w:pPr>
      <w:r>
        <w:t xml:space="preserve">Medium-Priority Design Questions (Refinement Needed)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Concurrent placement race (B-7):</w:t>
      </w:r>
      <w:r>
        <w:t xml:space="preserve"> </w:t>
      </w:r>
      <w:r>
        <w:t xml:space="preserve">How to prevent two placements from selecting same region before either commits?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Snapshot staleness:</w:t>
      </w:r>
      <w:r>
        <w:t xml:space="preserve"> </w:t>
      </w:r>
      <w:r>
        <w:t xml:space="preserve">ARG can be minutes behind ARM; acceptable staleness threshold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Reconciliation drift policy:</w:t>
      </w:r>
      <w:r>
        <w:t xml:space="preserve"> </w:t>
      </w:r>
      <w:r>
        <w:t xml:space="preserve">When drift detected, auto-revert? Alert-only? Maintenance mode?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Retry strategy:</w:t>
      </w:r>
      <w:r>
        <w:t xml:space="preserve"> </w:t>
      </w:r>
      <w:r>
        <w:t xml:space="preserve">Max retries, backoff algorithm, dead-letter handling for failed operations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Compensation rollback:</w:t>
      </w:r>
      <w:r>
        <w:t xml:space="preserve"> </w:t>
      </w:r>
      <w:r>
        <w:t xml:space="preserve">If compensation itself fails, manual SOP TBD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Auto-increase Phase A → B:</w:t>
      </w:r>
      <w:r>
        <w:t xml:space="preserve"> </w:t>
      </w:r>
      <w:r>
        <w:t xml:space="preserve">Exact criteria for auto-approve vs. approval-gated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how-to-use-these-diagrams"/>
    <w:p>
      <w:pPr>
        <w:pStyle w:val="Heading2"/>
      </w:pPr>
      <w:r>
        <w:t xml:space="preserve">How to Use These Diagrams</w:t>
      </w:r>
    </w:p>
    <w:bookmarkStart w:id="31" w:name="as-a-design-review-tool"/>
    <w:p>
      <w:pPr>
        <w:pStyle w:val="Heading3"/>
      </w:pPr>
      <w:r>
        <w:t xml:space="preserve">1. As a Design Review Tool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stakeholders:</w:t>
      </w:r>
      <w:r>
        <w:t xml:space="preserve"> </w:t>
      </w:r>
      <w:r>
        <w:t xml:space="preserve">Visual overview of system architecture and data flows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architects:</w:t>
      </w:r>
      <w:r>
        <w:t xml:space="preserve"> </w:t>
      </w:r>
      <w:r>
        <w:t xml:space="preserve">Identifies relationships, dependencies, and design patterns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 engineers:</w:t>
      </w:r>
      <w:r>
        <w:t xml:space="preserve"> </w:t>
      </w:r>
      <w:r>
        <w:t xml:space="preserve">Surfaces exact questions that must be answered before coding</w:t>
      </w:r>
    </w:p>
    <w:bookmarkEnd w:id="31"/>
    <w:bookmarkStart w:id="32" w:name="as-a-gap-driven-design-session-roadmap"/>
    <w:p>
      <w:pPr>
        <w:pStyle w:val="Heading3"/>
      </w:pPr>
      <w:r>
        <w:t xml:space="preserve">2. As a Gap-Driven Design Session Roadmap</w:t>
      </w:r>
    </w:p>
    <w:p>
      <w:pPr>
        <w:pStyle w:val="FirstParagraph"/>
      </w:pPr>
      <w:r>
        <w:t xml:space="preserve">Each diagram explicitly calls out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Known Gaps</w:t>
      </w:r>
      <w:r>
        <w:rPr>
          <w:bCs/>
          <w:b/>
        </w:rPr>
        <w:t xml:space="preserve">”</w:t>
      </w:r>
      <w:r>
        <w:t xml:space="preserve"> </w:t>
      </w:r>
      <w:r>
        <w:t xml:space="preserve">sections. Use these to drive focused design sessions:</w:t>
      </w:r>
    </w:p>
    <w:p>
      <w:pPr>
        <w:pStyle w:val="BodyText"/>
      </w:pPr>
      <w:r>
        <w:rPr>
          <w:bCs/>
          <w:b/>
        </w:rPr>
        <w:t xml:space="preserve">Session 1: G-15/B-3 Engine Mode State Machine</w:t>
      </w:r>
      <w:r>
        <w:t xml:space="preserve"> </w:t>
      </w:r>
      <w:r>
        <w:t xml:space="preserve">- Input: Diagram 4, Section 4.1</w:t>
      </w:r>
      <w:r>
        <w:t xml:space="preserve"> </w:t>
      </w:r>
      <w:r>
        <w:t xml:space="preserve">- Output: Authoritative transition table, operator API contracts, concurrency controls</w:t>
      </w:r>
      <w:r>
        <w:t xml:space="preserve"> </w:t>
      </w:r>
      <w:r>
        <w:t xml:space="preserve">- Acceptance: POC-46 unblocked, B-3 resolved</w:t>
      </w:r>
    </w:p>
    <w:p>
      <w:pPr>
        <w:pStyle w:val="BodyText"/>
      </w:pPr>
      <w:r>
        <w:rPr>
          <w:bCs/>
          <w:b/>
        </w:rPr>
        <w:t xml:space="preserve">Session 2: G-14 Consumer Credential Model</w:t>
      </w:r>
      <w:r>
        <w:t xml:space="preserve"> </w:t>
      </w:r>
      <w:r>
        <w:t xml:space="preserve">- Input: Diagram 2 (VM_ImpactRecord), Diagram 3 (VMDisassociationService)</w:t>
      </w:r>
      <w:r>
        <w:t xml:space="preserve"> </w:t>
      </w:r>
      <w:r>
        <w:t xml:space="preserve">- Output: Selected credential model (UAMI vs. SP), custom RBAC role, customer consent workflow</w:t>
      </w:r>
      <w:r>
        <w:t xml:space="preserve"> </w:t>
      </w:r>
      <w:r>
        <w:t xml:space="preserve">- Acceptance: POC-50 Tier 3 steps unblocked, security approval granted</w:t>
      </w:r>
    </w:p>
    <w:p>
      <w:pPr>
        <w:pStyle w:val="BodyText"/>
      </w:pPr>
      <w:r>
        <w:rPr>
          <w:bCs/>
          <w:b/>
        </w:rPr>
        <w:t xml:space="preserve">Session 3: Entity Schemas &amp; Cosmos DB Design</w:t>
      </w:r>
      <w:r>
        <w:t xml:space="preserve"> </w:t>
      </w:r>
      <w:r>
        <w:t xml:space="preserve">- Input: Diagram 1 (all entities)</w:t>
      </w:r>
      <w:r>
        <w:t xml:space="preserve"> </w:t>
      </w:r>
      <w:r>
        <w:t xml:space="preserve">- Output: Complete Cosmos schemas with partition keys, indexes, TTL</w:t>
      </w:r>
      <w:r>
        <w:t xml:space="preserve"> </w:t>
      </w:r>
      <w:r>
        <w:t xml:space="preserve">- Acceptance: Can provision Cosmos containers; schema versioning strategy defined</w:t>
      </w:r>
    </w:p>
    <w:p>
      <w:pPr>
        <w:pStyle w:val="BodyText"/>
      </w:pPr>
      <w:r>
        <w:rPr>
          <w:bCs/>
          <w:b/>
        </w:rPr>
        <w:t xml:space="preserve">Session 4: Service Contracts &amp; FastAPI Routes</w:t>
      </w:r>
      <w:r>
        <w:t xml:space="preserve"> </w:t>
      </w:r>
      <w:r>
        <w:t xml:space="preserve">- Input: Diagram 3 (all services)</w:t>
      </w:r>
      <w:r>
        <w:t xml:space="preserve"> </w:t>
      </w:r>
      <w:r>
        <w:t xml:space="preserve">- Output: Request/response DTOs, endpoint signatures, RBAC roles</w:t>
      </w:r>
      <w:r>
        <w:t xml:space="preserve"> </w:t>
      </w:r>
      <w:r>
        <w:t xml:space="preserve">- Acceptance: OpenAPI spec generated; can build API stubs</w:t>
      </w:r>
    </w:p>
    <w:bookmarkEnd w:id="32"/>
    <w:bookmarkStart w:id="33" w:name="as-a-living-design-document"/>
    <w:p>
      <w:pPr>
        <w:pStyle w:val="Heading3"/>
      </w:pPr>
      <w:r>
        <w:t xml:space="preserve">3. As a Living Design Document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Update as decisions are made:</w:t>
      </w:r>
      <w:r>
        <w:t xml:space="preserve"> </w:t>
      </w:r>
      <w:r>
        <w:t xml:space="preserve">When G-14 resolved, update Diagram 2/3 with selected credential model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Refine property types:</w:t>
      </w:r>
      <w:r>
        <w:t xml:space="preserve"> </w:t>
      </w:r>
      <w:r>
        <w:t xml:space="preserve">As Cosmos schemas finalized, update Diagram 1 with exact types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Version control:</w:t>
      </w:r>
      <w:r>
        <w:t xml:space="preserve"> </w:t>
      </w:r>
      <w:r>
        <w:t xml:space="preserve">Commit diagrams to Git; review in PRs before implementation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relationships-to-other-artifacts"/>
    <w:p>
      <w:pPr>
        <w:pStyle w:val="Heading2"/>
      </w:pPr>
      <w:r>
        <w:t xml:space="preserve">Relationships to Other Artifacts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 Readiness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gaps G-14, G-15, B-3, B-7; UML diagrams visualize these blockers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POC Test Workbook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entities map to POC test scenarios (e.g.,</w:t>
            </w:r>
            <w:r>
              <w:t xml:space="preserve"> </w:t>
            </w:r>
            <w:r>
              <w:rPr>
                <w:rStyle w:val="VerbatimChar"/>
              </w:rPr>
              <w:t xml:space="preserve">CustomerRegionAssignment</w:t>
            </w:r>
            <w:r>
              <w:t xml:space="preserve"> </w:t>
            </w:r>
            <w:r>
              <w:t xml:space="preserve">→ POC-34..41)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Architecture Diagrams Deck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visual flows; UML provides detailed class/service structure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 Automation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UML services map to test groups (e.g.,</w:t>
            </w:r>
            <w:r>
              <w:t xml:space="preserve"> </w:t>
            </w:r>
            <w:r>
              <w:rPr>
                <w:rStyle w:val="VerbatimChar"/>
              </w:rPr>
              <w:t xml:space="preserve">SharingManagementService</w:t>
            </w:r>
            <w:r>
              <w:t xml:space="preserve"> </w:t>
            </w:r>
            <w:r>
              <w:t xml:space="preserve">→ G2 tests)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Start w:id="36" w:name="diagram-source-files"/>
    <w:p>
      <w:pPr>
        <w:pStyle w:val="Heading2"/>
      </w:pPr>
      <w:r>
        <w:t xml:space="preserve">Diagram Source Files</w:t>
      </w:r>
    </w:p>
    <w:p>
      <w:pPr>
        <w:pStyle w:val="FirstParagraph"/>
      </w:pPr>
      <w:r>
        <w:t xml:space="preserve">All diagrams are stored in</w:t>
      </w:r>
      <w:r>
        <w:t xml:space="preserve"> </w:t>
      </w:r>
      <w:r>
        <w:rPr>
          <w:rStyle w:val="VerbatimChar"/>
        </w:rPr>
        <w:t xml:space="preserve">/docs/diagrams/</w:t>
      </w:r>
      <w:r>
        <w:t xml:space="preserve"> </w:t>
      </w:r>
      <w:r>
        <w:t xml:space="preserve">as Markdown + Mermaid: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uml_01_core_domain_model.md</w:t>
      </w:r>
      <w:r>
        <w:t xml:space="preserve"> </w:t>
      </w:r>
      <w:r>
        <w:t xml:space="preserve">— Entities, relationships, enumerations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uml_02_operation_tracking_model.md</w:t>
      </w:r>
      <w:r>
        <w:t xml:space="preserve"> </w:t>
      </w:r>
      <w:r>
        <w:t xml:space="preserve">— Saga, compensation, audit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uml_03_service_layer_model.md</w:t>
      </w:r>
      <w:r>
        <w:t xml:space="preserve"> </w:t>
      </w:r>
      <w:r>
        <w:t xml:space="preserve">— Services, interfaces, dependencies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uml_04_state_machines.md</w:t>
      </w:r>
      <w:r>
        <w:t xml:space="preserve"> </w:t>
      </w:r>
      <w:r>
        <w:t xml:space="preserve">— Engine mode, IncreaseRequest, Transfer workflows</w:t>
      </w:r>
    </w:p>
    <w:p>
      <w:pPr>
        <w:pStyle w:val="FirstParagraph"/>
      </w:pPr>
      <w:r>
        <w:rPr>
          <w:bCs/>
          <w:b/>
        </w:rPr>
        <w:t xml:space="preserve">Rendering:</w:t>
      </w:r>
      <w:r>
        <w:t xml:space="preserve"> </w:t>
      </w:r>
      <w:r>
        <w:t xml:space="preserve">GitHub renders Mermaid natively in Markdown preview. For presentation, convert to PNG/SVG via</w:t>
      </w:r>
      <w:r>
        <w:t xml:space="preserve"> </w:t>
      </w:r>
      <w:r>
        <w:rPr>
          <w:rStyle w:val="VerbatimChar"/>
        </w:rPr>
        <w:t xml:space="preserve">mmdc</w:t>
      </w:r>
      <w:r>
        <w:t xml:space="preserve"> </w:t>
      </w:r>
      <w:r>
        <w:t xml:space="preserve">CLI or Mermaid Live Editor.</w:t>
      </w:r>
    </w:p>
    <w:p>
      <w:r>
        <w:pict>
          <v:rect style="width:0;height:1.5pt" o:hralign="center" o:hrstd="t" o:hr="t"/>
        </w:pict>
      </w:r>
    </w:p>
    <w:bookmarkEnd w:id="36"/>
    <w:bookmarkStart w:id="41" w:name="next-steps"/>
    <w:p>
      <w:pPr>
        <w:pStyle w:val="Heading2"/>
      </w:pPr>
      <w:r>
        <w:t xml:space="preserve">Next Steps</w:t>
      </w:r>
    </w:p>
    <w:bookmarkStart w:id="37" w:name="immediate-week-1"/>
    <w:p>
      <w:pPr>
        <w:pStyle w:val="Heading3"/>
      </w:pPr>
      <w:r>
        <w:t xml:space="preserve">Immediate (Week 1):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G-15/B-3 Design Session</w:t>
      </w:r>
      <w:r>
        <w:t xml:space="preserve"> </w:t>
      </w:r>
      <w:r>
        <w:t xml:space="preserve">— Resolve engine mode state machine (unblocks POC-46, resolves B-3)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G-14 Design Session</w:t>
      </w:r>
      <w:r>
        <w:t xml:space="preserve"> </w:t>
      </w:r>
      <w:r>
        <w:t xml:space="preserve">— Select credential model for Tier 3 VM disassociation (unblocks POC-50)</w:t>
      </w:r>
    </w:p>
    <w:bookmarkEnd w:id="37"/>
    <w:bookmarkStart w:id="38" w:name="short-term-week-2-3"/>
    <w:p>
      <w:pPr>
        <w:pStyle w:val="Heading3"/>
      </w:pPr>
      <w:r>
        <w:t xml:space="preserve">Short-Term (Week 2-3):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Entity Schema Definition</w:t>
      </w:r>
      <w:r>
        <w:t xml:space="preserve"> </w:t>
      </w:r>
      <w:r>
        <w:t xml:space="preserve">— Complete Cosmos DB schemas for all Diagram 1 entities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Service Contract Definition</w:t>
      </w:r>
      <w:r>
        <w:t xml:space="preserve"> </w:t>
      </w:r>
      <w:r>
        <w:t xml:space="preserve">— FastAPI DTOs, endpoint signatures, RBAC roles for all Diagram 3 services</w:t>
      </w:r>
    </w:p>
    <w:bookmarkEnd w:id="38"/>
    <w:bookmarkStart w:id="39" w:name="medium-term-week-4-6"/>
    <w:p>
      <w:pPr>
        <w:pStyle w:val="Heading3"/>
      </w:pPr>
      <w:r>
        <w:t xml:space="preserve">Medium-Term (Week 4-6):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Compensation Lambda Implementation</w:t>
      </w:r>
      <w:r>
        <w:t xml:space="preserve"> </w:t>
      </w:r>
      <w:r>
        <w:t xml:space="preserve">— Build saga framework with retry, idempotency, dead-letter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State Machine Implementation</w:t>
      </w:r>
      <w:r>
        <w:t xml:space="preserve"> </w:t>
      </w:r>
      <w:r>
        <w:t xml:space="preserve">— Code engine mode, IncreaseRequest, Transfer workflows with tests</w:t>
      </w:r>
    </w:p>
    <w:bookmarkEnd w:id="39"/>
    <w:bookmarkStart w:id="40" w:name="long-term-post-mvp"/>
    <w:p>
      <w:pPr>
        <w:pStyle w:val="Heading3"/>
      </w:pPr>
      <w:r>
        <w:t xml:space="preserve">Long-Term (Post-MVP):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VMSS Phase 2 Support</w:t>
      </w:r>
      <w:r>
        <w:t xml:space="preserve"> </w:t>
      </w:r>
      <w:r>
        <w:t xml:space="preserve">— Extend VM disassociation to handle VMSS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Auto-Increase Phase B</w:t>
      </w:r>
      <w:r>
        <w:t xml:space="preserve"> </w:t>
      </w:r>
      <w:r>
        <w:t xml:space="preserve">— Implement self-managed auto-approve logic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Multi-SKU Placement</w:t>
      </w:r>
      <w:r>
        <w:t xml:space="preserve"> </w:t>
      </w:r>
      <w:r>
        <w:t xml:space="preserve">— Extend placement formulas for SKU-dimensional demand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validation-checklist"/>
    <w:p>
      <w:pPr>
        <w:pStyle w:val="Heading2"/>
      </w:pPr>
      <w:r>
        <w:t xml:space="preserve">Validation Checklist</w:t>
      </w:r>
    </w:p>
    <w:p>
      <w:pPr>
        <w:pStyle w:val="FirstParagraph"/>
      </w:pPr>
      <w:r>
        <w:t xml:space="preserve">Before marking diagrams as</w:t>
      </w:r>
      <w:r>
        <w:t xml:space="preserve"> </w:t>
      </w:r>
      <w:r>
        <w:t xml:space="preserve">“</w:t>
      </w:r>
      <w:r>
        <w:t xml:space="preserve">implementation-ready</w:t>
      </w:r>
      <w:r>
        <w:t xml:space="preserve">”</w:t>
      </w:r>
      <w:r>
        <w:t xml:space="preserve"> </w:t>
      </w:r>
      <w:r>
        <w:t xml:space="preserve">(100% complete):</w:t>
      </w:r>
    </w:p>
    <w:p>
      <w:pPr>
        <w:numPr>
          <w:ilvl w:val="0"/>
          <w:numId w:val="1010"/>
        </w:numPr>
        <w:pStyle w:val="Compact"/>
      </w:pPr>
      <w:r>
        <w:t xml:space="preserve">☐ All entity properties have exact types (String, Int, DateTime, etc.)</w:t>
      </w:r>
    </w:p>
    <w:p>
      <w:pPr>
        <w:numPr>
          <w:ilvl w:val="0"/>
          <w:numId w:val="1010"/>
        </w:numPr>
        <w:pStyle w:val="Compact"/>
      </w:pPr>
      <w:r>
        <w:t xml:space="preserve">☐ All Cosmos DB partition keys, indexes, TTL policies defined</w:t>
      </w:r>
    </w:p>
    <w:p>
      <w:pPr>
        <w:numPr>
          <w:ilvl w:val="0"/>
          <w:numId w:val="1010"/>
        </w:numPr>
        <w:pStyle w:val="Compact"/>
      </w:pPr>
      <w:r>
        <w:t xml:space="preserve">☐ All service methods have FastAPI DTOs (request/response models)</w:t>
      </w:r>
    </w:p>
    <w:p>
      <w:pPr>
        <w:numPr>
          <w:ilvl w:val="0"/>
          <w:numId w:val="1010"/>
        </w:numPr>
        <w:pStyle w:val="Compact"/>
      </w:pPr>
      <w:r>
        <w:t xml:space="preserve">☐ All state machine transitions have guards, events, approver requirements</w:t>
      </w:r>
    </w:p>
    <w:p>
      <w:pPr>
        <w:numPr>
          <w:ilvl w:val="0"/>
          <w:numId w:val="1010"/>
        </w:numPr>
        <w:pStyle w:val="Compact"/>
      </w:pPr>
      <w:r>
        <w:t xml:space="preserve">☐ All compensation actions have idempotent lambda signatures</w:t>
      </w:r>
    </w:p>
    <w:p>
      <w:pPr>
        <w:numPr>
          <w:ilvl w:val="0"/>
          <w:numId w:val="1010"/>
        </w:numPr>
        <w:pStyle w:val="Compact"/>
      </w:pPr>
      <w:r>
        <w:t xml:space="preserve">☐ G-14 and G-15/B-3 production blockers resolved</w:t>
      </w:r>
    </w:p>
    <w:p>
      <w:pPr>
        <w:numPr>
          <w:ilvl w:val="0"/>
          <w:numId w:val="1010"/>
        </w:numPr>
        <w:pStyle w:val="Compact"/>
      </w:pPr>
      <w:r>
        <w:t xml:space="preserve">☐ All</w:t>
      </w:r>
      <w:r>
        <w:t xml:space="preserve"> </w:t>
      </w:r>
      <w:r>
        <w:t xml:space="preserve">“</w:t>
      </w:r>
      <w:r>
        <w:t xml:space="preserve">TBD</w:t>
      </w:r>
      <w:r>
        <w:t xml:space="preserve">”</w:t>
      </w:r>
      <w:r>
        <w:t xml:space="preserve"> </w:t>
      </w:r>
      <w:r>
        <w:t xml:space="preserve">markers in diagrams replaced with concrete decisions</w:t>
      </w:r>
    </w:p>
    <w:p>
      <w:pPr>
        <w:numPr>
          <w:ilvl w:val="0"/>
          <w:numId w:val="1010"/>
        </w:numPr>
        <w:pStyle w:val="Compact"/>
      </w:pPr>
      <w:r>
        <w:t xml:space="preserve">☐ Diagrams reviewed and approved by architecture council</w:t>
      </w:r>
    </w:p>
    <w:p>
      <w:r>
        <w:pict>
          <v:rect style="width:0;height:1.5pt" o:hralign="center" o:hrstd="t" o:hr="t"/>
        </w:pict>
      </w:r>
    </w:p>
    <w:bookmarkEnd w:id="42"/>
    <w:bookmarkStart w:id="43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These UML class diagrams provide a</w:t>
      </w:r>
      <w:r>
        <w:t xml:space="preserve"> </w:t>
      </w:r>
      <w:r>
        <w:rPr>
          <w:bCs/>
          <w:b/>
        </w:rPr>
        <w:t xml:space="preserve">solid 70% foundation</w:t>
      </w:r>
      <w:r>
        <w:t xml:space="preserve"> </w:t>
      </w:r>
      <w:r>
        <w:t xml:space="preserve">for ACRME implementation. They capture known design decisions, visualize relationships, and — most importantly —</w:t>
      </w:r>
      <w:r>
        <w:t xml:space="preserve"> </w:t>
      </w:r>
      <w:r>
        <w:rPr>
          <w:bCs/>
          <w:b/>
        </w:rPr>
        <w:t xml:space="preserve">explicitly surface the 30% of design work still required</w:t>
      </w:r>
      <w:r>
        <w:t xml:space="preserve">.</w:t>
      </w:r>
    </w:p>
    <w:p>
      <w:pPr>
        <w:pStyle w:val="BodyText"/>
      </w:pPr>
      <w:r>
        <w:t xml:space="preserve">The path to 100% is clear:</w:t>
      </w:r>
      <w:r>
        <w:t xml:space="preserve"> </w:t>
      </w:r>
      <w:r>
        <w:t xml:space="preserve">1. Resolve production blockers (G-14, G-15/B-3)</w:t>
      </w:r>
      <w:r>
        <w:t xml:space="preserve"> </w:t>
      </w:r>
      <w:r>
        <w:t xml:space="preserve">2. Define complete schemas and contracts</w:t>
      </w:r>
      <w:r>
        <w:t xml:space="preserve"> </w:t>
      </w:r>
      <w:r>
        <w:t xml:space="preserve">3. Build saga framework and state machines</w:t>
      </w:r>
      <w:r>
        <w:t xml:space="preserve"> </w:t>
      </w:r>
      <w:r>
        <w:t xml:space="preserve">4. Validate against POC workbook</w:t>
      </w:r>
    </w:p>
    <w:p>
      <w:pPr>
        <w:pStyle w:val="BodyText"/>
      </w:pPr>
      <w:r>
        <w:rPr>
          <w:bCs/>
          <w:b/>
        </w:rPr>
        <w:t xml:space="preserve">Use these diagrams as living design tools, not static documentation.</w:t>
      </w:r>
      <w:r>
        <w:t xml:space="preserve"> </w:t>
      </w:r>
      <w:r>
        <w:t xml:space="preserve">Update them as decisions are made, and they will remain the authoritative source of truth for ACRME’s domain model and architecture.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2026-08-22T01:46:12Z</dcterms:created>
  <dcterms:modified xsi:type="dcterms:W3CDTF">2026-08-22T01:46:12Z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