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Xd2574ea027b0a220e9963f5fb01075e47dd758e"/>
    <w:p>
      <w:pPr>
        <w:pStyle w:val="Heading1"/>
      </w:pPr>
      <w:r>
        <w:t xml:space="preserve">ACRME Calculation Logic — Plain English Walkthrough (v2.2)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 (v2.2).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— 2 September 2026. Authored from the ACRME Q&amp;A design walkthrough session.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 v2.2; Requirements Baseline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v2.2 Section 6, ADR-001):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54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6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6fb62483510d2d20870a825bb193a8aceb5d4a3"/>
    <w:p>
      <w:pPr>
        <w:pStyle w:val="Heading4"/>
      </w:pPr>
      <w:r>
        <w:t xml:space="preserve">Why These Specific Weights? The Building Analogy</w:t>
      </w:r>
    </w:p>
    <w:p>
      <w:pPr>
        <w:pStyle w:val="FirstParagraph"/>
      </w:pPr>
      <w:r>
        <w:t xml:space="preserve">Before diving into the technical formulas, here is the plain-English intuition behind each weight,</w:t>
      </w:r>
      <w:r>
        <w:t xml:space="preserve"> </w:t>
      </w:r>
      <w:r>
        <w:t xml:space="preserve">using the analogy of placing desks in office buildings: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 reason (building/office analogy)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0.30</w:t>
            </w:r>
            <w:r>
              <w:t xml:space="preserve"> </w:t>
            </w:r>
            <w:r>
              <w:t xml:space="preserve">(largest)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Headroom/capacity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most important factor.</w:t>
            </w:r>
            <w:r>
              <w:t xml:space="preserve"> </w:t>
            </w:r>
            <w:r>
              <w:t xml:space="preserve">If a building is nearly full, we cannot grow — and growing is inevitable. Deserves the highest priority.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=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never want all customers in the same building. If one building catches fire (fails), we want as few customers affected as possible.</w:t>
            </w:r>
            <w:r>
              <w:t xml:space="preserve"> </w:t>
            </w:r>
            <w:r>
              <w:rPr>
                <w:bCs/>
                <w:b/>
              </w:rPr>
              <w:t xml:space="preserve">Second highest.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 =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building permit (quota) must have room approved by the authority (Microsoft). Without it, no new desks can be added even if the floor 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 =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backup office already covering enough customers? A well-covered DR region is a better destination. Lower priority because DR coverage depends on the customer mix, not just space.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 = 0.10</w:t>
            </w:r>
            <w:r>
              <w:t xml:space="preserve"> </w:t>
            </w:r>
            <w:r>
              <w:t xml:space="preserve">(smallest)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desks spread across different floors of the building? If one floor has a power cut, other floors keep running. Nice-to-have, not critical.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five add to exactly 1.0 (100%).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policy defaults stored in config</w:t>
      </w:r>
      <w:r>
        <w:t xml:space="preserve"> </w:t>
      </w:r>
      <w:r>
        <w:t xml:space="preserve">— not</w:t>
      </w:r>
      <w:r>
        <w:t xml:space="preserve"> </w:t>
      </w:r>
      <w:r>
        <w:t xml:space="preserve">hardcoded. The team can adjust them if priorities change (see Section 6 for the weight-sum validation</w:t>
      </w:r>
      <w:r>
        <w:t xml:space="preserve"> </w:t>
      </w:r>
      <w:r>
        <w:t xml:space="preserve">requirement).</w:t>
      </w:r>
    </w:p>
    <w:bookmarkEnd w:id="26"/>
    <w:bookmarkStart w:id="27" w:name="Xa6c320ddc7f9c2b1e09216bc2dba00786eac5a1"/>
    <w:p>
      <w:pPr>
        <w:pStyle w:val="Heading4"/>
      </w:pPr>
      <w:r>
        <w:t xml:space="preserve">Alternative Configuration: Distribution-First Priority</w:t>
      </w:r>
    </w:p>
    <w:p>
      <w:pPr>
        <w:pStyle w:val="FirstParagraph"/>
      </w:pPr>
      <w:r>
        <w:t xml:space="preserve">The weights above reflect the</w:t>
      </w:r>
      <w:r>
        <w:t xml:space="preserve"> </w:t>
      </w:r>
      <w:r>
        <w:rPr>
          <w:bCs/>
          <w:b/>
        </w:rPr>
        <w:t xml:space="preserve">baseline default</w:t>
      </w:r>
      <w:r>
        <w:t xml:space="preserve"> </w:t>
      </w:r>
      <w:r>
        <w:t xml:space="preserve">where capacity headroom is the top priority. However,</w:t>
      </w:r>
      <w:r>
        <w:t xml:space="preserve"> </w:t>
      </w:r>
      <w:r>
        <w:t xml:space="preserve">if</w:t>
      </w:r>
      <w:r>
        <w:t xml:space="preserve"> </w:t>
      </w:r>
      <w:r>
        <w:rPr>
          <w:bCs/>
          <w:b/>
        </w:rPr>
        <w:t xml:space="preserve">minimizing blast radius</w:t>
      </w:r>
      <w:r>
        <w:t xml:space="preserve"> </w:t>
      </w:r>
      <w:r>
        <w:t xml:space="preserve">(spreading customers across regions) becomes more important than keeping</w:t>
      </w:r>
      <w:r>
        <w:t xml:space="preserve"> </w:t>
      </w:r>
      <w:r>
        <w:t xml:space="preserve">maximum headroom, the weights can be adjusted. Here are two alternative configurations:</w:t>
      </w:r>
    </w:p>
    <w:p>
      <w:pPr>
        <w:pStyle w:val="BodyText"/>
      </w:pPr>
      <w:r>
        <w:rPr>
          <w:bCs/>
          <w:b/>
        </w:rPr>
        <w:t xml:space="preserve">Option 1: Distribution-First (Conservative)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highest</w:t>
            </w:r>
            <w:r>
              <w:t xml:space="preserve"> </w:t>
            </w:r>
            <w:r>
              <w:t xml:space="preserve">— spreading customers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still important but no longer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Building analogy for distribution-first:</w:t>
      </w:r>
      <w:r>
        <w:t xml:space="preserve"> </w:t>
      </w:r>
      <w:r>
        <w:t xml:space="preserve">“</w:t>
      </w:r>
      <w:r>
        <w:t xml:space="preserve">We never want all customers in the same building. If one</w:t>
      </w:r>
      <w:r>
        <w:t xml:space="preserve"> </w:t>
      </w:r>
      <w:r>
        <w:t xml:space="preserve">building catches fire (fails), we want as few customers affected as possible.</w:t>
      </w:r>
      <w:r>
        <w:t xml:space="preserve"> </w:t>
      </w:r>
      <w:r>
        <w:rPr>
          <w:bCs/>
          <w:b/>
        </w:rPr>
        <w:t xml:space="preserve">This is now our</w:t>
      </w:r>
      <w:r>
        <w:rPr>
          <w:bCs/>
          <w:b/>
        </w:rPr>
        <w:t xml:space="preserve"> </w:t>
      </w:r>
      <w:r>
        <w:rPr>
          <w:bCs/>
          <w:b/>
        </w:rPr>
        <w:t xml:space="preserve">highest priority</w:t>
      </w:r>
      <w:r>
        <w:t xml:space="preserve"> </w:t>
      </w:r>
      <w:r>
        <w:t xml:space="preserve">— we’re willing to run buildings a bit fuller if it means better customer spread.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Option 2: Distribution-First (Aggressive)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Heavily dominant</w:t>
            </w:r>
            <w:r>
              <w:t xml:space="preserve"> </w:t>
            </w:r>
            <w:r>
              <w:t xml:space="preserve">— blast radius minimization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reduced — willing to accept tighter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Trade-offs of distribution-first weighting: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blast radius control</w:t>
      </w:r>
      <w:r>
        <w:t xml:space="preserve"> </w:t>
      </w:r>
      <w:r>
        <w:t xml:space="preserve">— regional failures affect fewer customers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More even spread</w:t>
      </w:r>
      <w:r>
        <w:t xml:space="preserve"> </w:t>
      </w:r>
      <w:r>
        <w:t xml:space="preserve">across regions — reduces hot spots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alignment with reliability/resilience goals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May place workloads in regions with less headroom</w:t>
      </w:r>
      <w:r>
        <w:t xml:space="preserve"> </w:t>
      </w:r>
      <w:r>
        <w:t xml:space="preserve">→ faster capacity exhaustion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Engine will score a crowded-but-balanced region higher</w:t>
      </w:r>
      <w:r>
        <w:t xml:space="preserve"> </w:t>
      </w:r>
      <w:r>
        <w:t xml:space="preserve">than an empty-but-unbalanced one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Could trigger more frequent quota/capacity increases</w:t>
      </w:r>
      <w:r>
        <w:t xml:space="preserve"> </w:t>
      </w:r>
      <w:r>
        <w:t xml:space="preserve">if chosen regions fill faster</w:t>
      </w:r>
    </w:p>
    <w:p>
      <w:pPr>
        <w:pStyle w:val="BodyText"/>
      </w:pPr>
      <w:r>
        <w:t xml:space="preserve">See Section 3.8 for the full Weight Tuning Guide.</w:t>
      </w:r>
    </w:p>
    <w:bookmarkEnd w:id="27"/>
    <w:bookmarkStart w:id="28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8"/>
    <w:bookmarkStart w:id="29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9"/>
    <w:bookmarkStart w:id="30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30"/>
    <w:bookmarkStart w:id="31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31"/>
    <w:bookmarkStart w:id="32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2"/>
    <w:bookmarkStart w:id="33" w:name="X624e746c44ef99a9c2c9ea529447e2716379d63"/>
    <w:p>
      <w:pPr>
        <w:pStyle w:val="Heading4"/>
      </w:pPr>
      <w:r>
        <w:t xml:space="preserve">Important: The Weights Are NOT Calculated — The Components Are</w:t>
      </w:r>
    </w:p>
    <w:p>
      <w:pPr>
        <w:pStyle w:val="FirstParagraph"/>
      </w:pPr>
      <w:r>
        <w:t xml:space="preserve">A common point of confusion:</w:t>
      </w:r>
      <w:r>
        <w:t xml:space="preserve"> </w:t>
      </w:r>
      <w:r>
        <w:rPr>
          <w:bCs/>
          <w:b/>
        </w:rPr>
        <w:t xml:space="preserve">α, β, γ, δ, ε themselves are never calculated.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fixed</w:t>
      </w:r>
      <w:r>
        <w:rPr>
          <w:bCs/>
          <w:b/>
        </w:rPr>
        <w:t xml:space="preserve"> </w:t>
      </w:r>
      <w:r>
        <w:rPr>
          <w:bCs/>
          <w:b/>
        </w:rPr>
        <w:t xml:space="preserve">policy constants</w:t>
      </w:r>
      <w:r>
        <w:t xml:space="preserve"> </w:t>
      </w:r>
      <w:r>
        <w:t xml:space="preserve">(α=0.30, β=0.20, γ=0.25, δ=0.15, ε=0.10)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and loaded at</w:t>
      </w:r>
      <w:r>
        <w:t xml:space="preserve"> </w:t>
      </w:r>
      <w:r>
        <w:t xml:space="preserve">runtime. They only change if an operator edits the policy file (see Section 3.8).</w:t>
      </w:r>
    </w:p>
    <w:p>
      <w:pPr>
        <w:pStyle w:val="BodyText"/>
      </w:pPr>
      <w:r>
        <w:t xml:space="preserve">What the engine</w:t>
      </w:r>
      <w:r>
        <w:t xml:space="preserve"> </w:t>
      </w:r>
      <w:r>
        <w:rPr>
          <w:bCs/>
          <w:b/>
        </w:rPr>
        <w:t xml:space="preserve">calculates at runtime</w:t>
      </w:r>
      <w:r>
        <w:t xml:space="preserve">, per region, is the</w:t>
      </w:r>
      <w:r>
        <w:t xml:space="preserve"> </w:t>
      </w:r>
      <w:r>
        <w:rPr>
          <w:bCs/>
          <w:b/>
        </w:rPr>
        <w:t xml:space="preserve">component value</w:t>
      </w:r>
      <w:r>
        <w:t xml:space="preserve"> </w:t>
      </w:r>
      <w:r>
        <w:t xml:space="preserve">that each weight</w:t>
      </w:r>
      <w:r>
        <w:t xml:space="preserve"> </w:t>
      </w:r>
      <w:r>
        <w:t xml:space="preserve">multiplies — the</w:t>
      </w:r>
      <w:r>
        <w:t xml:space="preserve"> </w:t>
      </w:r>
      <w:r>
        <w:rPr>
          <w:rStyle w:val="VerbatimChar"/>
        </w:rPr>
        <w:t xml:space="preserve">α_component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β_component</w:t>
      </w:r>
      <w:r>
        <w:t xml:space="preserve">, etc. Each component is a ratio derived from the</w:t>
      </w:r>
      <w:r>
        <w:t xml:space="preserve"> </w:t>
      </w:r>
      <w:r>
        <w:rPr>
          <w:bCs/>
          <w:b/>
        </w:rPr>
        <w:t xml:space="preserve">regional snapshot</w:t>
      </w:r>
      <w:r>
        <w:t xml:space="preserve"> </w:t>
      </w:r>
      <w:r>
        <w:t xml:space="preserve">(the live, versioned state of each region’s reservations, quota, customers, and</w:t>
      </w:r>
      <w:r>
        <w:t xml:space="preserve"> </w:t>
      </w:r>
      <w:r>
        <w:t xml:space="preserve">zones). The formula is always:</w:t>
      </w:r>
    </w:p>
    <w:p>
      <w:pPr>
        <w:pStyle w:val="SourceCode"/>
      </w:pPr>
      <w:r>
        <w:rPr>
          <w:rStyle w:val="VerbatimChar"/>
        </w:rPr>
        <w:t xml:space="preserve">weight (fixed policy constant)  ×  component (calculated from the snapshot)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w:r>
        <w:t xml:space="preserve">how is α calculated?</w:t>
      </w:r>
      <w:r>
        <w:t xml:space="preserve">”</w:t>
      </w:r>
      <w:r>
        <w:t xml:space="preserve"> </w:t>
      </w:r>
      <w:r>
        <w:t xml:space="preserve">really means</w:t>
      </w:r>
      <w:r>
        <w:t xml:space="preserve"> </w:t>
      </w:r>
      <w:r>
        <w:t xml:space="preserve">“</w:t>
      </w:r>
      <w:r>
        <w:t xml:space="preserve">how is the</w:t>
      </w:r>
      <w:r>
        <w:t xml:space="preserve"> </w:t>
      </w:r>
      <w:r>
        <w:rPr>
          <w:bCs/>
          <w:b/>
        </w:rPr>
        <w:t xml:space="preserve">α_component</w:t>
      </w:r>
      <w:r>
        <w:t xml:space="preserve"> </w:t>
      </w:r>
      <w:r>
        <w:t xml:space="preserve">calculated from the snapshot?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what the next two subsections show with concrete numbers.</w:t>
      </w:r>
    </w:p>
    <w:bookmarkEnd w:id="33"/>
    <w:bookmarkStart w:id="34" w:name="regional-snapshot-assumed-starter-values"/>
    <w:p>
      <w:pPr>
        <w:pStyle w:val="Heading4"/>
      </w:pPr>
      <w:r>
        <w:t xml:space="preserve">Regional Snapshot — Assumed Starter Values</w:t>
      </w:r>
    </w:p>
    <w:p>
      <w:pPr>
        <w:pStyle w:val="FirstParagraph"/>
      </w:pPr>
      <w:r>
        <w:t xml:space="preserve">The engine reads a</w:t>
      </w:r>
      <w:r>
        <w:t xml:space="preserve"> </w:t>
      </w:r>
      <w:r>
        <w:rPr>
          <w:bCs/>
          <w:b/>
        </w:rPr>
        <w:t xml:space="preserve">regional snapshot</w:t>
      </w:r>
      <w:r>
        <w:t xml:space="preserve"> </w:t>
      </w:r>
      <w:r>
        <w:t xml:space="preserve">before scoring. A snapshot is the current state of every</w:t>
      </w:r>
      <w:r>
        <w:t xml:space="preserve"> </w:t>
      </w:r>
      <w:r>
        <w:t xml:space="preserve">candidate region. The raw fields below are the inputs to the component formulas. The values here are</w:t>
      </w:r>
      <w:r>
        <w:t xml:space="preserve"> </w:t>
      </w:r>
      <w:r>
        <w:rPr>
          <w:bCs/>
          <w:b/>
        </w:rPr>
        <w:t xml:space="preserve">assumed starter values</w:t>
      </w:r>
      <w:r>
        <w:t xml:space="preserve"> </w:t>
      </w:r>
      <w:r>
        <w:t xml:space="preserve">for a worked example (US Geography,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scoring, deploying a Prod</w:t>
      </w:r>
      <w:r>
        <w:t xml:space="preserve"> </w:t>
      </w:r>
      <w:r>
        <w:t xml:space="preserve">workload). In production these come from live Azure state + the reservation store; here they are fixed</w:t>
      </w:r>
      <w:r>
        <w:t xml:space="preserve"> </w:t>
      </w:r>
      <w:r>
        <w:t xml:space="preserve">so the arithmetic is reproducible.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Snapshot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prod_crg.quantity</w:t>
            </w:r>
            <w:r>
              <w:t xml:space="preserve"> </w:t>
            </w:r>
            <w:r>
              <w:t xml:space="preserve">(reserved Prod slots)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nonprod_crg.effective_free</w:t>
            </w:r>
            <w:r>
              <w:t xml:space="preserve"> </w:t>
            </w:r>
            <w:r>
              <w:t xml:space="preserve">(free NonProd slots after DR overflow reserve)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(numerator)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prod_crg.quota_limit</w:t>
            </w:r>
            <w:r>
              <w:t xml:space="preserve"> </w:t>
            </w:r>
            <w:r>
              <w:t xml:space="preserve">(vCPU)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prod_crg.quota_headroom</w:t>
            </w:r>
            <w:r>
              <w:t xml:space="preserve"> </w:t>
            </w:r>
            <w:r>
              <w:t xml:space="preserve">(vCPU free below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(numerator)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prod_customer_count</w:t>
            </w:r>
            <w:r>
              <w:t xml:space="preserve"> </w:t>
            </w:r>
            <w:r>
              <w:t xml:space="preserve">(customers already in 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total_customers</w:t>
            </w:r>
            <w:r>
              <w:t xml:space="preserve"> </w:t>
            </w:r>
            <w:r>
              <w:t xml:space="preserve">(across all regions)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dr_crg.coverage_ratio</w:t>
            </w:r>
            <w:r>
              <w:t xml:space="preserve"> </w:t>
            </w:r>
            <w:r>
              <w:t xml:space="preserve">(DR coverage already in 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</w:t>
            </w:r>
            <w:r>
              <w:t xml:space="preserve"> </w:t>
            </w:r>
            <w:r>
              <w:t xml:space="preserve">(Availability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starter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values.</w:t>
      </w:r>
      <w:r>
        <w:t xml:space="preserve"> </w:t>
      </w:r>
      <w:r>
        <w:t xml:space="preserve">These are illustrative seed values for the walkthrough, not baseline</w:t>
      </w:r>
      <w:r>
        <w:t xml:space="preserve"> </w:t>
      </w:r>
      <w:r>
        <w:t xml:space="preserve">defaults. The only true baseline defaults are the</w:t>
      </w:r>
      <w:r>
        <w:t xml:space="preserve"> </w:t>
      </w:r>
      <w:r>
        <w:rPr>
          <w:iCs/>
          <w:i/>
        </w:rPr>
        <w:t xml:space="preserve">weights</w:t>
      </w:r>
      <w:r>
        <w:t xml:space="preserve"> </w:t>
      </w:r>
      <w:r>
        <w:t xml:space="preserve">(Section 3.3) and the</w:t>
      </w:r>
      <w:r>
        <w:t xml:space="preserve"> </w:t>
      </w:r>
      <w:r>
        <w:rPr>
          <w:iCs/>
          <w:i/>
        </w:rPr>
        <w:t xml:space="preserve">configurable</w:t>
      </w:r>
      <w:r>
        <w:rPr>
          <w:iCs/>
          <w:i/>
        </w:rPr>
        <w:t xml:space="preserve"> </w:t>
      </w:r>
      <w:r>
        <w:rPr>
          <w:iCs/>
          <w:i/>
        </w:rPr>
        <w:t xml:space="preserve">parameters</w:t>
      </w:r>
      <w:r>
        <w:t xml:space="preserve"> </w:t>
      </w:r>
      <w:r>
        <w:t xml:space="preserve">(Section 8.1). Snapshot values are always live data, never configuration.</w:t>
      </w:r>
    </w:p>
    <w:bookmarkEnd w:id="34"/>
    <w:bookmarkStart w:id="35" w:name="X66b86ce712113580f3369a89b6b0ee9140f2827"/>
    <w:p>
      <w:pPr>
        <w:pStyle w:val="Heading4"/>
      </w:pPr>
      <w:r>
        <w:t xml:space="preserve">Worked Calculation — Deriving Each Component (West US 3)</w:t>
      </w:r>
    </w:p>
    <w:p>
      <w:pPr>
        <w:pStyle w:val="FirstParagraph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formulas from Section 3.3 and the snapshot row for</w:t>
      </w:r>
      <w:r>
        <w:t xml:space="preserve"> </w:t>
      </w:r>
      <w:r>
        <w:rPr>
          <w:bCs/>
          <w:b/>
        </w:rPr>
        <w:t xml:space="preserve">West US 3</w:t>
      </w:r>
      <w:r>
        <w:t xml:space="preserve">. Every component</w:t>
      </w:r>
      <w:r>
        <w:t xml:space="preserve"> </w:t>
      </w:r>
      <w:r>
        <w:t xml:space="preserve">is clamped to [0, 1] via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α_component = Clamp(nonprod_crg.effective_free / prod_crg.quantity)</w:t>
      </w:r>
      <w:r>
        <w:br/>
      </w:r>
      <w:r>
        <w:rPr>
          <w:rStyle w:val="VerbatimChar"/>
        </w:rPr>
        <w:t xml:space="preserve">            = Clamp(130 / 200) = Clamp(0.65) = 0.65</w:t>
      </w:r>
      <w:r>
        <w:br/>
      </w:r>
      <w:r>
        <w:br/>
      </w:r>
      <w:r>
        <w:rPr>
          <w:rStyle w:val="VerbatimChar"/>
        </w:rPr>
        <w:t xml:space="preserve">β_component = Clamp(prod_crg.quota_headroom / prod_crg.quota_limit)</w:t>
      </w:r>
      <w:r>
        <w:br/>
      </w:r>
      <w:r>
        <w:rPr>
          <w:rStyle w:val="VerbatimChar"/>
        </w:rPr>
        <w:t xml:space="preserve">            = Clamp(700 / 1000) = Clamp(0.70) = 0.70</w:t>
      </w:r>
      <w:r>
        <w:br/>
      </w:r>
      <w:r>
        <w:br/>
      </w:r>
      <w:r>
        <w:rPr>
          <w:rStyle w:val="VerbatimChar"/>
        </w:rPr>
        <w:t xml:space="preserve">γ_component = Clamp(1 − prod_customer_count / total_customers)</w:t>
      </w:r>
      <w:r>
        <w:br/>
      </w:r>
      <w:r>
        <w:rPr>
          <w:rStyle w:val="VerbatimChar"/>
        </w:rPr>
        <w:t xml:space="preserve">            = Clamp(1 − 40 / 100) = Clamp(0.60) = 0.60</w:t>
      </w:r>
      <w:r>
        <w:br/>
      </w:r>
      <w:r>
        <w:br/>
      </w:r>
      <w:r>
        <w:rPr>
          <w:rStyle w:val="VerbatimChar"/>
        </w:rPr>
        <w:t xml:space="preserve">δ_component = Clamp(dr_crg.coverage_ratio)</w:t>
      </w:r>
      <w:r>
        <w:br/>
      </w:r>
      <w:r>
        <w:rPr>
          <w:rStyle w:val="VerbatimChar"/>
        </w:rPr>
        <w:t xml:space="preserve">            = Clamp(0.50) = 0.50</w:t>
      </w:r>
      <w:r>
        <w:br/>
      </w:r>
      <w:r>
        <w:br/>
      </w:r>
      <w:r>
        <w:rPr>
          <w:rStyle w:val="VerbatimChar"/>
        </w:rPr>
        <w:t xml:space="preserve">ε_component = Clamp(az_count / 3)</w:t>
      </w:r>
      <w:r>
        <w:br/>
      </w:r>
      <w:r>
        <w:rPr>
          <w:rStyle w:val="VerbatimChar"/>
        </w:rPr>
        <w:t xml:space="preserve">            = Clamp(3 / 3) = Clamp(1.0) = 1.0</w:t>
      </w:r>
    </w:p>
    <w:p>
      <w:pPr>
        <w:pStyle w:val="FirstParagraph"/>
      </w:pPr>
      <w:r>
        <w:t xml:space="preserve">Now apply the fixed weights:</w:t>
      </w:r>
    </w:p>
    <w:p>
      <w:pPr>
        <w:pStyle w:val="SourceCode"/>
      </w:pPr>
      <w:r>
        <w:rPr>
          <w:rStyle w:val="VerbatimChar"/>
        </w:rPr>
        <w:t xml:space="preserve">PS_Prod(West US 3) = 0.30 × 0.65    (α)</w:t>
      </w:r>
      <w:r>
        <w:br/>
      </w:r>
      <w:r>
        <w:rPr>
          <w:rStyle w:val="VerbatimChar"/>
        </w:rPr>
        <w:t xml:space="preserve">                   + 0.20 × 0.70    (β)</w:t>
      </w:r>
      <w:r>
        <w:br/>
      </w:r>
      <w:r>
        <w:rPr>
          <w:rStyle w:val="VerbatimChar"/>
        </w:rPr>
        <w:t xml:space="preserve">                   + 0.25 × 0.60    (γ)</w:t>
      </w:r>
      <w:r>
        <w:br/>
      </w:r>
      <w:r>
        <w:rPr>
          <w:rStyle w:val="VerbatimChar"/>
        </w:rPr>
        <w:t xml:space="preserve">                   + 0.15 × 0.50    (δ)</w:t>
      </w:r>
      <w:r>
        <w:br/>
      </w:r>
      <w:r>
        <w:rPr>
          <w:rStyle w:val="VerbatimChar"/>
        </w:rPr>
        <w:t xml:space="preserve">                   + 0.10 × 1.00    (ε)</w:t>
      </w:r>
      <w:r>
        <w:br/>
      </w:r>
      <w:r>
        <w:rPr>
          <w:rStyle w:val="VerbatimChar"/>
        </w:rPr>
        <w:t xml:space="preserve">                   = 0.195 + 0.140 + 0.150 + 0.075 + 0.100</w:t>
      </w:r>
      <w:r>
        <w:br/>
      </w:r>
      <w:r>
        <w:rPr>
          <w:rStyle w:val="VerbatimChar"/>
        </w:rPr>
        <w:t xml:space="preserve">                   = 0.66</w:t>
      </w:r>
    </w:p>
    <w:p>
      <w:pPr>
        <w:pStyle w:val="FirstParagraph"/>
      </w:pPr>
      <w:r>
        <w:t xml:space="preserve">Repeating the same derivation for the other two regions from the snapshot: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(calculated)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α_component = effective_free / prod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130/200 =</w:t>
            </w:r>
            <w:r>
              <w:t xml:space="preserve"> </w:t>
            </w:r>
            <w:r>
              <w:rPr>
                <w:bCs/>
                <w:b/>
              </w:rP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80/200 =</w:t>
            </w:r>
            <w:r>
              <w:t xml:space="preserve"> </w:t>
            </w: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40/200 =</w:t>
            </w:r>
            <w:r>
              <w:t xml:space="preserve"> </w:t>
            </w:r>
            <w:r>
              <w:rPr>
                <w:bCs/>
                <w:b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β_component = quota_headroom / quota_limit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700/1000 =</w:t>
            </w:r>
            <w:r>
              <w:t xml:space="preserve"> </w:t>
            </w:r>
            <w:r>
              <w:rPr>
                <w:bCs/>
                <w:b/>
              </w:rP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550/1000 =</w:t>
            </w:r>
            <w:r>
              <w:t xml:space="preserve"> </w:t>
            </w:r>
            <w:r>
              <w:rPr>
                <w:bCs/>
                <w:b/>
              </w:rP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300/1000 =</w:t>
            </w:r>
            <w:r>
              <w:t xml:space="preserve"> </w:t>
            </w:r>
            <w:r>
              <w:rPr>
                <w:bCs/>
                <w:b/>
              </w:rP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γ_component = 1 − customers /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1−0.40 =</w:t>
            </w:r>
            <w:r>
              <w:t xml:space="preserve"> </w:t>
            </w:r>
            <w:r>
              <w:rPr>
                <w:bCs/>
                <w:b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1−0.25 =</w:t>
            </w:r>
            <w:r>
              <w:t xml:space="preserve"> </w:t>
            </w:r>
            <w:r>
              <w:rPr>
                <w:bCs/>
                <w:b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1−0.20 =</w:t>
            </w:r>
            <w:r>
              <w:t xml:space="preserve"> </w:t>
            </w:r>
            <w:r>
              <w:rPr>
                <w:bCs/>
                <w:b/>
              </w:rP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δ_component = dr coverage_ratio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ε_component = az_count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=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=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=</w:t>
            </w:r>
            <w:r>
              <w:t xml:space="preserve"> </w:t>
            </w:r>
            <w:r>
              <w:rPr>
                <w:bCs/>
                <w:b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 (weighted sum)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0.48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These are exactly the component values used in the Section 3.5 US walkthrough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applies these same numbers to pick</w:t>
      </w:r>
      <w:r>
        <w:t xml:space="preserve"> </w:t>
      </w:r>
      <w:r>
        <w:rPr>
          <w:rStyle w:val="VerbatimChar"/>
        </w:rPr>
        <w:t xml:space="preserve">argmax(PS_Prod) = West US 3</w:t>
      </w:r>
      <w:r>
        <w:t xml:space="preserve">. The snapshot above is where those</w:t>
      </w:r>
      <w:r>
        <w:t xml:space="preserve"> </w:t>
      </w:r>
      <w:r>
        <w:t xml:space="preserve">numbers come from.</w:t>
      </w:r>
    </w:p>
    <w:p>
      <w:pPr>
        <w:pStyle w:val="BodyText"/>
      </w:pPr>
      <w:r>
        <w:rPr>
          <w:bCs/>
          <w:b/>
        </w:rPr>
        <w:t xml:space="preserve">Key takeaways: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weights</w:t>
      </w:r>
      <w:r>
        <w:t xml:space="preserve"> </w:t>
      </w:r>
      <w:r>
        <w:t xml:space="preserve">(0.30, 0.20, 0.25, 0.15, 0.10) are identical for every region — they are policy.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components</w:t>
      </w:r>
      <w:r>
        <w:t xml:space="preserve"> </w:t>
      </w:r>
      <w:r>
        <w:t xml:space="preserve">differ per region — they are calculated from that region’s snapshot.</w:t>
      </w:r>
      <w:r>
        <w:t xml:space="preserve"> </w:t>
      </w:r>
      <w:r>
        <w:t xml:space="preserve">- A change in live state (e.g., West US 3 fills up, dropping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) changes only the</w:t>
      </w:r>
      <w:r>
        <w:t xml:space="preserve"> </w:t>
      </w:r>
      <w:r>
        <w:t xml:space="preserve">components, never the weights, and can flip which region wins.</w:t>
      </w:r>
    </w:p>
    <w:bookmarkEnd w:id="35"/>
    <w:bookmarkEnd w:id="36"/>
    <w:bookmarkStart w:id="37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7"/>
    <w:bookmarkStart w:id="40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8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0.66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0.48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8"/>
    <w:bookmarkStart w:id="39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9"/>
    <w:bookmarkEnd w:id="40"/>
    <w:bookmarkStart w:id="43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(PLC-010):</w:t>
      </w:r>
      <w:r>
        <w:t xml:space="preserve"> </w:t>
      </w:r>
      <w:r>
        <w:t xml:space="preserve">one region is Prod, the other is both CVAL</w:t>
      </w:r>
      <w:r>
        <w:t xml:space="preserve"> </w:t>
      </w:r>
      <w:r>
        <w:t xml:space="preserve">and DR together (co-located). CVAL and DR share the second region. This is by design, not a fallback.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41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41"/>
    <w:bookmarkStart w:id="42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42"/>
    <w:bookmarkEnd w:id="43"/>
    <w:bookmarkStart w:id="44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bookmarkEnd w:id="44"/>
    <w:bookmarkStart w:id="53" w:name="X6f42da333b8fbc1f9e4a49311293bc2e0fc02bf"/>
    <w:p>
      <w:pPr>
        <w:pStyle w:val="Heading3"/>
      </w:pPr>
      <w:r>
        <w:t xml:space="preserve">3.8 Weight Tuning Guide — How to Adjust Priorities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to adjust the five scoring weights (α, β, γ, δ, ε) to</w:t>
      </w:r>
      <w:r>
        <w:t xml:space="preserve"> </w:t>
      </w:r>
      <w:r>
        <w:t xml:space="preserve">reflect different business priorities, and what happens when you do.</w:t>
      </w:r>
    </w:p>
    <w:bookmarkStart w:id="45" w:name="the-weight-sum-constraint"/>
    <w:p>
      <w:pPr>
        <w:pStyle w:val="Heading4"/>
      </w:pPr>
      <w:r>
        <w:t xml:space="preserve">3.8.1 The Weight-Sum Constraint</w:t>
      </w:r>
    </w:p>
    <w:p>
      <w:pPr>
        <w:pStyle w:val="FirstParagraph"/>
      </w:pPr>
      <w:r>
        <w:rPr>
          <w:bCs/>
          <w:b/>
        </w:rPr>
        <w:t xml:space="preserve">CRITICAL RULE:</w:t>
      </w:r>
      <w:r>
        <w:t xml:space="preserve"> </w:t>
      </w:r>
      <w:r>
        <w:t xml:space="preserve">The five weights must</w:t>
      </w:r>
      <w:r>
        <w:t xml:space="preserve"> </w:t>
      </w:r>
      <w:r>
        <w:rPr>
          <w:bCs/>
          <w:b/>
        </w:rPr>
        <w:t xml:space="preserve">always sum to exactly 1.0</w:t>
      </w:r>
      <w:r>
        <w:t xml:space="preserve">. This is a mathematical</w:t>
      </w:r>
      <w:r>
        <w:t xml:space="preserve"> </w:t>
      </w:r>
      <w:r>
        <w:t xml:space="preserve">requirement enforced by the Config/Scope-File Service at policy load time (see Section 6).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</w:p>
    <w:p>
      <w:pPr>
        <w:pStyle w:val="FirstParagraph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- When weights sum to 1.0, placement scores range from 0.0 (worst) to 1.0 (best)</w:t>
      </w:r>
      <w:r>
        <w:t xml:space="preserve"> </w:t>
      </w:r>
      <w:r>
        <w:t xml:space="preserve">- Scores are directly comparable across all regions</w:t>
      </w:r>
      <w:r>
        <w:t xml:space="preserve"> </w:t>
      </w:r>
      <w:r>
        <w:t xml:space="preserve">- Each weight represents its</w:t>
      </w:r>
      <w:r>
        <w:t xml:space="preserve"> </w:t>
      </w:r>
      <w:r>
        <w:rPr>
          <w:bCs/>
          <w:b/>
        </w:rPr>
        <w:t xml:space="preserve">exact contribution</w:t>
      </w:r>
      <w:r>
        <w:t xml:space="preserve"> </w:t>
      </w:r>
      <w:r>
        <w:t xml:space="preserve">to the final score</w:t>
      </w:r>
      <w:r>
        <w:t xml:space="preserve"> </w:t>
      </w:r>
      <w:r>
        <w:t xml:space="preserve">- Validation tolerance: ±0.001 (to handle IEEE 754 floating-point rounding)</w:t>
      </w:r>
    </w:p>
    <w:p>
      <w:pPr>
        <w:pStyle w:val="BodyText"/>
      </w:pPr>
      <w:r>
        <w:rPr>
          <w:bCs/>
          <w:b/>
        </w:rPr>
        <w:t xml:space="preserve">If weights don’t sum to 1.0, the policy is 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raised.</w:t>
      </w:r>
    </w:p>
    <w:bookmarkEnd w:id="45"/>
    <w:bookmarkStart w:id="46" w:name="what-each-weight-controls"/>
    <w:p>
      <w:pPr>
        <w:pStyle w:val="Heading4"/>
      </w:pPr>
      <w:r>
        <w:t xml:space="preserve">3.8.2 What Each Weight Controls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decrease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is frequent; deployments are large; running out of capacity is costly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 is more important than headroom; willing to run regions fuller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quota increases are slow; hitting quota limits blocks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is abundant; rarely hit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minimization is critical; want even customer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spots are acceptable; concentration is not a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is a top-tier SLA/compliance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is lower priority; willing to accept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Zone-level failures are common; zone spread is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Single-zone is acceptable; zones are equally reliable</w:t>
            </w:r>
          </w:p>
        </w:tc>
      </w:tr>
    </w:tbl>
    <w:bookmarkEnd w:id="46"/>
    <w:bookmarkStart w:id="47" w:name="common-tuning-scenarios"/>
    <w:p>
      <w:pPr>
        <w:pStyle w:val="Heading4"/>
      </w:pPr>
      <w:r>
        <w:t xml:space="preserve">3.8.3 Common Tuning Scenarios</w:t>
      </w:r>
    </w:p>
    <w:p>
      <w:pPr>
        <w:pStyle w:val="FirstParagraph"/>
      </w:pPr>
      <w:r>
        <w:rPr>
          <w:bCs/>
          <w:b/>
        </w:rPr>
        <w:t xml:space="preserve">Scenario A: Headroom-First (Baseline Default)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Growth is inevitable and unpredictable. Never run out of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capacity headroom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want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quota is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DR is important but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Your workload grows rapidly, deployments are large, and running out of capacity</w:t>
      </w:r>
      <w:r>
        <w:t xml:space="preserve"> </w:t>
      </w:r>
      <w:r>
        <w:t xml:space="preserve">would block business-critical launches.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B: Distribution-First (Blast Radius Control)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Minimize blast radius. Spread customers evenly even if it means tighter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customer spread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some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Reliability/resilience is the top goal, and you want to minimize the number of</w:t>
      </w:r>
      <w:r>
        <w:t xml:space="preserve"> </w:t>
      </w:r>
      <w:r>
        <w:t xml:space="preserve">customers affected by a single regional failure — even if it means placing workloads in fuller regions.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C: DR-Readiness-First (Compliance-Driven)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DR coverage is a contractual/compliance SLA. DR must always be ready.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DR readiness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quota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have contractual/regulatory DR commitments (e.g., SOC 2, financial services),</w:t>
      </w:r>
      <w:r>
        <w:t xml:space="preserve"> </w:t>
      </w:r>
      <w:r>
        <w:t xml:space="preserve">and DR readiness must be continuously validated and reported.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D: Quota-Constrained Environment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Microsoft quota increases are slow. Never hit quota limits.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quota headroom is the bottleneck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capacity matters but quota blocks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lower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baseline — zones matter more 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operate in regions where Microsoft quota increases take weeks, or you have</w:t>
      </w:r>
      <w:r>
        <w:t xml:space="preserve"> </w:t>
      </w:r>
      <w:r>
        <w:t xml:space="preserve">frequent quota-limit blocks. Prioritize regions with abundant quota headroom.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E: Balanced / All-Equal (Testing/Development)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Treat all factors equally for testing or when priorities are unclear.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You’re testing the engine, experimenting with scoring, or priorities are genuinely</w:t>
      </w:r>
      <w:r>
        <w:t xml:space="preserve"> </w:t>
      </w:r>
      <w:r>
        <w:t xml:space="preserve">equal (rare in production).</w:t>
      </w:r>
    </w:p>
    <w:bookmarkEnd w:id="47"/>
    <w:bookmarkStart w:id="48" w:name="Xedce53f638a3a7925e1a8d6bf92b85562191b3d"/>
    <w:p>
      <w:pPr>
        <w:pStyle w:val="Heading4"/>
      </w:pPr>
      <w:r>
        <w:t xml:space="preserve">3.8.4 The Pie-Rule: Every Increase Requires a Decrease</w:t>
      </w:r>
    </w:p>
    <w:p>
      <w:pPr>
        <w:pStyle w:val="FirstParagraph"/>
      </w:pPr>
      <w:r>
        <w:t xml:space="preserve">Because weights must sum to 1.0,</w:t>
      </w:r>
      <w:r>
        <w:t xml:space="preserve"> </w:t>
      </w:r>
      <w:r>
        <w:rPr>
          <w:bCs/>
          <w:b/>
        </w:rPr>
        <w:t xml:space="preserve">every increase to one weight requires a decrease to one or more</w:t>
      </w:r>
      <w:r>
        <w:rPr>
          <w:bCs/>
          <w:b/>
        </w:rPr>
        <w:t xml:space="preserve"> </w:t>
      </w:r>
      <w:r>
        <w:rPr>
          <w:bCs/>
          <w:b/>
        </w:rPr>
        <w:t xml:space="preserve">others</w:t>
      </w:r>
      <w:r>
        <w:t xml:space="preserve">. Think of it as a fixed-size pie: making one slice bigger forces others to shrink.</w:t>
      </w:r>
    </w:p>
    <w:p>
      <w:pPr>
        <w:pStyle w:val="BodyText"/>
      </w:pPr>
      <w:r>
        <w:rPr>
          <w:bCs/>
          <w:b/>
        </w:rPr>
        <w:t xml:space="preserve">Example: Increasing γ (distribution) from 0.25 to 0.40</w:t>
      </w:r>
    </w:p>
    <w:p>
      <w:pPr>
        <w:pStyle w:val="BodyText"/>
      </w:pPr>
      <w:r>
        <w:t xml:space="preserve">You need to</w:t>
      </w:r>
      <w:r>
        <w:t xml:space="preserve"> </w:t>
      </w:r>
      <w:r>
        <w:rPr>
          <w:bCs/>
          <w:b/>
        </w:rPr>
        <w:t xml:space="preserve">remove 0.15</w:t>
      </w:r>
      <w:r>
        <w:t xml:space="preserve"> </w:t>
      </w:r>
      <w:r>
        <w:t xml:space="preserve">from other weights:</w:t>
      </w:r>
    </w:p>
    <w:p>
      <w:pPr>
        <w:pStyle w:val="SourceCode"/>
      </w:pPr>
      <w:r>
        <w:rPr>
          <w:rStyle w:val="VerbatimChar"/>
        </w:rPr>
        <w:t xml:space="preserve">γ: 0.25 → 0.40  (+0.15)</w:t>
      </w:r>
      <w:r>
        <w:br/>
      </w:r>
      <w:r>
        <w:rPr>
          <w:rStyle w:val="VerbatimChar"/>
        </w:rPr>
        <w:t xml:space="preserve">α: 0.30 → 0.20  (-0.10)</w:t>
      </w:r>
      <w:r>
        <w:br/>
      </w:r>
      <w:r>
        <w:rPr>
          <w:rStyle w:val="VerbatimChar"/>
        </w:rPr>
        <w:t xml:space="preserve">δ: 0.15 → 0.12  (-0.03)</w:t>
      </w:r>
      <w:r>
        <w:br/>
      </w:r>
      <w:r>
        <w:rPr>
          <w:rStyle w:val="VerbatimChar"/>
        </w:rPr>
        <w:t xml:space="preserve">ε: 0.10 → 0.08  (-0.02)</w:t>
      </w:r>
      <w:r>
        <w:br/>
      </w:r>
      <w:r>
        <w:rPr>
          <w:rStyle w:val="VerbatimChar"/>
        </w:rPr>
        <w:t xml:space="preserve">β: 0.20 → 0.20  (unchanged)</w:t>
      </w:r>
      <w:r>
        <w:br/>
      </w:r>
      <w:r>
        <w:rPr>
          <w:rStyle w:val="VerbatimChar"/>
        </w:rPr>
        <w:t xml:space="preserve">―――――――――――――――――――――――</w:t>
      </w:r>
      <w:r>
        <w:br/>
      </w:r>
      <w:r>
        <w:rPr>
          <w:rStyle w:val="VerbatimChar"/>
        </w:rPr>
        <w:t xml:space="preserve">Sum: 1.0 → 1.0  ✓</w:t>
      </w:r>
    </w:p>
    <w:p>
      <w:pPr>
        <w:pStyle w:val="FirstParagraph"/>
      </w:pPr>
      <w:r>
        <w:rPr>
          <w:bCs/>
          <w:b/>
        </w:rPr>
        <w:t xml:space="preserve">Questions to ask when tuning:</w:t>
      </w:r>
      <w:r>
        <w:t xml:space="preserve"> </w:t>
      </w:r>
      <w:r>
        <w:t xml:space="preserve">1. Which factor is</w:t>
      </w:r>
      <w:r>
        <w:t xml:space="preserve"> </w:t>
      </w:r>
      <w:r>
        <w:rPr>
          <w:bCs/>
          <w:b/>
        </w:rPr>
        <w:t xml:space="preserve">most critical</w:t>
      </w:r>
      <w:r>
        <w:t xml:space="preserve"> </w:t>
      </w:r>
      <w:r>
        <w:t xml:space="preserve">to your business right now?</w:t>
      </w:r>
      <w:r>
        <w:t xml:space="preserve"> </w:t>
      </w:r>
      <w:r>
        <w:t xml:space="preserve">2. Which factor can you</w:t>
      </w:r>
      <w:r>
        <w:t xml:space="preserve"> </w:t>
      </w:r>
      <w:r>
        <w:rPr>
          <w:bCs/>
          <w:b/>
        </w:rPr>
        <w:t xml:space="preserve">afford to de-prioritize</w:t>
      </w:r>
      <w:r>
        <w:t xml:space="preserve">?</w:t>
      </w:r>
      <w:r>
        <w:t xml:space="preserve"> </w:t>
      </w:r>
      <w:r>
        <w:t xml:space="preserve">3. What are the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of the change?</w:t>
      </w:r>
      <w:r>
        <w:t xml:space="preserve"> </w:t>
      </w:r>
      <w:r>
        <w:t xml:space="preserve">4. Can you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the new weights in a non-production scope first?</w:t>
      </w:r>
    </w:p>
    <w:bookmarkEnd w:id="48"/>
    <w:bookmarkStart w:id="49" w:name="how-to-change-weights"/>
    <w:p>
      <w:pPr>
        <w:pStyle w:val="Heading4"/>
      </w:pPr>
      <w:r>
        <w:t xml:space="preserve">3.8.5 How to Change Weights</w:t>
      </w:r>
    </w:p>
    <w:p>
      <w:pPr>
        <w:pStyle w:val="FirstParagraph"/>
      </w:pPr>
      <w:r>
        <w:t xml:space="preserve">Per the requirements baseline (C-2, ENV-005) and Technical Design Document (Section 8.2):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(not code)</w:t>
      </w:r>
    </w:p>
    <w:p>
      <w:pPr>
        <w:numPr>
          <w:ilvl w:val="1"/>
          <w:numId w:val="1005"/>
        </w:numPr>
        <w:pStyle w:val="Compact"/>
      </w:pPr>
      <w:r>
        <w:t xml:space="preserve">Weights are stored as tunable policy constants</w:t>
      </w:r>
    </w:p>
    <w:p>
      <w:pPr>
        <w:numPr>
          <w:ilvl w:val="1"/>
          <w:numId w:val="1005"/>
        </w:numPr>
        <w:pStyle w:val="Compact"/>
      </w:pPr>
      <w:r>
        <w:t xml:space="preserve">Changes apply per scope hierarchy: product/region/environment/SKU</w:t>
      </w:r>
    </w:p>
    <w:p>
      <w:pPr>
        <w:numPr>
          <w:ilvl w:val="1"/>
          <w:numId w:val="1005"/>
        </w:numPr>
        <w:pStyle w:val="Compact"/>
      </w:pPr>
      <w:r>
        <w:t xml:space="preserve">Defaults can be overridden per scope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Config/Scope-File Service validates the weight-sum at policy load time</w:t>
      </w:r>
    </w:p>
    <w:p>
      <w:pPr>
        <w:numPr>
          <w:ilvl w:val="1"/>
          <w:numId w:val="1006"/>
        </w:numPr>
        <w:pStyle w:val="Compact"/>
      </w:pPr>
      <w:r>
        <w:t xml:space="preserve">Validation gate:</w:t>
      </w:r>
      <w:r>
        <w:t xml:space="preserve"> </w:t>
      </w:r>
      <w:r>
        <w:rPr>
          <w:rStyle w:val="VerbatimChar"/>
        </w:rPr>
        <w:t xml:space="preserve">|sum - 1.0| &lt; 0.001</w:t>
      </w:r>
    </w:p>
    <w:p>
      <w:pPr>
        <w:numPr>
          <w:ilvl w:val="1"/>
          <w:numId w:val="1006"/>
        </w:numPr>
        <w:pStyle w:val="Compact"/>
      </w:pPr>
      <w:r>
        <w:t xml:space="preserve">If valid → policy is published</w:t>
      </w:r>
    </w:p>
    <w:p>
      <w:pPr>
        <w:numPr>
          <w:ilvl w:val="1"/>
          <w:numId w:val="1006"/>
        </w:numPr>
        <w:pStyle w:val="Compact"/>
      </w:pPr>
      <w:r>
        <w:t xml:space="preserve">If invalid →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raised; deployment blocked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placement decision records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rPr>
          <w:bCs/>
          <w:b/>
        </w:rPr>
        <w:t xml:space="preserve"> </w:t>
      </w:r>
      <w:r>
        <w:rPr>
          <w:bCs/>
          <w:b/>
        </w:rPr>
        <w:t xml:space="preserve">used</w:t>
      </w:r>
    </w:p>
    <w:p>
      <w:pPr>
        <w:numPr>
          <w:ilvl w:val="1"/>
          <w:numId w:val="1007"/>
        </w:numPr>
        <w:pStyle w:val="Compact"/>
      </w:pPr>
      <w:r>
        <w:t xml:space="preserve">Enables deterministic replay</w:t>
      </w:r>
    </w:p>
    <w:p>
      <w:pPr>
        <w:numPr>
          <w:ilvl w:val="1"/>
          <w:numId w:val="1007"/>
        </w:numPr>
        <w:pStyle w:val="Compact"/>
      </w:pPr>
      <w:r>
        <w:t xml:space="preserve">Provides audit trail of configuration state at decision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matrix T-WV-01..T-WV-05</w:t>
      </w:r>
      <w:r>
        <w:t xml:space="preserve"> </w:t>
      </w:r>
      <w:r>
        <w:t xml:space="preserve">validates the weight-sum gate</w:t>
      </w:r>
    </w:p>
    <w:p>
      <w:pPr>
        <w:numPr>
          <w:ilvl w:val="1"/>
          <w:numId w:val="1008"/>
        </w:numPr>
        <w:pStyle w:val="Compact"/>
      </w:pPr>
      <w:r>
        <w:t xml:space="preserve">See Calculation Logic Reference (Section on Policy weight-sum validation rule)</w:t>
      </w:r>
    </w:p>
    <w:p>
      <w:pPr>
        <w:pStyle w:val="FirstParagraph"/>
      </w:pPr>
      <w:r>
        <w:rPr>
          <w:bCs/>
          <w:b/>
        </w:rPr>
        <w:t xml:space="preserve">No code deployment is required to change weights.</w:t>
      </w:r>
      <w:r>
        <w:t xml:space="preserve"> </w:t>
      </w:r>
      <w:r>
        <w:t xml:space="preserve">Only a policy configuration update.</w:t>
      </w:r>
    </w:p>
    <w:bookmarkEnd w:id="49"/>
    <w:bookmarkStart w:id="50" w:name="monitoring-the-impact-of-weight-changes"/>
    <w:p>
      <w:pPr>
        <w:pStyle w:val="Heading4"/>
      </w:pPr>
      <w:r>
        <w:t xml:space="preserve">3.8.6 Monitoring the Impact of Weight Changes</w:t>
      </w:r>
    </w:p>
    <w:p>
      <w:pPr>
        <w:pStyle w:val="FirstParagraph"/>
      </w:pPr>
      <w:r>
        <w:t xml:space="preserve">After changing weights, monitor these metrics to validate the impact: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capacity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% full across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α decreased; lower if α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customers in any single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if γ increased; higher if γ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increase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quota requests to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β decreased; lower if β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coverage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production covered by 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δ increased; lower if δ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deployments spanning 3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ε increased; lower if ε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score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of region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 changes based on which weights dominate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Change weights</w:t>
      </w:r>
      <w:r>
        <w:t xml:space="preserve"> </w:t>
      </w:r>
      <w:r>
        <w:rPr>
          <w:bCs/>
          <w:b/>
        </w:rPr>
        <w:t xml:space="preserve">incrementally</w:t>
      </w:r>
      <w:r>
        <w:t xml:space="preserve"> </w:t>
      </w:r>
      <w:r>
        <w:t xml:space="preserve">(e.g., ±0.05 at a time) and monitor for 1–2 weeks</w:t>
      </w:r>
      <w:r>
        <w:t xml:space="preserve"> </w:t>
      </w:r>
      <w:r>
        <w:t xml:space="preserve">before making further adjustments.</w:t>
      </w:r>
    </w:p>
    <w:bookmarkEnd w:id="50"/>
    <w:bookmarkStart w:id="51" w:name="per-environment-weight-customization"/>
    <w:p>
      <w:pPr>
        <w:pStyle w:val="Heading4"/>
      </w:pPr>
      <w:r>
        <w:t xml:space="preserve">3.8.7 Per-Environment Weight Customization</w:t>
      </w:r>
    </w:p>
    <w:p>
      <w:pPr>
        <w:pStyle w:val="FirstParagraph"/>
      </w:pPr>
      <w:r>
        <w:t xml:space="preserve">Weights can be tuned</w:t>
      </w:r>
      <w:r>
        <w:t xml:space="preserve"> </w:t>
      </w:r>
      <w:r>
        <w:rPr>
          <w:bCs/>
          <w:b/>
        </w:rPr>
        <w:t xml:space="preserve">per environment type</w:t>
      </w:r>
      <w:r>
        <w:t xml:space="preserve"> </w:t>
      </w:r>
      <w:r>
        <w:t xml:space="preserve">if Prod, NonProd, and DR have different priorities:</w:t>
      </w:r>
    </w:p>
    <w:p>
      <w:pPr>
        <w:pStyle w:val="BodyText"/>
      </w:pPr>
      <w:r>
        <w:rPr>
          <w:bCs/>
          <w:b/>
        </w:rPr>
        <w:t xml:space="preserve">Example: Prod prioritizes headroom, NonProd prioritizes distribution</w:t>
      </w:r>
    </w:p>
    <w:p>
      <w:pPr>
        <w:pStyle w:val="SourceCode"/>
      </w:pPr>
      <w:r>
        <w:rPr>
          <w:rStyle w:val="VerbatimChar"/>
        </w:rPr>
        <w:t xml:space="preserve">Prod weights:</w:t>
      </w:r>
      <w:r>
        <w:br/>
      </w:r>
      <w:r>
        <w:rPr>
          <w:rStyle w:val="VerbatimChar"/>
        </w:rPr>
        <w:t xml:space="preserve">  α=0.35, β=0.20, γ=0.20, δ=0.15, ε=0.10  (headroom-first)</w:t>
      </w:r>
      <w:r>
        <w:br/>
      </w:r>
      <w:r>
        <w:br/>
      </w:r>
      <w:r>
        <w:rPr>
          <w:rStyle w:val="VerbatimChar"/>
        </w:rPr>
        <w:t xml:space="preserve">NonProd weights:</w:t>
      </w:r>
      <w:r>
        <w:br/>
      </w:r>
      <w:r>
        <w:rPr>
          <w:rStyle w:val="VerbatimChar"/>
        </w:rPr>
        <w:t xml:space="preserve">  γ=0.35, α=0.25, β=0.20, δ=0.12, ε=0.08  (distribution-first)</w:t>
      </w:r>
      <w:r>
        <w:br/>
      </w:r>
      <w:r>
        <w:br/>
      </w:r>
      <w:r>
        <w:rPr>
          <w:rStyle w:val="VerbatimChar"/>
        </w:rPr>
        <w:t xml:space="preserve">DR weights:</w:t>
      </w:r>
      <w:r>
        <w:br/>
      </w:r>
      <w:r>
        <w:rPr>
          <w:rStyle w:val="VerbatimChar"/>
        </w:rPr>
        <w:t xml:space="preserve">  δ=0.30, α=0.25, γ=0.20, β=0.15, ε=0.10  (DR-readiness-first)</w:t>
      </w:r>
    </w:p>
    <w:p>
      <w:pPr>
        <w:pStyle w:val="FirstParagraph"/>
      </w:pPr>
      <w:r>
        <w:t xml:space="preserve">This allows</w:t>
      </w:r>
      <w:r>
        <w:t xml:space="preserve"> </w:t>
      </w:r>
      <w:r>
        <w:rPr>
          <w:bCs/>
          <w:b/>
        </w:rPr>
        <w:t xml:space="preserve">different placement strategies per environment</w:t>
      </w:r>
      <w:r>
        <w:t xml:space="preserve"> </w:t>
      </w:r>
      <w:r>
        <w:t xml:space="preserve">while maintaining a single engine.</w:t>
      </w:r>
    </w:p>
    <w:bookmarkEnd w:id="51"/>
    <w:bookmarkStart w:id="52" w:name="summary-weight-tuning-checklist"/>
    <w:p>
      <w:pPr>
        <w:pStyle w:val="Heading4"/>
      </w:pPr>
      <w:r>
        <w:t xml:space="preserve">3.8.8 Summary: Weight Tuning Checklist</w:t>
      </w:r>
    </w:p>
    <w:p>
      <w:pPr>
        <w:pStyle w:val="FirstParagraph"/>
      </w:pPr>
      <w:r>
        <w:t xml:space="preserve">Before changing weights, verify: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Sum equals 1.0</w:t>
      </w:r>
      <w:r>
        <w:t xml:space="preserve"> </w:t>
      </w:r>
      <w:r>
        <w:t xml:space="preserve">(±0.001 tolerance)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Business rationale documented</w:t>
      </w:r>
      <w:r>
        <w:t xml:space="preserve"> </w:t>
      </w:r>
      <w:r>
        <w:t xml:space="preserve">— why this change, what problem it solves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Trade-offs understood</w:t>
      </w:r>
      <w:r>
        <w:t xml:space="preserve"> </w:t>
      </w:r>
      <w:r>
        <w:t xml:space="preserve">— what you’re gaining and what you’re giving up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Test scope identified</w:t>
      </w:r>
      <w:r>
        <w:t xml:space="preserve"> </w:t>
      </w:r>
      <w:r>
        <w:t xml:space="preserve">— which product/region/environment will get the new weights first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Monitoring plan in place</w:t>
      </w:r>
      <w:r>
        <w:t xml:space="preserve"> </w:t>
      </w:r>
      <w:r>
        <w:t xml:space="preserve">— how you’ll measure impact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Rollback plan defined</w:t>
      </w:r>
      <w:r>
        <w:t xml:space="preserve"> </w:t>
      </w:r>
      <w:r>
        <w:t xml:space="preserve">— how to revert if the change causes issues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Policy version recorded</w:t>
      </w:r>
      <w:r>
        <w:t xml:space="preserve"> </w:t>
      </w:r>
      <w:r>
        <w:t xml:space="preserve">— audit trail for compliance</w:t>
      </w:r>
    </w:p>
    <w:p>
      <w:pPr>
        <w:pStyle w:val="FirstParagraph"/>
      </w:pPr>
      <w:r>
        <w:rPr>
          <w:bCs/>
          <w:b/>
        </w:rPr>
        <w:t xml:space="preserve">The five weights are the engine’s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personality.</w:t>
      </w:r>
      <w:r>
        <w:rPr>
          <w:bCs/>
          <w:b/>
        </w:rPr>
        <w:t xml:space="preserve">”</w:t>
      </w:r>
      <w:r>
        <w:t xml:space="preserve"> </w:t>
      </w:r>
      <w:r>
        <w:t xml:space="preserve">Tuning them changes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the engine makes</w:t>
      </w:r>
      <w:r>
        <w:t xml:space="preserve"> </w:t>
      </w:r>
      <w:r>
        <w:t xml:space="preserve">decisions, but the decision</w:t>
      </w:r>
      <w:r>
        <w:t xml:space="preserve"> </w:t>
      </w:r>
      <w:r>
        <w:rPr>
          <w:bCs/>
          <w:b/>
        </w:rPr>
        <w:t xml:space="preserve">process</w:t>
      </w:r>
      <w:r>
        <w:t xml:space="preserve"> </w:t>
      </w:r>
      <w:r>
        <w:t xml:space="preserve">(hard constraints → scoring → ranking) remains the same.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5" w:name="domain-2-quota-management"/>
    <w:p>
      <w:pPr>
        <w:pStyle w:val="Heading2"/>
      </w:pPr>
      <w:r>
        <w:t xml:space="preserve">4. Domain 2 — Quota Management</w:t>
      </w:r>
    </w:p>
    <w:bookmarkStart w:id="55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55"/>
    <w:bookmarkStart w:id="56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56"/>
    <w:bookmarkStart w:id="57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57"/>
    <w:bookmarkStart w:id="58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58"/>
    <w:bookmarkStart w:id="59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59"/>
    <w:bookmarkStart w:id="62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60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60"/>
    <w:bookmarkStart w:id="61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61"/>
    <w:bookmarkEnd w:id="62"/>
    <w:bookmarkStart w:id="63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63"/>
    <w:bookmarkStart w:id="64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8" w:name="domain-3-capacity-management"/>
    <w:p>
      <w:pPr>
        <w:pStyle w:val="Heading2"/>
      </w:pPr>
      <w:r>
        <w:t xml:space="preserve">5. Domain 3 — Capacity Management</w:t>
      </w:r>
    </w:p>
    <w:bookmarkStart w:id="66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66"/>
    <w:bookmarkStart w:id="67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67"/>
    <w:bookmarkStart w:id="68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68"/>
    <w:bookmarkStart w:id="71" w:name="Xa42339aa577234b8b4260da5547b8e077a60aed"/>
    <w:p>
      <w:pPr>
        <w:pStyle w:val="Heading3"/>
      </w:pPr>
      <w:r>
        <w:t xml:space="preserve">5.4 Auto-Increase Thresholds — Configurable Trigger Points</w:t>
      </w:r>
    </w:p>
    <w:p>
      <w:pPr>
        <w:pStyle w:val="FirstParagraph"/>
      </w:pPr>
      <w:r>
        <w:t xml:space="preserve">Before explaining when ACRME raises capacity requests, it’s important to understand that the trigger</w:t>
      </w:r>
      <w:r>
        <w:t xml:space="preserve"> </w:t>
      </w:r>
      <w:r>
        <w:t xml:space="preserve">points are</w:t>
      </w:r>
      <w:r>
        <w:t xml:space="preserve"> </w:t>
      </w:r>
      <w:r>
        <w:rPr>
          <w:bCs/>
          <w:b/>
        </w:rPr>
        <w:t xml:space="preserve">configurable policy values</w:t>
      </w:r>
      <w:r>
        <w:t xml:space="preserve">, not hardcoded constants.</w:t>
      </w:r>
    </w:p>
    <w:bookmarkStart w:id="69" w:name="X9913b7e94affeedf02a308aa26e761d807dc10b"/>
    <w:p>
      <w:pPr>
        <w:pStyle w:val="Heading4"/>
      </w:pPr>
      <w:r>
        <w:t xml:space="preserve">5.4.1 The Three Auto-Increase Threshold Parameters</w:t>
      </w:r>
    </w:p>
    <w:p>
      <w:pPr>
        <w:pStyle w:val="FirstParagraph"/>
      </w:pPr>
      <w:r>
        <w:t xml:space="preserve">ACRME uses three configurable thresholds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NonProd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DR capacity has only 35% free slots left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These represent</w:t>
      </w:r>
      <w:r>
        <w:t xml:space="preserve"> </w:t>
      </w:r>
      <w:r>
        <w:rPr>
          <w:bCs/>
          <w:b/>
        </w:rPr>
        <w:t xml:space="preserve">remaining headroom</w:t>
      </w:r>
      <w:r>
        <w:t xml:space="preserve">, not consumption. A threshold of 0.20 means</w:t>
      </w:r>
      <w:r>
        <w:t xml:space="preserve"> </w:t>
      </w:r>
      <w:r>
        <w:t xml:space="preserve">“</w:t>
      </w:r>
      <w:r>
        <w:t xml:space="preserve">trigger when only 20% headroom remains,</w:t>
      </w:r>
      <w:r>
        <w:t xml:space="preserve">”</w:t>
      </w:r>
      <w:r>
        <w:t xml:space="preserve"> </w:t>
      </w:r>
      <w:r>
        <w:t xml:space="preserve">which is the same as</w:t>
      </w:r>
      <w:r>
        <w:t xml:space="preserve"> </w:t>
      </w:r>
      <w:r>
        <w:t xml:space="preserve">“</w:t>
      </w:r>
      <w:r>
        <w:t xml:space="preserve">trigger when 80% is consumed.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they’re configurable: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Workload-specific risk tolerance</w:t>
      </w:r>
      <w:r>
        <w:t xml:space="preserve"> </w:t>
      </w:r>
      <w:r>
        <w:t xml:space="preserve">— high-growth products may want a 0.30 threshold for earlier warning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vs risk trade-off</w:t>
      </w:r>
      <w:r>
        <w:t xml:space="preserve"> </w:t>
      </w:r>
      <w:r>
        <w:t xml:space="preserve">— lower thresholds (e.g., 0.10) run fuller but increase capacity exhaustion risk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Per-environment tuning</w:t>
      </w:r>
      <w:r>
        <w:t xml:space="preserve"> </w:t>
      </w:r>
      <w:r>
        <w:t xml:space="preserve">— DR can tolerate tighter thresholds because it’s a bootstrap model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variation</w:t>
      </w:r>
      <w:r>
        <w:t xml:space="preserve"> </w:t>
      </w:r>
      <w:r>
        <w:t xml:space="preserve">— regions with slow Azure provisioning times may warrant higher thresholds</w:t>
      </w:r>
    </w:p>
    <w:p>
      <w:pPr>
        <w:pStyle w:val="BodyText"/>
      </w:pPr>
      <w:r>
        <w:rPr>
          <w:bCs/>
          <w:b/>
        </w:rPr>
        <w:t xml:space="preserve">Configurability scope:</w:t>
      </w:r>
      <w:r>
        <w:t xml:space="preserve"> </w:t>
      </w:r>
      <w:r>
        <w:t xml:space="preserve">Like all PlacementPolicy parameters, these can be overridden per</w:t>
      </w:r>
      <w:r>
        <w:t xml:space="preserve"> </w:t>
      </w:r>
      <w:r>
        <w:t xml:space="preserve">product/region/environment/SKU without code changes.</w:t>
      </w:r>
    </w:p>
    <w:bookmarkEnd w:id="69"/>
    <w:bookmarkStart w:id="70" w:name="Xcac919ca78427e9a92e4e87b803e42acb82bc09"/>
    <w:p>
      <w:pPr>
        <w:pStyle w:val="Heading4"/>
      </w:pPr>
      <w:r>
        <w:t xml:space="preserve">5.4.2 How Auto-Increase Thresholds Relate to Reconciliation Logic</w:t>
      </w:r>
    </w:p>
    <w:p>
      <w:pPr>
        <w:pStyle w:val="FirstParagraph"/>
      </w:pPr>
      <w:r>
        <w:t xml:space="preserve">The capacity reconciliation engine operates on a</w:t>
      </w:r>
      <w:r>
        <w:t xml:space="preserve"> </w:t>
      </w:r>
      <w:r>
        <w:rPr>
          <w:bCs/>
          <w:b/>
        </w:rPr>
        <w:t xml:space="preserve">continuous watch loop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Every reconciliation_interval_seconds (configurable):</w:t>
      </w:r>
      <w:r>
        <w:br/>
      </w:r>
      <w:r>
        <w:rPr>
          <w:rStyle w:val="VerbatimChar"/>
        </w:rPr>
        <w:t xml:space="preserve">  1. Read current state (allocated VMs, reserved capacity)</w:t>
      </w:r>
      <w:r>
        <w:br/>
      </w:r>
      <w:r>
        <w:rPr>
          <w:rStyle w:val="VerbatimChar"/>
        </w:rPr>
        <w:t xml:space="preserve">  2. Calculate headroom: free_slots = reserved - allocated</w:t>
      </w:r>
      <w:r>
        <w:br/>
      </w:r>
      <w:r>
        <w:rPr>
          <w:rStyle w:val="VerbatimChar"/>
        </w:rPr>
        <w:t xml:space="preserve">  3. Calculate headroom ratio: headroom_ratio = free_slots / reserved</w:t>
      </w:r>
      <w:r>
        <w:br/>
      </w:r>
      <w:r>
        <w:rPr>
          <w:rStyle w:val="VerbatimChar"/>
        </w:rPr>
        <w:t xml:space="preserve">  4. Check threshold: if headroom_ratio &lt; threshold, trigger auto-increase</w:t>
      </w:r>
      <w:r>
        <w:br/>
      </w:r>
      <w:r>
        <w:rPr>
          <w:rStyle w:val="VerbatimChar"/>
        </w:rPr>
        <w:t xml:space="preserve">  5. Apply debounce: if triggered, wait 30 min cooldown before next trigger</w:t>
      </w:r>
    </w:p>
    <w:p>
      <w:pPr>
        <w:pStyle w:val="FirstParagraph"/>
      </w:pPr>
      <w:r>
        <w:rPr>
          <w:bCs/>
          <w:b/>
        </w:rPr>
        <w:t xml:space="preserve">Example: Prod CRG with 100 reserved slots</w:t>
      </w:r>
    </w:p>
    <w:p>
      <w:pPr>
        <w:pStyle w:val="SourceCode"/>
      </w:pPr>
      <w:r>
        <w:rPr>
          <w:rStyle w:val="VerbatimChar"/>
        </w:rPr>
        <w:t xml:space="preserve">Allocated VMs: 78</w:t>
      </w:r>
      <w:r>
        <w:br/>
      </w:r>
      <w:r>
        <w:rPr>
          <w:rStyle w:val="VerbatimChar"/>
        </w:rPr>
        <w:t xml:space="preserve">Free slots: 100 - 78 = 22</w:t>
      </w:r>
      <w:r>
        <w:br/>
      </w:r>
      <w:r>
        <w:rPr>
          <w:rStyle w:val="VerbatimChar"/>
        </w:rPr>
        <w:t xml:space="preserve">Headroom ratio: 22 / 100 = 0.22 (22%)</w:t>
      </w:r>
      <w:r>
        <w:br/>
      </w:r>
      <w:r>
        <w:br/>
      </w:r>
      <w:r>
        <w:rPr>
          <w:rStyle w:val="VerbatimChar"/>
        </w:rPr>
        <w:t xml:space="preserve">Threshold check:</w:t>
      </w:r>
      <w:r>
        <w:br/>
      </w:r>
      <w:r>
        <w:rPr>
          <w:rStyle w:val="VerbatimChar"/>
        </w:rPr>
        <w:t xml:space="preserve">  prod_autoincrease_threshold = 0.20</w:t>
      </w:r>
      <w:r>
        <w:br/>
      </w:r>
      <w:r>
        <w:rPr>
          <w:rStyle w:val="VerbatimChar"/>
        </w:rPr>
        <w:t xml:space="preserve">  0.22 &gt; 0.20 → No trigger (still 2% above threshold)</w:t>
      </w:r>
      <w:r>
        <w:br/>
      </w:r>
      <w:r>
        <w:br/>
      </w:r>
      <w:r>
        <w:rPr>
          <w:rStyle w:val="VerbatimChar"/>
        </w:rPr>
        <w:t xml:space="preserve">Next cycle, allocated grows to 82:</w:t>
      </w:r>
      <w:r>
        <w:br/>
      </w:r>
      <w:r>
        <w:rPr>
          <w:rStyle w:val="VerbatimChar"/>
        </w:rPr>
        <w:t xml:space="preserve">  Free slots: 100 - 82 = 18</w:t>
      </w:r>
      <w:r>
        <w:br/>
      </w:r>
      <w:r>
        <w:rPr>
          <w:rStyle w:val="VerbatimChar"/>
        </w:rPr>
        <w:t xml:space="preserve">  Headroom ratio: 18 / 100 = 0.18 (18%)</w:t>
      </w:r>
      <w:r>
        <w:br/>
      </w:r>
      <w:r>
        <w:rPr>
          <w:rStyle w:val="VerbatimChar"/>
        </w:rPr>
        <w:t xml:space="preserve">  0.18 &lt; 0.20 → TRIGGER auto-increase request</w:t>
      </w:r>
      <w:r>
        <w:br/>
      </w:r>
      <w:r>
        <w:br/>
      </w:r>
      <w:r>
        <w:rPr>
          <w:rStyle w:val="VerbatimChar"/>
        </w:rPr>
        <w:t xml:space="preserve">Debounce: Next trigger for this (region + Prod CRG) cannot fire for 30 min</w:t>
      </w:r>
    </w:p>
    <w:p>
      <w:pPr>
        <w:pStyle w:val="FirstParagraph"/>
      </w:pPr>
      <w:r>
        <w:rPr>
          <w:bCs/>
          <w:b/>
        </w:rPr>
        <w:t xml:space="preserve">Interaction with the reconciliation floor (Section 5.2):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reconciliation floor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Allocated + Buffer</w:t>
      </w:r>
      <w:r>
        <w:t xml:space="preserve">) is 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the CRG must always reserve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auto-increase threshold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early warning</w:t>
      </w:r>
      <w:r>
        <w:t xml:space="preserve"> </w:t>
      </w:r>
      <w:r>
        <w:t xml:space="preserve">that triggers proactive expansion</w:t>
      </w:r>
      <w:r>
        <w:t xml:space="preserve"> </w:t>
      </w:r>
      <w:r>
        <w:t xml:space="preserve">- Both work together: the floor prevents deficits, the threshold prevents getting close to deficits</w:t>
      </w:r>
    </w:p>
    <w:p>
      <w:pPr>
        <w:pStyle w:val="BodyText"/>
      </w:pPr>
      <w:r>
        <w:rPr>
          <w:bCs/>
          <w:b/>
        </w:rPr>
        <w:t xml:space="preserve">Why DR has a higher threshold (0.35 vs 0.20):</w:t>
      </w:r>
    </w:p>
    <w:p>
      <w:pPr>
        <w:pStyle w:val="BodyText"/>
      </w:pPr>
      <w:r>
        <w:t xml:space="preserve">DR reservations are intentionally sized lean under the minimal-bootstrap model (ENV-005). A higher</w:t>
      </w:r>
      <w:r>
        <w:t xml:space="preserve"> </w:t>
      </w:r>
      <w:r>
        <w:t xml:space="preserve">threshold (35% remaining = 65% utilized) allows DR to run fuller before triggering an increase. This</w:t>
      </w:r>
      <w:r>
        <w:t xml:space="preserve"> </w:t>
      </w:r>
      <w:r>
        <w:t xml:space="preserve">trades slightly higher risk for lower steady-state cost, which is acceptable because:</w:t>
      </w:r>
      <w:r>
        <w:t xml:space="preserve"> </w:t>
      </w:r>
      <w:r>
        <w:t xml:space="preserve">- DR capacity is</w:t>
      </w:r>
      <w:r>
        <w:t xml:space="preserve"> </w:t>
      </w:r>
      <w:r>
        <w:rPr>
          <w:bCs/>
          <w:b/>
        </w:rPr>
        <w:t xml:space="preserve">standby/inactive</w:t>
      </w:r>
      <w:r>
        <w:t xml:space="preserve"> </w:t>
      </w:r>
      <w:r>
        <w:t xml:space="preserve">until a declared event</w:t>
      </w:r>
      <w:r>
        <w:t xml:space="preserve"> </w:t>
      </w:r>
      <w:r>
        <w:t xml:space="preserve">- During a DR event, staged acquisition (DR-006) allocates available capacity + CVAL sacrifice + pooled quota</w:t>
      </w:r>
      <w:r>
        <w:t xml:space="preserve"> </w:t>
      </w:r>
      <w:r>
        <w:t xml:space="preserve">- The 35% headroom is sufficient for control-plane bootstrap and initial recovery orchestration</w:t>
      </w:r>
    </w:p>
    <w:p>
      <w:pPr>
        <w:pStyle w:val="BodyText"/>
      </w:pPr>
      <w:r>
        <w:rPr>
          <w:bCs/>
          <w:b/>
        </w:rPr>
        <w:t xml:space="preserve">Tuning guidance: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Increase threshold (e.g., 0.20 → 0.30)</w:t>
      </w:r>
      <w:r>
        <w:t xml:space="preserve"> </w:t>
      </w:r>
      <w:r>
        <w:t xml:space="preserve">if you want</w:t>
      </w:r>
      <w:r>
        <w:t xml:space="preserve"> </w:t>
      </w:r>
      <w:r>
        <w:rPr>
          <w:bCs/>
          <w:b/>
        </w:rPr>
        <w:t xml:space="preserve">earlier warnings</w:t>
      </w:r>
      <w:r>
        <w:t xml:space="preserve"> </w:t>
      </w:r>
      <w:r>
        <w:t xml:space="preserve">and more safety margin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Decrease threshold (e.g., 0.20 → 0.15)</w:t>
      </w:r>
      <w:r>
        <w:t xml:space="preserve"> </w:t>
      </w:r>
      <w:r>
        <w:t xml:space="preserve">if you want to</w:t>
      </w:r>
      <w:r>
        <w:t xml:space="preserve"> </w:t>
      </w:r>
      <w:r>
        <w:rPr>
          <w:bCs/>
          <w:b/>
        </w:rPr>
        <w:t xml:space="preserve">run fuller</w:t>
      </w:r>
      <w:r>
        <w:t xml:space="preserve"> </w:t>
      </w:r>
      <w:r>
        <w:t xml:space="preserve">and tolerate tighter headroom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the frequency of auto-increase triggers — too frequent = threshold too low; never triggering = threshold too high</w:t>
      </w:r>
    </w:p>
    <w:p>
      <w:pPr>
        <w:pStyle w:val="BodyText"/>
      </w:pPr>
      <w:r>
        <w:t xml:space="preserve">See Section 8 for the complete Configurable Parameters Reference.</w:t>
      </w:r>
    </w:p>
    <w:bookmarkEnd w:id="70"/>
    <w:bookmarkEnd w:id="71"/>
    <w:bookmarkStart w:id="72" w:name="X69a3aabd2c0ff0fdc4760b0e75d826549b1b16a"/>
    <w:p>
      <w:pPr>
        <w:pStyle w:val="Heading3"/>
      </w:pPr>
      <w:r>
        <w:t xml:space="preserve">5.5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the configured thresholds (Section 5.4.1):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NonProd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35% of reserved DR capacity is free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72"/>
    <w:bookmarkStart w:id="73" w:name="the-forecast-formula-proactive-growth"/>
    <w:p>
      <w:pPr>
        <w:pStyle w:val="Heading3"/>
      </w:pPr>
      <w:r>
        <w:t xml:space="preserve">5.6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73"/>
    <w:bookmarkStart w:id="74" w:name="dr-sizing-why-max-not-sum-scenario-17"/>
    <w:p>
      <w:pPr>
        <w:pStyle w:val="Heading3"/>
      </w:pPr>
      <w:r>
        <w:t xml:space="preserve">5.7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74"/>
    <w:bookmarkStart w:id="75" w:name="Xb58b311a3f565675b10537ca4ba80a866e4b7c9"/>
    <w:p>
      <w:pPr>
        <w:pStyle w:val="Heading3"/>
      </w:pPr>
      <w:r>
        <w:t xml:space="preserve">5.8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75"/>
    <w:bookmarkStart w:id="76" w:name="X44d29a550540cd2ab39dc2745913c1932cf37d7"/>
    <w:p>
      <w:pPr>
        <w:pStyle w:val="Heading3"/>
      </w:pPr>
      <w:r>
        <w:t xml:space="preserve">5.9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76"/>
    <w:bookmarkStart w:id="77" w:name="standby-activation-during-dr-scenario-18"/>
    <w:p>
      <w:pPr>
        <w:pStyle w:val="Heading3"/>
      </w:pPr>
      <w:r>
        <w:t xml:space="preserve">5.10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12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12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13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13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13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13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scoring-weight-invariant"/>
    <w:p>
      <w:pPr>
        <w:pStyle w:val="Heading2"/>
      </w:pPr>
      <w:r>
        <w:t xml:space="preserve">6. Scoring Weight Invariant</w:t>
      </w:r>
    </w:p>
    <w:bookmarkStart w:id="79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79"/>
    <w:bookmarkStart w:id="80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80"/>
    <w:bookmarkStart w:id="81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81"/>
    <w:bookmarkStart w:id="82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82"/>
    <w:bookmarkStart w:id="83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Section 6 of the Calculation Logic Reference and Section 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16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85"/>
    <w:bookmarkStart w:id="95" w:name="quick-reference-key-numbers"/>
    <w:p>
      <w:pPr>
        <w:pStyle w:val="Heading2"/>
      </w:pPr>
      <w:r>
        <w:t xml:space="preserve">8. Quick Reference — Key Numbers</w:t>
      </w:r>
    </w:p>
    <w:bookmarkStart w:id="93" w:name="configurable-parameters-reference"/>
    <w:p>
      <w:pPr>
        <w:pStyle w:val="Heading3"/>
      </w:pPr>
      <w:r>
        <w:t xml:space="preserve">8.1 Configurable Parameters Reference</w:t>
      </w:r>
    </w:p>
    <w:p>
      <w:pPr>
        <w:pStyle w:val="FirstParagraph"/>
      </w:pPr>
      <w:r>
        <w:t xml:space="preserve">ACRME is designed to be</w:t>
      </w:r>
      <w:r>
        <w:t xml:space="preserve"> </w:t>
      </w:r>
      <w:r>
        <w:rPr>
          <w:bCs/>
          <w:b/>
        </w:rPr>
        <w:t xml:space="preserve">configuration-driven</w:t>
      </w:r>
      <w:r>
        <w:t xml:space="preserve">. Most key values are</w:t>
      </w:r>
      <w:r>
        <w:t xml:space="preserve"> </w:t>
      </w:r>
      <w:r>
        <w:rPr>
          <w:bCs/>
          <w:b/>
        </w:rPr>
        <w:t xml:space="preserve">policy defaults stored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t xml:space="preserve">, not hardcoded constants. This table lists all tunable parameters, their</w:t>
      </w:r>
      <w:r>
        <w:t xml:space="preserve"> </w:t>
      </w:r>
      <w:r>
        <w:t xml:space="preserve">baseline defaults, and how they’re configured.</w:t>
      </w:r>
    </w:p>
    <w:bookmarkStart w:id="86" w:name="region-selection-scoring-weights"/>
    <w:p>
      <w:pPr>
        <w:pStyle w:val="Heading4"/>
      </w:pPr>
      <w:r>
        <w:t xml:space="preserve">Region Selection — Scoring Weights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(α) — 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(β) —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</w:t>
            </w:r>
            <w:r>
              <w:t xml:space="preserve"> </w:t>
            </w:r>
            <w:r>
              <w:t xml:space="preserve">(γ) — 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delta</w:t>
            </w:r>
            <w:r>
              <w:t xml:space="preserve"> </w:t>
            </w:r>
            <w:r>
              <w:t xml:space="preserve">(δ) — 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epsilon</w:t>
            </w:r>
            <w:r>
              <w:t xml:space="preserve"> </w:t>
            </w:r>
            <w:r>
              <w:t xml:space="preserve">(ε) — 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(invariant)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at policy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allowance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Config/Scope-File Service validates at load time → if valid, policy is published. See Section 3.8 for tuning guidance.</w:t>
      </w:r>
    </w:p>
    <w:bookmarkEnd w:id="86"/>
    <w:bookmarkStart w:id="87" w:name="Xa77bf194eda09fc5c0bfc560bf2b14480ac8877"/>
    <w:p>
      <w:pPr>
        <w:pStyle w:val="Heading4"/>
      </w:pPr>
      <w:r>
        <w:t xml:space="preserve">Quota Management — Growth Buffers &amp; Headroom Floors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NonProd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potential DR demand held as emergency transfer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NonProd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DR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 (arbitrary values permitted). Changes take effect on next policy load.</w:t>
      </w:r>
    </w:p>
    <w:bookmarkEnd w:id="87"/>
    <w:bookmarkStart w:id="88" w:name="X148e20b46f283beddd5f06cf6dc77580552f21e"/>
    <w:p>
      <w:pPr>
        <w:pStyle w:val="Heading4"/>
      </w:pPr>
      <w:r>
        <w:t xml:space="preserve">Capacity Management — Auto-Increase Thresholds &amp; Reconciliation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Prod headroom drops below 20%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NonProd headroom drops below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DR headroom drops below 35% (65%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autoincrease_debounce_cooldown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time between auto-increase triggers for same region + CRG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sec (6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engine checks allocated vs reserved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(e.g., 1 slot)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Changes take effect on next policy load. See Section 5.4 for auto-increase threshold tuning guidance.</w:t>
      </w:r>
    </w:p>
    <w:bookmarkEnd w:id="88"/>
    <w:bookmarkStart w:id="89" w:name="capacity-management-forecast-alerts"/>
    <w:p>
      <w:pPr>
        <w:pStyle w:val="Heading4"/>
      </w:pPr>
      <w:r>
        <w:t xml:space="preserve">Capacity Management — Forecast &amp; Alerts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{30, 60, 90}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forecast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window for peak VM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utilization % that triggers ForecastApproachingQuotaLimit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forecast_quota_alert_lead_time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lead time for quota alert before predicted breach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or forecast service config → changes take effect on next policy load or forecast run.</w:t>
      </w:r>
    </w:p>
    <w:bookmarkEnd w:id="89"/>
    <w:bookmarkStart w:id="90" w:name="dr-management-bootstrap-targets"/>
    <w:p>
      <w:pPr>
        <w:pStyle w:val="Heading4"/>
      </w:pPr>
      <w:r>
        <w:t xml:space="preserve">DR Management — Bootstrap Targets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dr_bootstrap_target</w:t>
            </w:r>
            <w:r>
              <w:t xml:space="preserve"> </w:t>
            </w:r>
            <w:r>
              <w:t xml:space="preserve">(per workload)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(lean, ~5–20%)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workload/product/region/zone/VM family/subscription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DR capacity to pre-stage (ENV-005)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  <w:r>
              <w:t xml:space="preserve"> </w:t>
            </w:r>
            <w:r>
              <w:t xml:space="preserve">(coverage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(varies per customer SLA)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customer/product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DR coverage ratio for scoring δ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DR bootstrap cannot be implicitly zero (ENV-006) — zero requires explicit approved policy exception.</w:t>
      </w:r>
    </w:p>
    <w:bookmarkEnd w:id="90"/>
    <w:bookmarkStart w:id="91" w:name="fixed-system-constants-not-configurable"/>
    <w:p>
      <w:pPr>
        <w:pStyle w:val="Heading4"/>
      </w:pPr>
      <w:r>
        <w:t xml:space="preserve">Fixed / System Constants (Not Configurable)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requirement for score normalization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floating-point precision 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clamp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 requirement for weighted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 score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1.0]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consequence of weight sum = 1.0 and clamp 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safety to prevent request thrashing</w:t>
            </w:r>
          </w:p>
        </w:tc>
      </w:tr>
    </w:tbl>
    <w:bookmarkEnd w:id="91"/>
    <w:bookmarkStart w:id="92" w:name="configuration-change-process"/>
    <w:p>
      <w:pPr>
        <w:pStyle w:val="Heading4"/>
      </w:pPr>
      <w:r>
        <w:t xml:space="preserve">Configuration Change Process</w:t>
      </w:r>
    </w:p>
    <w:p>
      <w:pPr>
        <w:pStyle w:val="FirstParagraph"/>
      </w:pPr>
      <w:r>
        <w:rPr>
          <w:bCs/>
          <w:b/>
        </w:rPr>
        <w:t xml:space="preserve">All configurable parameters follow the same update process: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(JSON/YAML, stored in version control)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Config/Scope-File Service validates</w:t>
      </w:r>
      <w:r>
        <w:t xml:space="preserve"> </w:t>
      </w:r>
      <w:r>
        <w:t xml:space="preserve">(for weight-sum gate only; other params have no validation)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If valid, policy version is published</w:t>
      </w:r>
      <w:r>
        <w:t xml:space="preserve"> </w:t>
      </w:r>
      <w:r>
        <w:t xml:space="preserve">to the Placement Engine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Engine records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t xml:space="preserve"> </w:t>
      </w:r>
      <w:r>
        <w:t xml:space="preserve">in every placement decision (audit trail)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Changes take effect</w:t>
      </w:r>
      <w:r>
        <w:t xml:space="preserve"> </w:t>
      </w:r>
      <w:r>
        <w:t xml:space="preserve">on the next placement/reconciliation/forecast cycle</w:t>
      </w:r>
    </w:p>
    <w:p>
      <w:pPr>
        <w:pStyle w:val="FirstParagraph"/>
      </w:pPr>
      <w:r>
        <w:rPr>
          <w:bCs/>
          <w:b/>
        </w:rPr>
        <w:t xml:space="preserve">No code deployment is required</w:t>
      </w:r>
      <w:r>
        <w:t xml:space="preserve"> </w:t>
      </w:r>
      <w:r>
        <w:t xml:space="preserve">to change any configurable parameter. Only a policy configuration</w:t>
      </w:r>
      <w:r>
        <w:t xml:space="preserve"> </w:t>
      </w:r>
      <w:r>
        <w:t xml:space="preserve">file update and service restart/reload.</w:t>
      </w:r>
    </w:p>
    <w:p>
      <w:pPr>
        <w:pStyle w:val="BodyText"/>
      </w:pPr>
      <w:r>
        <w:rPr>
          <w:bCs/>
          <w:b/>
        </w:rPr>
        <w:t xml:space="preserve">Monitoring after change:</w:t>
      </w:r>
      <w:r>
        <w:t xml:space="preserve"> </w:t>
      </w:r>
      <w:r>
        <w:t xml:space="preserve">- Track the metrics in Section 3.8.6 (weight changes) or Section 5.4.1 (threshold changes)</w:t>
      </w:r>
      <w:r>
        <w:t xml:space="preserve"> </w:t>
      </w:r>
      <w:r>
        <w:t xml:space="preserve">- Compare placement/capacity decisions before and after the change</w:t>
      </w:r>
      <w:r>
        <w:t xml:space="preserve"> </w:t>
      </w:r>
      <w:r>
        <w:t xml:space="preserve">- Monitor auto-increase trigger frequency, capacity utilization, quota request rates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to the previous version and republish.</w:t>
      </w:r>
    </w:p>
    <w:bookmarkEnd w:id="92"/>
    <w:bookmarkEnd w:id="93"/>
    <w:bookmarkStart w:id="94" w:name="quick-reference-all-key-numbers"/>
    <w:p>
      <w:pPr>
        <w:pStyle w:val="Heading3"/>
      </w:pPr>
      <w:r>
        <w:t xml:space="preserve">8.2 Quick Reference — All Key Numbers</w:t>
      </w:r>
    </w:p>
    <w:p>
      <w:pPr>
        <w:pStyle w:val="FirstParagraph"/>
      </w:pPr>
      <w:r>
        <w:t xml:space="preserve">This table combines all key values (configurable and fixed) for quick lookup: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(DEC-001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(PLC-010) — 2-region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1.0 —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 v2.2,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v2.2.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94"/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2026-09-03T06:33:45Z</dcterms:created>
  <dcterms:modified xsi:type="dcterms:W3CDTF">2026-09-03T06:33:45Z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