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- Architecture Governance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9 September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Part of:</w:t>
      </w:r>
      <w:r>
        <w:t xml:space="preserve"> </w:t>
      </w:r>
      <w:r>
        <w:t xml:space="preserve">ACRME Architecture Decision Records - aligned to Capacity &amp; Quota Management Requirements Baseline v2.4.</w:t>
      </w:r>
    </w:p>
    <w:p>
      <w:pPr>
        <w:pStyle w:val="BlockText"/>
      </w:pPr>
      <w:r>
        <w:rPr>
          <w:bCs/>
          <w:b/>
        </w:rPr>
        <w:t xml:space="preserve">About ADRs.</w:t>
      </w:r>
      <w:r>
        <w:t xml:space="preserve"> </w:t>
      </w:r>
      <w:r>
        <w:t xml:space="preserve">An Architecture Decision Record captures a significant architectural decision, the context that forced it, the options considered, the choice made, and its consequences. This ADR clarifies the</w:t>
      </w:r>
      <w:r>
        <w:t xml:space="preserve"> </w:t>
      </w:r>
      <w:r>
        <w:rPr>
          <w:bCs/>
          <w:b/>
        </w:rPr>
        <w:t xml:space="preserve">enforcement boundary</w:t>
      </w:r>
      <w:r>
        <w:t xml:space="preserve"> </w:t>
      </w:r>
      <w:r>
        <w:t xml:space="preserve">between quota-as-governor and capacity reservation, correcting a common over-generalization about their relationship to deployment strategy. Evidence tags: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3" w:name="X24fb11659805cdea90ba78912ef7630619b93ff"/>
    <w:p>
      <w:pPr>
        <w:pStyle w:val="Heading1"/>
      </w:pPr>
      <w:r>
        <w:t xml:space="preserve">ADR-006 - Quota and Reservation Enforcement Boundary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9 September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</w:t>
      </w:r>
      <w:r>
        <w:br/>
      </w:r>
      <w:r>
        <w:rPr>
          <w:bCs/>
          <w:b/>
        </w:rPr>
        <w:t xml:space="preserve">Related requirements:</w:t>
      </w:r>
      <w:r>
        <w:t xml:space="preserve"> </w:t>
      </w:r>
      <w:r>
        <w:t xml:space="preserve">QUA-001, QUA-002, QUA-005, QUA-006, QUA-007, QUA-013, CAP-003, CAP-016, CAP-017, ENV-002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Design Principle 2 (quota and capacity are separate resources)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A fundamental question arose during deployment-architecture review:</w:t>
      </w:r>
      <w:r>
        <w:t xml:space="preserve"> </w:t>
      </w:r>
      <w:r>
        <w:rPr>
          <w:bCs/>
          <w:b/>
        </w:rPr>
        <w:t xml:space="preserve">Should the quota-as-governor principle restrict deployment strategy (subscription topology), or should it operate only at the capacity definition/allocation layer?</w:t>
      </w:r>
    </w:p>
    <w:p>
      <w:pPr>
        <w:pStyle w:val="BodyText"/>
      </w:pPr>
      <w:r>
        <w:t xml:space="preserve">The baseline establishes that quota and capacity reservations are</w:t>
      </w:r>
      <w:r>
        <w:t xml:space="preserve"> </w:t>
      </w:r>
      <w:r>
        <w:rPr>
          <w:bCs/>
          <w:b/>
        </w:rPr>
        <w:t xml:space="preserve">parallel, independent control planes</w:t>
      </w:r>
      <w:r>
        <w:t xml:space="preserve"> </w:t>
      </w:r>
      <w:r>
        <w:t xml:space="preserve">(Design Principle 2, QUA-001):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Manage quota as a separate control plane from reservations. A reservation is not proof that deployment quota exists — you can hold a reservation and still fail to deploy without quota.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However, the relationship between these two control planes and their respective roles in</w:t>
      </w:r>
      <w:r>
        <w:t xml:space="preserve"> </w:t>
      </w:r>
      <w:r>
        <w:rPr>
          <w:iCs/>
          <w:i/>
        </w:rPr>
        <w:t xml:space="preserve">restricting deployments</w:t>
      </w:r>
      <w:r>
        <w:t xml:space="preserve"> </w:t>
      </w:r>
      <w:r>
        <w:t xml:space="preserve">was not explicitly bounded. Two over-generalizations needed correction: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Misreading quota-as-governor as a bespoke ACRME deployment gate</w:t>
      </w:r>
      <w:r>
        <w:t xml:space="preserve"> </w:t>
      </w:r>
      <w:r>
        <w:t xml:space="preserve">— when in fact Azure enforces quota natively at the ARM layer, and ACRME only</w:t>
      </w:r>
      <w:r>
        <w:t xml:space="preserve"> </w:t>
      </w:r>
      <w:r>
        <w:rPr>
          <w:iCs/>
          <w:i/>
        </w:rPr>
        <w:t xml:space="preserve">validates</w:t>
      </w:r>
      <w:r>
        <w:t xml:space="preserve"> </w:t>
      </w:r>
      <w:r>
        <w:t xml:space="preserve">quota state for readiness.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Assuming CR/CRG universally restricts deployment</w:t>
      </w:r>
      <w:r>
        <w:t xml:space="preserve"> </w:t>
      </w:r>
      <w:r>
        <w:t xml:space="preserve">— when in fact reservation enforcement is</w:t>
      </w:r>
      <w:r>
        <w:t xml:space="preserve"> </w:t>
      </w:r>
      <w:r>
        <w:rPr>
          <w:bCs/>
          <w:b/>
        </w:rPr>
        <w:t xml:space="preserve">mandatory only for production</w:t>
      </w:r>
      <w:r>
        <w:t xml:space="preserve"> </w:t>
      </w:r>
      <w:r>
        <w:t xml:space="preserve">(CAP-017) and</w:t>
      </w:r>
      <w:r>
        <w:t xml:space="preserve"> </w:t>
      </w:r>
      <w:r>
        <w:rPr>
          <w:bCs/>
          <w:b/>
        </w:rPr>
        <w:t xml:space="preserve">configurable for non-production</w:t>
      </w:r>
      <w:r>
        <w:t xml:space="preserve"> </w:t>
      </w:r>
      <w:r>
        <w:t xml:space="preserve">(ENV-002) to avoid blocking cost-driven deallocation.</w:t>
      </w:r>
    </w:p>
    <w:p>
      <w:pPr>
        <w:pStyle w:val="FirstParagraph"/>
      </w:pPr>
      <w:r>
        <w:t xml:space="preserve">The user’s insight was directionally correct: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Quota and CR/CRG are parallels — they have dependency at a different layer but both should not have deployment restrictions.</w:t>
      </w:r>
      <w:r>
        <w:rPr>
          <w:iCs/>
          <w:i/>
        </w:rPr>
        <w:t xml:space="preserve">”</w:t>
      </w:r>
      <w:r>
        <w:t xml:space="preserve"> </w:t>
      </w:r>
      <w:r>
        <w:t xml:space="preserve">This ADR formalizes that principle with one precision: quota</w:t>
      </w:r>
      <w:r>
        <w:t xml:space="preserve"> </w:t>
      </w:r>
      <w:r>
        <w:rPr>
          <w:bCs/>
          <w:b/>
        </w:rPr>
        <w:t xml:space="preserve">inherently</w:t>
      </w:r>
      <w:r>
        <w:t xml:space="preserve"> </w:t>
      </w:r>
      <w:r>
        <w:t xml:space="preserve">restricts deployment (because Azure does), but ACRME does not re-gate it.</w:t>
      </w:r>
      <w:r>
        <w:t xml:space="preserve"> </w:t>
      </w:r>
      <w:r>
        <w:rPr>
          <w:rStyle w:val="VerbatimChar"/>
        </w:rPr>
        <w:t xml:space="preserve">[Derived]</w:t>
      </w:r>
    </w:p>
    <w:bookmarkEnd w:id="20"/>
    <w:bookmarkStart w:id="25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rPr>
          <w:bCs/>
          <w:b/>
        </w:rPr>
        <w:t xml:space="preserve">Quota governs the definition and allocation of capacity; CR/CRG governs the guarantee of capacity. Their sole coupling is pre-deploy readiness validation, not dual enforcement.</w:t>
      </w:r>
    </w:p>
    <w:bookmarkStart w:id="21" w:name="X34384143758dcfe229bf028f3d56f4fdd560b69"/>
    <w:p>
      <w:pPr>
        <w:pStyle w:val="Heading3"/>
      </w:pPr>
      <w:r>
        <w:t xml:space="preserve">1. Quota’s proper scope: Definition and allocation layer (QUA-005, QUA-006, QUA-008, QUA-009)</w:t>
      </w:r>
    </w:p>
    <w:p>
      <w:pPr>
        <w:pStyle w:val="FirstParagraph"/>
      </w:pPr>
      <w:r>
        <w:t xml:space="preserve">Quota-as-governor operates at the</w:t>
      </w:r>
      <w:r>
        <w:t xml:space="preserve"> </w:t>
      </w:r>
      <w:r>
        <w:rPr>
          <w:bCs/>
          <w:b/>
        </w:rPr>
        <w:t xml:space="preserve">budget/sizing/capping layer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How much</w:t>
      </w:r>
      <w:r>
        <w:t xml:space="preserve"> </w:t>
      </w:r>
      <w:r>
        <w:t xml:space="preserve">reservation may be sized per SKU × region × environment (feeds CAP-003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formula)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may consume capacity (per-product, per-environment, per-subscription caps)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 growth buffer</w:t>
      </w:r>
      <w:r>
        <w:t xml:space="preserve"> </w:t>
      </w:r>
      <w:r>
        <w:t xml:space="preserve">(QUA-006) — dedicated headroom above current usage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Dynamic allocation and reclamation</w:t>
      </w:r>
      <w:r>
        <w:t xml:space="preserve"> </w:t>
      </w:r>
      <w:r>
        <w:t xml:space="preserve">from the central pool (QUA-008/QUA-009)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 governance</w:t>
      </w:r>
      <w:r>
        <w:t xml:space="preserve"> </w:t>
      </w:r>
      <w:r>
        <w:t xml:space="preserve">for the seed matrix (CAP-022 — SKU/AZ entry requires owning product team + approved budget line)</w:t>
      </w:r>
    </w:p>
    <w:p>
      <w:pPr>
        <w:pStyle w:val="BodyText"/>
      </w:pPr>
      <w:r>
        <w:t xml:space="preserve">Quota is a</w:t>
      </w:r>
      <w:r>
        <w:t xml:space="preserve"> </w:t>
      </w:r>
      <w:r>
        <w:rPr>
          <w:bCs/>
          <w:b/>
        </w:rPr>
        <w:t xml:space="preserve">budget and allocation lever</w:t>
      </w:r>
      <w:r>
        <w:t xml:space="preserve">, not a runtime traffic cop.</w:t>
      </w:r>
      <w:r>
        <w:t xml:space="preserve"> </w:t>
      </w:r>
      <w:r>
        <w:rPr>
          <w:rStyle w:val="VerbatimChar"/>
        </w:rPr>
        <w:t xml:space="preserve">[Decided]</w:t>
      </w:r>
    </w:p>
    <w:bookmarkEnd w:id="21"/>
    <w:bookmarkStart w:id="22" w:name="Xab7810dec9415530a084cc2583231827b167655"/>
    <w:p>
      <w:pPr>
        <w:pStyle w:val="Heading3"/>
      </w:pPr>
      <w:r>
        <w:t xml:space="preserve">2. Quota’s deploy-time effect is Azure-native validation only (QUA-007, CAP-016)</w:t>
      </w:r>
    </w:p>
    <w:p>
      <w:pPr>
        <w:pStyle w:val="FirstParagraph"/>
      </w:pPr>
      <w:r>
        <w:t xml:space="preserve">Quota</w:t>
      </w:r>
      <w:r>
        <w:t xml:space="preserve"> </w:t>
      </w:r>
      <w:r>
        <w:rPr>
          <w:bCs/>
          <w:b/>
        </w:rPr>
        <w:t xml:space="preserve">is inherently a deploy-time hard limit</w:t>
      </w:r>
      <w:r>
        <w:t xml:space="preserve">, but not because ACRME makes it one —</w:t>
      </w:r>
      <w:r>
        <w:t xml:space="preserve"> </w:t>
      </w:r>
      <w:r>
        <w:rPr>
          <w:bCs/>
          <w:b/>
        </w:rPr>
        <w:t xml:space="preserve">Azure enforces quota at the ARM layer natively</w:t>
      </w:r>
      <w:r>
        <w:t xml:space="preserve">. If a VM-create call exceeds the subscription’s regional family quota, Azure rejects it. There is no ACRME design choice that can make quota</w:t>
      </w:r>
      <w:r>
        <w:t xml:space="preserve"> </w:t>
      </w:r>
      <w:r>
        <w:t xml:space="preserve">“</w:t>
      </w:r>
      <w:r>
        <w:t xml:space="preserve">non-restrictive</w:t>
      </w:r>
      <w:r>
        <w:t xml:space="preserve">”</w:t>
      </w:r>
      <w:r>
        <w:t xml:space="preserve"> </w:t>
      </w:r>
      <w:r>
        <w:t xml:space="preserve">at deploy time.</w:t>
      </w:r>
    </w:p>
    <w:p>
      <w:pPr>
        <w:pStyle w:val="BodyText"/>
      </w:pPr>
      <w:r>
        <w:t xml:space="preserve">What ACRME</w:t>
      </w:r>
      <w:r>
        <w:t xml:space="preserve"> </w:t>
      </w:r>
      <w:r>
        <w:rPr>
          <w:bCs/>
          <w:b/>
        </w:rPr>
        <w:t xml:space="preserve">does not do</w:t>
      </w:r>
      <w:r>
        <w:t xml:space="preserve">: build a redundant second quota gate on top of Azure’s enforcement.</w:t>
      </w:r>
    </w:p>
    <w:p>
      <w:pPr>
        <w:pStyle w:val="BodyText"/>
      </w:pPr>
      <w:r>
        <w:t xml:space="preserve">What ACRME</w:t>
      </w:r>
      <w:r>
        <w:t xml:space="preserve"> </w:t>
      </w:r>
      <w:r>
        <w:rPr>
          <w:bCs/>
          <w:b/>
        </w:rPr>
        <w:t xml:space="preserve">does do</w:t>
      </w:r>
      <w:r>
        <w:t xml:space="preserve">: validate quota state for</w:t>
      </w:r>
      <w:r>
        <w:t xml:space="preserve"> </w:t>
      </w:r>
      <w:r>
        <w:rPr>
          <w:bCs/>
          <w:b/>
        </w:rPr>
        <w:t xml:space="preserve">readiness</w:t>
      </w:r>
      <w:r>
        <w:t xml:space="preserve"> </w:t>
      </w:r>
      <w:r>
        <w:t xml:space="preserve">before deployment (QUA-007, CAP-016):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QUA-007:</w:t>
      </w:r>
      <w:r>
        <w:t xml:space="preserve"> </w:t>
      </w:r>
      <w:r>
        <w:t xml:space="preserve">For each managed scope, validate</w:t>
      </w:r>
      <w:r>
        <w:t xml:space="preserve"> </w:t>
      </w:r>
      <w:r>
        <w:rPr>
          <w:rStyle w:val="VerbatimChar"/>
        </w:rPr>
        <w:t xml:space="preserve">Required Deployment Quota ≤ Available Quota in Deploying Subscription</w:t>
      </w:r>
      <w:r>
        <w:t xml:space="preserve">. Surface</w:t>
      </w:r>
      <w:r>
        <w:t xml:space="preserve"> </w:t>
      </w:r>
      <w:r>
        <w:rPr>
          <w:rStyle w:val="VerbatimChar"/>
        </w:rPr>
        <w:t xml:space="preserve">reserved capacity &gt; deployable quota</w:t>
      </w:r>
      <w:r>
        <w:t xml:space="preserve"> </w:t>
      </w:r>
      <w:r>
        <w:t xml:space="preserve">as a readiness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(reservation without quota cannot deploy).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CAP-016:</w:t>
      </w:r>
      <w:r>
        <w:t xml:space="preserve"> </w:t>
      </w:r>
      <w:r>
        <w:t xml:space="preserve">Pre-deploy validation checks include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required quota available in the deploying subscription</w:t>
      </w:r>
      <w:r>
        <w:rPr>
          <w:iCs/>
          <w:i/>
        </w:rPr>
        <w:t xml:space="preserve">”</w:t>
      </w:r>
      <w:r>
        <w:t xml:space="preserve"> </w:t>
      </w:r>
      <w:r>
        <w:t xml:space="preserve">(among reservation exists, SKU/region/zone match, consumer authorization).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fail-fast safety check</w:t>
      </w:r>
      <w:r>
        <w:t xml:space="preserve">, not a second independent throttle. ACRME reads quota state and warns; Azure enforces it.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Quota state naturally influences deployment strategy (subscription topology) because</w:t>
      </w:r>
      <w:r>
        <w:t xml:space="preserve"> </w:t>
      </w:r>
      <w:r>
        <w:rPr>
          <w:bCs/>
          <w:b/>
        </w:rPr>
        <w:t xml:space="preserve">quota lives at the subscription × region × family level</w:t>
      </w:r>
      <w:r>
        <w:t xml:space="preserve"> </w:t>
      </w:r>
      <w:r>
        <w:t xml:space="preserve">(QUA-002, QUA-013) — you cannot sub-divide quota below the subscription. A single-subscription model collapses per-environment quota governance (see deployment-layout reference §</w:t>
      </w:r>
      <w:r>
        <w:t xml:space="preserve">“</w:t>
      </w:r>
      <w:r>
        <w:t xml:space="preserve">Drawbacks of single-subscription model</w:t>
      </w:r>
      <w:r>
        <w:t xml:space="preserve">”</w:t>
      </w:r>
      <w:r>
        <w:t xml:space="preserve">). But that is a</w:t>
      </w:r>
      <w:r>
        <w:t xml:space="preserve"> </w:t>
      </w:r>
      <w:r>
        <w:rPr>
          <w:bCs/>
          <w:b/>
        </w:rPr>
        <w:t xml:space="preserve">design trade-off driven by Azure’s quota scoping</w:t>
      </w:r>
      <w:r>
        <w:t xml:space="preserve">, not ACRME imposing a deployment restriction.</w:t>
      </w:r>
      <w:r>
        <w:t xml:space="preserve"> </w:t>
      </w:r>
      <w:r>
        <w:rPr>
          <w:rStyle w:val="VerbatimChar"/>
        </w:rPr>
        <w:t xml:space="preserve">[Derived]</w:t>
      </w:r>
    </w:p>
    <w:bookmarkEnd w:id="22"/>
    <w:bookmarkStart w:id="23" w:name="X4a25262a73705ba530953099418ff4168d1ee4d"/>
    <w:p>
      <w:pPr>
        <w:pStyle w:val="Heading3"/>
      </w:pPr>
      <w:r>
        <w:t xml:space="preserve">3. CR/CRG governs the guarantee — mandatory only where declared (CAP-017, ENV-002)</w:t>
      </w:r>
    </w:p>
    <w:p>
      <w:pPr>
        <w:pStyle w:val="FirstParagraph"/>
      </w:pPr>
      <w:r>
        <w:t xml:space="preserve">Capacity Reservations are</w:t>
      </w:r>
      <w:r>
        <w:t xml:space="preserve"> </w:t>
      </w:r>
      <w:r>
        <w:rPr>
          <w:bCs/>
          <w:b/>
        </w:rPr>
        <w:t xml:space="preserve">guarantees, not native gates</w:t>
      </w:r>
      <w:r>
        <w:t xml:space="preserve">. Azure permits on-demand VM deployment without a reservation if capacity happens to exist. The reservation layer becomes a deployment restriction</w:t>
      </w:r>
      <w:r>
        <w:t xml:space="preserve"> </w:t>
      </w:r>
      <w:r>
        <w:rPr>
          <w:bCs/>
          <w:b/>
        </w:rPr>
        <w:t xml:space="preserve">only because ACRME deliberately chooses to make it mandatory for production</w:t>
      </w:r>
      <w:r>
        <w:t xml:space="preserve"> </w:t>
      </w:r>
      <w:r>
        <w:t xml:space="preserve">(CAP-017):</w:t>
      </w:r>
    </w:p>
    <w:p>
      <w:pPr>
        <w:pStyle w:val="BlockText"/>
      </w:pPr>
      <w:r>
        <w:rPr>
          <w:bCs/>
          <w:b/>
        </w:rPr>
        <w:t xml:space="preserve">CAP-017 — Deployment failure policy.</w:t>
      </w:r>
      <w:r>
        <w:t xml:space="preserve"> </w:t>
      </w:r>
      <w:r>
        <w:t xml:space="preserve">If reservation enforcement is mandatory and validation fails, the deployment</w:t>
      </w:r>
      <w:r>
        <w:t xml:space="preserve"> </w:t>
      </w:r>
      <w:r>
        <w:rPr>
          <w:bCs/>
          <w:b/>
        </w:rPr>
        <w:t xml:space="preserve">fails safely</w:t>
      </w:r>
      <w:r>
        <w:t xml:space="preserve"> </w:t>
      </w:r>
      <w:r>
        <w:t xml:space="preserve">with a clear reason … No silent deployment without the required reservation unless an approved break-glass policy is invoked.</w:t>
      </w:r>
    </w:p>
    <w:p>
      <w:pPr>
        <w:pStyle w:val="FirstParagraph"/>
      </w:pPr>
      <w:r>
        <w:t xml:space="preserve">Crucially, that choice is</w:t>
      </w:r>
      <w:r>
        <w:t xml:space="preserve"> </w:t>
      </w:r>
      <w:r>
        <w:rPr>
          <w:bCs/>
          <w:b/>
        </w:rPr>
        <w:t xml:space="preserve">not universal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ENV-002 — Production-only initial enforcement.</w:t>
      </w:r>
      <w:r>
        <w:t xml:space="preserve"> </w:t>
      </w:r>
      <w:r>
        <w:t xml:space="preserve">Mandatory reservations apply to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first. Non-production reservation enforcement stays</w:t>
      </w:r>
      <w:r>
        <w:t xml:space="preserve"> </w:t>
      </w:r>
      <w:r>
        <w:rPr>
          <w:bCs/>
          <w:b/>
        </w:rPr>
        <w:t xml:space="preserve">configurable</w:t>
      </w:r>
      <w:r>
        <w:t xml:space="preserve"> </w:t>
      </w:r>
      <w:r>
        <w:t xml:space="preserve">because non-prod VMs may be deallocated for cost savings … The design must avoid a state where non-prod reservations block cost-driven deallocation.</w:t>
      </w:r>
    </w:p>
    <w:p>
      <w:pPr>
        <w:pStyle w:val="FirstParagraph"/>
      </w:pPr>
      <w:r>
        <w:t xml:space="preserve">So the reservation layer already behaves the correct way: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 gate where the business demands a guarantee</w:t>
      </w:r>
      <w:r>
        <w:t xml:space="preserve"> </w:t>
      </w:r>
      <w:r>
        <w:t xml:space="preserve">(production)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Configurable elsewhere</w:t>
      </w:r>
      <w:r>
        <w:t xml:space="preserve"> </w:t>
      </w:r>
      <w:r>
        <w:t xml:space="preserve">(non-prod can opt out to allow cost-driven deallocation)</w:t>
      </w:r>
    </w:p>
    <w:p>
      <w:pPr>
        <w:pStyle w:val="BodyText"/>
      </w:pPr>
      <w:r>
        <w:rPr>
          <w:rStyle w:val="VerbatimChar"/>
        </w:rPr>
        <w:t xml:space="preserve">[Decided]</w:t>
      </w:r>
    </w:p>
    <w:bookmarkEnd w:id="23"/>
    <w:bookmarkStart w:id="24" w:name="X3a112f1b04b769581f89aab0498c9922faa8496"/>
    <w:p>
      <w:pPr>
        <w:pStyle w:val="Heading3"/>
      </w:pPr>
      <w:r>
        <w:t xml:space="preserve">4. The single coupling point: Pre-deploy readiness validation (CAP-016 + QUA-007)</w:t>
      </w:r>
    </w:p>
    <w:p>
      <w:pPr>
        <w:pStyle w:val="FirstParagraph"/>
      </w:pPr>
      <w:r>
        <w:t xml:space="preserve">The only place quota and CR/CRG touch is the</w:t>
      </w:r>
      <w:r>
        <w:t xml:space="preserve"> </w:t>
      </w:r>
      <w:r>
        <w:rPr>
          <w:bCs/>
          <w:b/>
        </w:rPr>
        <w:t xml:space="preserve">pre-deploy readiness check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CAP-016 — Reservation integrity validation (pre-deploy):</w:t>
      </w:r>
      <w:r>
        <w:t xml:space="preserve"> </w:t>
      </w:r>
      <w:r>
        <w:t xml:space="preserve">Before deploying against a reservation, validate:</w:t>
      </w:r>
      <w:r>
        <w:t xml:space="preserve"> </w:t>
      </w:r>
      <w:r>
        <w:t xml:space="preserve">- Reservation exists</w:t>
      </w:r>
      <w:r>
        <w:t xml:space="preserve"> </w:t>
      </w:r>
      <w:r>
        <w:t xml:space="preserve">- SKU matches</w:t>
      </w:r>
      <w:r>
        <w:t xml:space="preserve"> </w:t>
      </w:r>
      <w:r>
        <w:t xml:space="preserve">- Region matches</w:t>
      </w:r>
      <w:r>
        <w:t xml:space="preserve"> </w:t>
      </w:r>
      <w:r>
        <w:t xml:space="preserve">- Zone matches</w:t>
      </w:r>
      <w:r>
        <w:t xml:space="preserve"> </w:t>
      </w:r>
      <w:r>
        <w:t xml:space="preserve">- Consumer subscription authorized (if shared)</w:t>
      </w:r>
      <w:r>
        <w:t xml:space="preserve"> </w:t>
      </w:r>
      <w:r>
        <w:t xml:space="preserve">- Sufficient reserved capacity or approved over-allocation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 quota available in the deploying subscription</w:t>
      </w:r>
      <w:r>
        <w:t xml:space="preserve"> </w:t>
      </w:r>
      <w:r>
        <w:t xml:space="preserve">← the quota/reservation seam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validation layer</w:t>
      </w:r>
      <w:r>
        <w:t xml:space="preserve">, not dual enforcement. Both resources are independently defined; the check confirms they are aligned before committing a deployment.</w:t>
      </w:r>
      <w:r>
        <w:t xml:space="preserve"> </w:t>
      </w:r>
      <w:r>
        <w:rPr>
          <w:rStyle w:val="VerbatimChar"/>
        </w:rPr>
        <w:t xml:space="preserve">[Decided]</w:t>
      </w:r>
    </w:p>
    <w:bookmarkEnd w:id="24"/>
    <w:bookmarkEnd w:id="25"/>
    <w:bookmarkStart w:id="26" w:name="restated-principle"/>
    <w:p>
      <w:pPr>
        <w:pStyle w:val="Heading2"/>
      </w:pPr>
      <w:r>
        <w:t xml:space="preserve">Restated Principle</w:t>
      </w:r>
    </w:p>
    <w:p>
      <w:pPr>
        <w:pStyle w:val="BlockText"/>
      </w:pPr>
      <w:r>
        <w:rPr>
          <w:bCs/>
          <w:b/>
        </w:rPr>
        <w:t xml:space="preserve">Quota governs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definition and allocation</w:t>
      </w:r>
      <w:r>
        <w:rPr>
          <w:bCs/>
          <w:b/>
        </w:rPr>
        <w:t xml:space="preserve"> </w:t>
      </w:r>
      <w:r>
        <w:rPr>
          <w:bCs/>
          <w:b/>
        </w:rPr>
        <w:t xml:space="preserve">of capacity — how much reservation may be sized and consumed per SKU × region × environment.</w:t>
      </w:r>
      <w:r>
        <w:t xml:space="preserve"> </w:t>
      </w:r>
      <w:r>
        <w:t xml:space="preserve">Its deploy-time effect is Azure’s own native hard limit, which ACRME only</w:t>
      </w:r>
      <w:r>
        <w:t xml:space="preserve"> </w:t>
      </w:r>
      <w:r>
        <w:rPr>
          <w:iCs/>
          <w:i/>
        </w:rPr>
        <w:t xml:space="preserve">validates for readiness</w:t>
      </w:r>
      <w:r>
        <w:t xml:space="preserve">, never re-gates.</w:t>
      </w:r>
    </w:p>
    <w:p>
      <w:pPr>
        <w:pStyle w:val="BlockText"/>
      </w:pPr>
      <w:r>
        <w:rPr>
          <w:bCs/>
          <w:b/>
        </w:rPr>
        <w:t xml:space="preserve">CR/CRG governs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guarantee</w:t>
      </w:r>
      <w:r>
        <w:rPr>
          <w:bCs/>
          <w:b/>
        </w:rPr>
        <w:t xml:space="preserve"> </w:t>
      </w:r>
      <w:r>
        <w:rPr>
          <w:bCs/>
          <w:b/>
        </w:rPr>
        <w:t xml:space="preserve">of capacity.</w:t>
      </w:r>
      <w:r>
        <w:t xml:space="preserve"> </w:t>
      </w:r>
      <w:r>
        <w:t xml:space="preserve">It is a deployment gate</w:t>
      </w:r>
      <w:r>
        <w:t xml:space="preserve"> </w:t>
      </w:r>
      <w:r>
        <w:rPr>
          <w:bCs/>
          <w:b/>
        </w:rPr>
        <w:t xml:space="preserve">only where reservation enforcement is declared mandatory</w:t>
      </w:r>
      <w:r>
        <w:t xml:space="preserve"> </w:t>
      </w:r>
      <w:r>
        <w:t xml:space="preserve">(production, CAP-017); elsewhere it is configurable (ENV-002) and imposes no deployment restriction.</w:t>
      </w:r>
    </w:p>
    <w:p>
      <w:pPr>
        <w:pStyle w:val="BlockText"/>
      </w:pPr>
      <w:r>
        <w:t xml:space="preserve">The two are</w:t>
      </w:r>
      <w:r>
        <w:t xml:space="preserve"> </w:t>
      </w:r>
      <w:r>
        <w:rPr>
          <w:bCs/>
          <w:b/>
        </w:rPr>
        <w:t xml:space="preserve">parallel control planes</w:t>
      </w:r>
      <w:r>
        <w:t xml:space="preserve">; their sole coupling is the</w:t>
      </w:r>
      <w:r>
        <w:t xml:space="preserve"> </w:t>
      </w:r>
      <w:r>
        <w:rPr>
          <w:bCs/>
          <w:b/>
        </w:rPr>
        <w:t xml:space="preserve">pre-deploy readiness validation</w:t>
      </w:r>
      <w:r>
        <w:t xml:space="preserve"> </w:t>
      </w:r>
      <w:r>
        <w:t xml:space="preserve">(CAP-016 + QUA-007), which is a fail-fast safety check,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second independent throttle.</w:t>
      </w:r>
    </w:p>
    <w:p>
      <w:pPr>
        <w:pStyle w:val="FirstParagraph"/>
      </w:pPr>
      <w:r>
        <w:rPr>
          <w:rStyle w:val="VerbatimChar"/>
        </w:rPr>
        <w:t xml:space="preserve">[Decided]</w:t>
      </w:r>
    </w:p>
    <w:bookmarkEnd w:id="26"/>
    <w:bookmarkStart w:id="30" w:name="consequences"/>
    <w:p>
      <w:pPr>
        <w:pStyle w:val="Heading2"/>
      </w:pPr>
      <w:r>
        <w:t xml:space="preserve">Consequences</w:t>
      </w:r>
    </w:p>
    <w:bookmarkStart w:id="27" w:name="positive"/>
    <w:p>
      <w:pPr>
        <w:pStyle w:val="Heading3"/>
      </w:pPr>
      <w:r>
        <w:t xml:space="preserve">Positive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Clarifies the division of responsibility:</w:t>
      </w:r>
      <w:r>
        <w:t xml:space="preserve"> </w:t>
      </w:r>
      <w:r>
        <w:t xml:space="preserve">quota = budget/allocation, CR/CRG = guarantee, validation = the seam.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Prevents redundant quota enforcement in ACRME</w:t>
      </w:r>
      <w:r>
        <w:t xml:space="preserve"> </w:t>
      </w:r>
      <w:r>
        <w:t xml:space="preserve">— Azure already does it; ACRME only reads quota state for readiness warnings.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Preserves non-prod flexibility</w:t>
      </w:r>
      <w:r>
        <w:t xml:space="preserve"> </w:t>
      </w:r>
      <w:r>
        <w:t xml:space="preserve">— ENV-002 keeps reservation enforcement configurable so deallocations for cost savings are never blocked.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Correctly frames subscription topology as a quota-scoping trade-off</w:t>
      </w:r>
      <w:r>
        <w:t xml:space="preserve">, not an arbitrary ACRME restriction.</w:t>
      </w:r>
    </w:p>
    <w:bookmarkEnd w:id="27"/>
    <w:bookmarkStart w:id="28" w:name="risks"/>
    <w:p>
      <w:pPr>
        <w:pStyle w:val="Heading3"/>
      </w:pPr>
      <w:r>
        <w:t xml:space="preserve">Risks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Quota’s native hard limit can still surprise users</w:t>
      </w:r>
      <w:r>
        <w:t xml:space="preserve"> </w:t>
      </w:r>
      <w:r>
        <w:t xml:space="preserve">who misread</w:t>
      </w:r>
      <w:r>
        <w:t xml:space="preserve"> </w:t>
      </w:r>
      <w:r>
        <w:t xml:space="preserve">“</w:t>
      </w:r>
      <w:r>
        <w:t xml:space="preserve">quota-as-governor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ACRME shouldn’t enforce quota.</w:t>
      </w:r>
      <w:r>
        <w:t xml:space="preserve">”</w:t>
      </w:r>
      <w:r>
        <w:t xml:space="preserve"> </w:t>
      </w:r>
      <w:r>
        <w:t xml:space="preserve">Reality: ACRME doesn’t; Azure does. The governor metaphor applies to</w:t>
      </w:r>
      <w:r>
        <w:t xml:space="preserve"> </w:t>
      </w:r>
      <w:r>
        <w:rPr>
          <w:iCs/>
          <w:i/>
        </w:rPr>
        <w:t xml:space="preserve">allocation policy</w:t>
      </w:r>
      <w:r>
        <w:t xml:space="preserve">, not</w:t>
      </w:r>
      <w:r>
        <w:t xml:space="preserve"> </w:t>
      </w:r>
      <w:r>
        <w:rPr>
          <w:iCs/>
          <w:i/>
        </w:rPr>
        <w:t xml:space="preserve">whether quota exists as a deploy-time gate</w:t>
      </w:r>
      <w:r>
        <w:t xml:space="preserve">.</w:t>
      </w:r>
    </w:p>
    <w:bookmarkEnd w:id="28"/>
    <w:bookmarkStart w:id="29" w:name="deployment-strategy-implications"/>
    <w:p>
      <w:pPr>
        <w:pStyle w:val="Heading3"/>
      </w:pPr>
      <w:r>
        <w:t xml:space="preserve">Deployment Strategy Implications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Subscription topology</w:t>
      </w:r>
      <w:r>
        <w:t xml:space="preserve"> </w:t>
      </w:r>
      <w:r>
        <w:t xml:space="preserve">is shaped by quota scoping (QUA-002: subscription × region × family) because that’s where Azure draws the boundary. Single-subscription-per-region collapses per-environment quota isolation — a</w:t>
      </w:r>
      <w:r>
        <w:t xml:space="preserve"> </w:t>
      </w:r>
      <w:r>
        <w:rPr>
          <w:bCs/>
          <w:b/>
        </w:rPr>
        <w:t xml:space="preserve">design trade-off</w:t>
      </w:r>
      <w:r>
        <w:t xml:space="preserve">, not an ACRME deployment restriction.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critical boundary to preserve:</w:t>
      </w:r>
      <w:r>
        <w:t xml:space="preserve"> </w:t>
      </w:r>
      <w:r>
        <w:t xml:space="preserve">Prod on its own subscription (CAP-001a — core subscription is all-production) so quota-as-governor and Prod isolation (ENV-003) both hold structurally.</w:t>
      </w:r>
    </w:p>
    <w:bookmarkEnd w:id="29"/>
    <w:bookmarkEnd w:id="30"/>
    <w:bookmarkStart w:id="31" w:name="alternatives-considered"/>
    <w:p>
      <w:pPr>
        <w:pStyle w:val="Heading2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Re-implement quota enforcement in ACRME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becomes a second quota gate on top of Azure’s native ARM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Redundant, adds latency, creates drift risk between ACRME state and Azure 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Make all reservation enforcement mandatory (no ENV-002 opt-out)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Non-prod reservations block cost-driven deallocations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Violates baseline requirement ENV-002; non-prod must remain flexible for cost 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Treat quota validation as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Deployments proceed without checking quota availability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Violates fail-fast principle; leads to late-stage deployment failures at ARM layer</w:t>
            </w:r>
          </w:p>
        </w:tc>
      </w:tr>
    </w:tbl>
    <w:p>
      <w:pPr>
        <w:pStyle w:val="BodyText"/>
      </w:pPr>
      <w:r>
        <w:t xml:space="preserve">None of these were viable. The chosen boundary (quota = allocation-layer governor + Azure-native enforcement, CR/CRG = configurable guarantee, validation = seam) is the only model that satisfies the baseline requirements and Azure’s native behavior.</w:t>
      </w:r>
      <w:r>
        <w:t xml:space="preserve"> </w:t>
      </w:r>
      <w:r>
        <w:rPr>
          <w:rStyle w:val="VerbatimChar"/>
        </w:rPr>
        <w:t xml:space="preserve">[Decided]</w:t>
      </w:r>
    </w:p>
    <w:bookmarkEnd w:id="31"/>
    <w:bookmarkStart w:id="32" w:name="related-documents"/>
    <w:p>
      <w:pPr>
        <w:pStyle w:val="Heading2"/>
      </w:pPr>
      <w:r>
        <w:t xml:space="preserve">Related Documents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acrme_requirements_baseline_v2_4.md</w:t>
      </w:r>
      <w:r>
        <w:t xml:space="preserve"> </w:t>
      </w:r>
      <w:r>
        <w:t xml:space="preserve">— QUA-001..QUA-013 (quota management), CAP-001..CAP-024 (capacity reservation), ENV-002 (configurable non-prod enforcement), Design Principle 2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adrme_adr_002_quota_management.md</w:t>
      </w:r>
      <w:r>
        <w:t xml:space="preserve"> </w:t>
      </w:r>
      <w:r>
        <w:t xml:space="preserve">— two-group quota model (provider/consumer pool)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acrme_cr_crg_deployment_layout.md</w:t>
      </w:r>
      <w:r>
        <w:t xml:space="preserve"> </w:t>
      </w:r>
      <w:r>
        <w:t xml:space="preserve">— subscription topology trade-offs (§5</w:t>
      </w:r>
      <w:r>
        <w:t xml:space="preserve"> </w:t>
      </w:r>
      <w:r>
        <w:t xml:space="preserve">“</w:t>
      </w:r>
      <w:r>
        <w:t xml:space="preserve">Drawbacks of single-subscription model</w:t>
      </w:r>
      <w:r>
        <w:t xml:space="preserve">”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acrme_technical_design_document.md</w:t>
      </w:r>
      <w:r>
        <w:t xml:space="preserve"> </w:t>
      </w:r>
      <w:r>
        <w:t xml:space="preserve">— service contracts for quota validation and reservation readiness checks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ADR-006.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2026-09-09T07:21:03Z</dcterms:created>
  <dcterms:modified xsi:type="dcterms:W3CDTF">2026-09-09T07:21:03Z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