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acrme-security-and-rbac-guide"/>
    <w:p>
      <w:pPr>
        <w:pStyle w:val="Heading1"/>
      </w:pPr>
      <w:r>
        <w:t xml:space="preserve">ACRME Security and RBAC Guide</w:t>
      </w:r>
    </w:p>
    <w:p>
      <w:pPr>
        <w:pStyle w:val="FirstParagraph"/>
      </w:pPr>
      <w:r>
        <w:rPr>
          <w:bCs/>
          <w:b/>
        </w:rPr>
        <w:t xml:space="preserve">Azure Capacity Reservation Management Engine (ACRME)</w:t>
      </w:r>
      <w:r>
        <w:t xml:space="preserve"> </w:t>
      </w:r>
      <w:r>
        <w:rPr>
          <w:bCs/>
          <w:b/>
        </w:rPr>
        <w:t xml:space="preserve">Author:</w:t>
      </w:r>
      <w:r>
        <w:t xml:space="preserve"> </w:t>
      </w:r>
      <w:r>
        <w:t xml:space="preserve">Vishnuvardhan Reddy — August 2026</w:t>
      </w:r>
      <w:r>
        <w:t xml:space="preserve"> </w:t>
      </w:r>
      <w:r>
        <w:rPr>
          <w:bCs/>
          <w:b/>
        </w:rPr>
        <w:t xml:space="preserve">Status:</w:t>
      </w:r>
      <w:r>
        <w:t xml:space="preserve"> </w:t>
      </w:r>
      <w:r>
        <w:t xml:space="preserve">Prescriptive baseline for implementation and security review</w:t>
      </w:r>
      <w:r>
        <w:t xml:space="preserve"> </w:t>
      </w:r>
      <w:r>
        <w:rPr>
          <w:bCs/>
          <w:b/>
        </w:rPr>
        <w:t xml:space="preserve">Companion artifacts:</w:t>
      </w:r>
      <w:r>
        <w:t xml:space="preserve"> </w:t>
      </w:r>
      <w:r>
        <w:rPr>
          <w:rStyle w:val="VerbatimChar"/>
        </w:rPr>
        <w:t xml:space="preserve">docs/rbac/custom_roles/*.json</w:t>
      </w:r>
      <w:r>
        <w:t xml:space="preserve">,</w:t>
      </w:r>
      <w:r>
        <w:t xml:space="preserve"> </w:t>
      </w:r>
      <w:r>
        <w:rPr>
          <w:rStyle w:val="VerbatimChar"/>
        </w:rPr>
        <w:t xml:space="preserve">docs/rbac/deploy_custom_roles.sh</w:t>
      </w:r>
      <w:r>
        <w:t xml:space="preserve">,</w:t>
      </w:r>
      <w:r>
        <w:t xml:space="preserve"> </w:t>
      </w:r>
      <w:r>
        <w:rPr>
          <w:rStyle w:val="VerbatimChar"/>
        </w:rPr>
        <w:t xml:space="preserve">docs/rbac/deploy_role_assignments.sh</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guide defines the complete authorization model for ACRME. It maps</w:t>
      </w:r>
      <w:r>
        <w:t xml:space="preserve"> </w:t>
      </w:r>
      <w:r>
        <w:rPr>
          <w:bCs/>
          <w:b/>
        </w:rPr>
        <w:t xml:space="preserve">every operation the engine performs</w:t>
      </w:r>
      <w:r>
        <w:t xml:space="preserve"> </w:t>
      </w:r>
      <w:r>
        <w:t xml:space="preserve">to the</w:t>
      </w:r>
      <w:r>
        <w:t xml:space="preserve"> </w:t>
      </w:r>
      <w:r>
        <w:rPr>
          <w:bCs/>
          <w:b/>
        </w:rPr>
        <w:t xml:space="preserve">exact Azure control-plane permissions</w:t>
      </w:r>
      <w:r>
        <w:t xml:space="preserve"> </w:t>
      </w:r>
      <w:r>
        <w:t xml:space="preserve">required, and it provides</w:t>
      </w:r>
      <w:r>
        <w:t xml:space="preserve"> </w:t>
      </w:r>
      <w:r>
        <w:rPr>
          <w:bCs/>
          <w:b/>
        </w:rPr>
        <w:t xml:space="preserve">least-privilege custom role definitions</w:t>
      </w:r>
      <w:r>
        <w:t xml:space="preserve"> </w:t>
      </w:r>
      <w:r>
        <w:t xml:space="preserve">for each functional identity. It is the authoritative reference for:</w:t>
      </w:r>
    </w:p>
    <w:p>
      <w:pPr>
        <w:numPr>
          <w:ilvl w:val="0"/>
          <w:numId w:val="1001"/>
        </w:numPr>
        <w:pStyle w:val="Compact"/>
      </w:pPr>
      <w:r>
        <w:t xml:space="preserve">Security review and threat modeling of the ACRME control plane.</w:t>
      </w:r>
    </w:p>
    <w:p>
      <w:pPr>
        <w:numPr>
          <w:ilvl w:val="0"/>
          <w:numId w:val="1001"/>
        </w:numPr>
        <w:pStyle w:val="Compact"/>
      </w:pPr>
      <w:r>
        <w:t xml:space="preserve">Provisioning the managed identities the engine runs under.</w:t>
      </w:r>
    </w:p>
    <w:p>
      <w:pPr>
        <w:numPr>
          <w:ilvl w:val="0"/>
          <w:numId w:val="1001"/>
        </w:numPr>
        <w:pStyle w:val="Compact"/>
      </w:pPr>
      <w:r>
        <w:t xml:space="preserve">Auditing what the engine can and cannot do in each managed subscription.</w:t>
      </w:r>
    </w:p>
    <w:p>
      <w:pPr>
        <w:numPr>
          <w:ilvl w:val="0"/>
          <w:numId w:val="1001"/>
        </w:numPr>
        <w:pStyle w:val="Compact"/>
      </w:pPr>
      <w:r>
        <w:t xml:space="preserve">Closing production gate</w:t>
      </w:r>
      <w:r>
        <w:t xml:space="preserve"> </w:t>
      </w:r>
      <w:r>
        <w:rPr>
          <w:bCs/>
          <w:b/>
        </w:rPr>
        <w:t xml:space="preserve">G-14</w:t>
      </w:r>
      <w:r>
        <w:t xml:space="preserve"> </w:t>
      </w:r>
      <w:r>
        <w:t xml:space="preserve">(consumer VM disassociation, Tier 3) with a customer-consented, resource-group-scoped identity rather than subscription-wide Virtual Machine Contributor.</w:t>
      </w:r>
    </w:p>
    <w:p>
      <w:pPr>
        <w:pStyle w:val="FirstParagraph"/>
      </w:pPr>
      <w:r>
        <w:rPr>
          <w:bCs/>
          <w:b/>
        </w:rPr>
        <w:t xml:space="preserve">Design principle — least privilege by construction.</w:t>
      </w:r>
      <w:r>
        <w:t xml:space="preserve"> </w:t>
      </w:r>
      <w:r>
        <w:t xml:space="preserve">ACRME never runs as Owner, Contributor, or User Access Administrator. Each function runs under a dedicated identity holding a purpose-built custom role scoped to the narrowest resource container that still lets the function complete. Role assignment (a privileged operation) is isolated from capacity and VM mutation, and no engine identity may broaden its own rights.</w:t>
      </w:r>
    </w:p>
    <w:p>
      <w:pPr>
        <w:pStyle w:val="BodyText"/>
      </w:pPr>
      <w:r>
        <w:rPr>
          <w:bCs/>
          <w:b/>
        </w:rPr>
        <w:t xml:space="preserve">What this guide does not cover.</w:t>
      </w:r>
      <w:r>
        <w:t xml:space="preserve"> </w:t>
      </w:r>
      <w:r>
        <w:t xml:space="preserve">Data-plane secrets for Cosmos DB / Redis (handled by managed identity + Azure RBAC data roles, out of scope here beyond §12), network security groups, and Azure Policy authoring. Those are referenced where they intersect authorization.</w:t>
      </w:r>
    </w:p>
    <w:p>
      <w:r>
        <w:pict>
          <v:rect style="width:0;height:1.5pt" o:hralign="center" o:hrstd="t" o:hr="t"/>
        </w:pict>
      </w:r>
    </w:p>
    <w:bookmarkEnd w:id="20"/>
    <w:bookmarkStart w:id="23" w:name="identity-model"/>
    <w:p>
      <w:pPr>
        <w:pStyle w:val="Heading2"/>
      </w:pPr>
      <w:r>
        <w:t xml:space="preserve">2. Identity model</w:t>
      </w:r>
    </w:p>
    <w:p>
      <w:pPr>
        <w:pStyle w:val="FirstParagraph"/>
      </w:pPr>
      <w:r>
        <w:t xml:space="preserve">ACRME uses</w:t>
      </w:r>
      <w:r>
        <w:t xml:space="preserve"> </w:t>
      </w:r>
      <w:r>
        <w:rPr>
          <w:bCs/>
          <w:b/>
        </w:rPr>
        <w:t xml:space="preserve">User-Assigned Managed Identities (UAMI)</w:t>
      </w:r>
      <w:r>
        <w:t xml:space="preserve">, one per function. UAMIs are preferred over system-assigned identities because they:</w:t>
      </w:r>
    </w:p>
    <w:p>
      <w:pPr>
        <w:numPr>
          <w:ilvl w:val="0"/>
          <w:numId w:val="1002"/>
        </w:numPr>
        <w:pStyle w:val="Compact"/>
      </w:pPr>
      <w:r>
        <w:t xml:space="preserve">Survive compute recreation (AKS node pool / Container Apps revision churn) without re-granting roles.</w:t>
      </w:r>
    </w:p>
    <w:p>
      <w:pPr>
        <w:numPr>
          <w:ilvl w:val="0"/>
          <w:numId w:val="1002"/>
        </w:numPr>
        <w:pStyle w:val="Compact"/>
      </w:pPr>
      <w:r>
        <w:t xml:space="preserve">Can be assigned before the workload exists, enabling infrastructure-as-code role assignment.</w:t>
      </w:r>
    </w:p>
    <w:p>
      <w:pPr>
        <w:numPr>
          <w:ilvl w:val="0"/>
          <w:numId w:val="1002"/>
        </w:numPr>
        <w:pStyle w:val="Compact"/>
      </w:pPr>
      <w:r>
        <w:t xml:space="preserve">Make the blast radius of each function explicit and independently revocable.</w:t>
      </w:r>
    </w:p>
    <w:p>
      <w:pPr>
        <w:pStyle w:val="FirstParagraph"/>
      </w:pPr>
      <w:r>
        <w:rPr>
          <w:bCs/>
          <w:b/>
        </w:rPr>
        <w:t xml:space="preserve">No stored client secrets.</w:t>
      </w:r>
      <w:r>
        <w:t xml:space="preserve"> </w:t>
      </w:r>
      <w:r>
        <w:t xml:space="preserve">ACRME holds no service-principal client secrets or certificates. All Azure authentication is federated through managed identity token acquisition (</w:t>
      </w:r>
      <w:r>
        <w:rPr>
          <w:rStyle w:val="VerbatimChar"/>
        </w:rPr>
        <w:t xml:space="preserve">DefaultAzureCredential</w:t>
      </w:r>
      <w:r>
        <w:t xml:space="preserve"> </w:t>
      </w:r>
      <w:r>
        <w:t xml:space="preserve">→</w:t>
      </w:r>
      <w:r>
        <w:t xml:space="preserve"> </w:t>
      </w:r>
      <w:r>
        <w:rPr>
          <w:rStyle w:val="VerbatimChar"/>
        </w:rPr>
        <w:t xml:space="preserve">ManagedIdentityCredential</w:t>
      </w:r>
      <w:r>
        <w:t xml:space="preserve">). This eliminates the most common credential-leak class and removes secret-rotation from the operational burden.</w:t>
      </w:r>
    </w:p>
    <w:bookmarkStart w:id="21" w:name="functional-identities"/>
    <w:p>
      <w:pPr>
        <w:pStyle w:val="Heading3"/>
      </w:pPr>
      <w:r>
        <w:t xml:space="preserve">2.1 Functional identities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Identity (UAMI)</w:t>
            </w:r>
          </w:p>
        </w:tc>
        <w:tc>
          <w:tcPr/>
          <w:p>
            <w:pPr>
              <w:pStyle w:val="Compact"/>
              <w:jc w:val="left"/>
            </w:pPr>
            <w:r>
              <w:t xml:space="preserve">Function</w:t>
            </w:r>
          </w:p>
        </w:tc>
        <w:tc>
          <w:tcPr/>
          <w:p>
            <w:pPr>
              <w:pStyle w:val="Compact"/>
              <w:jc w:val="left"/>
            </w:pPr>
            <w:r>
              <w:t xml:space="preserve">Custom role</w:t>
            </w:r>
          </w:p>
        </w:tc>
        <w:tc>
          <w:tcPr/>
          <w:p>
            <w:pPr>
              <w:pStyle w:val="Compact"/>
              <w:jc w:val="left"/>
            </w:pPr>
            <w:r>
              <w:t xml:space="preserve">Default scope</w:t>
            </w:r>
          </w:p>
        </w:tc>
      </w:tr>
      <w:tr>
        <w:tc>
          <w:tcPr/>
          <w:p>
            <w:pPr>
              <w:pStyle w:val="Compact"/>
              <w:jc w:val="left"/>
            </w:pPr>
            <w:r>
              <w:t xml:space="preserve">1</w:t>
            </w:r>
          </w:p>
        </w:tc>
        <w:tc>
          <w:tcPr/>
          <w:p>
            <w:pPr>
              <w:pStyle w:val="Compact"/>
              <w:jc w:val="left"/>
            </w:pPr>
            <w:r>
              <w:rPr>
                <w:rStyle w:val="VerbatimChar"/>
              </w:rPr>
              <w:t xml:space="preserve">id-acrme-reader</w:t>
            </w:r>
          </w:p>
        </w:tc>
        <w:tc>
          <w:tcPr/>
          <w:p>
            <w:pPr>
              <w:pStyle w:val="Compact"/>
              <w:jc w:val="left"/>
            </w:pPr>
            <w:r>
              <w:t xml:space="preserve">Discovery, snapshotting, ARG queries, placement reads, reconciliation reads</w:t>
            </w:r>
          </w:p>
        </w:tc>
        <w:tc>
          <w:tcPr/>
          <w:p>
            <w:pPr>
              <w:pStyle w:val="Compact"/>
              <w:jc w:val="left"/>
            </w:pPr>
            <w:r>
              <w:rPr>
                <w:bCs/>
                <w:b/>
              </w:rPr>
              <w:t xml:space="preserve">ACRME Reader</w:t>
            </w:r>
          </w:p>
        </w:tc>
        <w:tc>
          <w:tcPr/>
          <w:p>
            <w:pPr>
              <w:pStyle w:val="Compact"/>
              <w:jc w:val="left"/>
            </w:pPr>
            <w:r>
              <w:t xml:space="preserve">All managed subscriptions (reader-only)</w:t>
            </w:r>
          </w:p>
        </w:tc>
      </w:tr>
      <w:tr>
        <w:tc>
          <w:tcPr/>
          <w:p>
            <w:pPr>
              <w:pStyle w:val="Compact"/>
              <w:jc w:val="left"/>
            </w:pPr>
            <w:r>
              <w:t xml:space="preserve">2</w:t>
            </w:r>
          </w:p>
        </w:tc>
        <w:tc>
          <w:tcPr/>
          <w:p>
            <w:pPr>
              <w:pStyle w:val="Compact"/>
              <w:jc w:val="left"/>
            </w:pPr>
            <w:r>
              <w:rPr>
                <w:rStyle w:val="VerbatimChar"/>
              </w:rPr>
              <w:t xml:space="preserve">id-acrme-capacity-operator</w:t>
            </w:r>
          </w:p>
        </w:tc>
        <w:tc>
          <w:tcPr/>
          <w:p>
            <w:pPr>
              <w:pStyle w:val="Compact"/>
              <w:jc w:val="left"/>
            </w:pPr>
            <w:r>
              <w:t xml:space="preserve">CRG / CR create, update, resize, delete</w:t>
            </w:r>
          </w:p>
        </w:tc>
        <w:tc>
          <w:tcPr/>
          <w:p>
            <w:pPr>
              <w:pStyle w:val="Compact"/>
              <w:jc w:val="left"/>
            </w:pPr>
            <w:r>
              <w:rPr>
                <w:bCs/>
                <w:b/>
              </w:rPr>
              <w:t xml:space="preserve">ACRME Capacity Operator</w:t>
            </w:r>
          </w:p>
        </w:tc>
        <w:tc>
          <w:tcPr/>
          <w:p>
            <w:pPr>
              <w:pStyle w:val="Compact"/>
              <w:jc w:val="left"/>
            </w:pPr>
            <w:r>
              <w:t xml:space="preserve">Approved provider resource groups</w:t>
            </w:r>
          </w:p>
        </w:tc>
      </w:tr>
      <w:tr>
        <w:tc>
          <w:tcPr/>
          <w:p>
            <w:pPr>
              <w:pStyle w:val="Compact"/>
              <w:jc w:val="left"/>
            </w:pPr>
            <w:r>
              <w:t xml:space="preserve">3</w:t>
            </w:r>
          </w:p>
        </w:tc>
        <w:tc>
          <w:tcPr/>
          <w:p>
            <w:pPr>
              <w:pStyle w:val="Compact"/>
              <w:jc w:val="left"/>
            </w:pPr>
            <w:r>
              <w:rPr>
                <w:rStyle w:val="VerbatimChar"/>
              </w:rPr>
              <w:t xml:space="preserve">id-acrme-sharing-operator</w:t>
            </w:r>
          </w:p>
        </w:tc>
        <w:tc>
          <w:tcPr/>
          <w:p>
            <w:pPr>
              <w:pStyle w:val="Compact"/>
              <w:jc w:val="left"/>
            </w:pPr>
            <w:r>
              <w:t xml:space="preserve">CRG sharing profile edits + approved role-assignment onboarding</w:t>
            </w:r>
          </w:p>
        </w:tc>
        <w:tc>
          <w:tcPr/>
          <w:p>
            <w:pPr>
              <w:pStyle w:val="Compact"/>
              <w:jc w:val="left"/>
            </w:pPr>
            <w:r>
              <w:rPr>
                <w:bCs/>
                <w:b/>
              </w:rPr>
              <w:t xml:space="preserve">ACRME Sharing Operator</w:t>
            </w:r>
          </w:p>
        </w:tc>
        <w:tc>
          <w:tcPr/>
          <w:p>
            <w:pPr>
              <w:pStyle w:val="Compact"/>
              <w:jc w:val="left"/>
            </w:pPr>
            <w:r>
              <w:t xml:space="preserve">Approved CRGs + onboarding scopes</w:t>
            </w:r>
          </w:p>
        </w:tc>
      </w:tr>
      <w:tr>
        <w:tc>
          <w:tcPr/>
          <w:p>
            <w:pPr>
              <w:pStyle w:val="Compact"/>
              <w:jc w:val="left"/>
            </w:pPr>
            <w:r>
              <w:t xml:space="preserve">4</w:t>
            </w:r>
          </w:p>
        </w:tc>
        <w:tc>
          <w:tcPr/>
          <w:p>
            <w:pPr>
              <w:pStyle w:val="Compact"/>
              <w:jc w:val="left"/>
            </w:pPr>
            <w:r>
              <w:rPr>
                <w:rStyle w:val="VerbatimChar"/>
              </w:rPr>
              <w:t xml:space="preserve">id-acrme-quota-operator</w:t>
            </w:r>
          </w:p>
        </w:tc>
        <w:tc>
          <w:tcPr/>
          <w:p>
            <w:pPr>
              <w:pStyle w:val="Compact"/>
              <w:jc w:val="left"/>
            </w:pPr>
            <w:r>
              <w:t xml:space="preserve">Quota query and increase requests</w:t>
            </w:r>
          </w:p>
        </w:tc>
        <w:tc>
          <w:tcPr/>
          <w:p>
            <w:pPr>
              <w:pStyle w:val="Compact"/>
              <w:jc w:val="left"/>
            </w:pPr>
            <w:r>
              <w:rPr>
                <w:bCs/>
                <w:b/>
              </w:rPr>
              <w:t xml:space="preserve">ACRME Quota Operator</w:t>
            </w:r>
          </w:p>
        </w:tc>
        <w:tc>
          <w:tcPr/>
          <w:p>
            <w:pPr>
              <w:pStyle w:val="Compact"/>
              <w:jc w:val="left"/>
            </w:pPr>
            <w:r>
              <w:t xml:space="preserve">Approved quota scopes</w:t>
            </w:r>
          </w:p>
        </w:tc>
      </w:tr>
      <w:tr>
        <w:tc>
          <w:tcPr/>
          <w:p>
            <w:pPr>
              <w:pStyle w:val="Compact"/>
              <w:jc w:val="left"/>
            </w:pPr>
            <w:r>
              <w:t xml:space="preserve">5</w:t>
            </w:r>
          </w:p>
        </w:tc>
        <w:tc>
          <w:tcPr/>
          <w:p>
            <w:pPr>
              <w:pStyle w:val="Compact"/>
              <w:jc w:val="left"/>
            </w:pPr>
            <w:r>
              <w:rPr>
                <w:rStyle w:val="VerbatimChar"/>
              </w:rPr>
              <w:t xml:space="preserve">id-acrme-consumer-compute-operator</w:t>
            </w:r>
          </w:p>
        </w:tc>
        <w:tc>
          <w:tcPr/>
          <w:p>
            <w:pPr>
              <w:pStyle w:val="Compact"/>
              <w:jc w:val="left"/>
            </w:pPr>
            <w:r>
              <w:rPr>
                <w:bCs/>
                <w:b/>
              </w:rPr>
              <w:t xml:space="preserve">Tier 3</w:t>
            </w:r>
            <w:r>
              <w:t xml:space="preserve"> </w:t>
            </w:r>
            <w:r>
              <w:t xml:space="preserve">consumer VM disassociation (G-14, disabled by default)</w:t>
            </w:r>
          </w:p>
        </w:tc>
        <w:tc>
          <w:tcPr/>
          <w:p>
            <w:pPr>
              <w:pStyle w:val="Compact"/>
              <w:jc w:val="left"/>
            </w:pPr>
            <w:r>
              <w:rPr>
                <w:bCs/>
                <w:b/>
              </w:rPr>
              <w:t xml:space="preserve">ACRME Consumer Compute Operator</w:t>
            </w:r>
          </w:p>
        </w:tc>
        <w:tc>
          <w:tcPr/>
          <w:p>
            <w:pPr>
              <w:pStyle w:val="Compact"/>
              <w:jc w:val="left"/>
            </w:pPr>
            <w:r>
              <w:t xml:space="preserve">Explicit consumer resource groups only</w:t>
            </w:r>
          </w:p>
        </w:tc>
      </w:tr>
    </w:tbl>
    <w:bookmarkEnd w:id="21"/>
    <w:bookmarkStart w:id="22" w:name="application-engine-api-roles"/>
    <w:p>
      <w:pPr>
        <w:pStyle w:val="Heading3"/>
      </w:pPr>
      <w:r>
        <w:t xml:space="preserve">2.2 Application (engine-API) roles</w:t>
      </w:r>
    </w:p>
    <w:p>
      <w:pPr>
        <w:pStyle w:val="FirstParagraph"/>
      </w:pPr>
      <w:r>
        <w:t xml:space="preserve">The five identities above are</w:t>
      </w:r>
      <w:r>
        <w:t xml:space="preserve"> </w:t>
      </w:r>
      <w:r>
        <w:rPr>
          <w:bCs/>
          <w:b/>
        </w:rPr>
        <w:t xml:space="preserve">Azure control-plane</w:t>
      </w:r>
      <w:r>
        <w:t xml:space="preserve"> </w:t>
      </w:r>
      <w:r>
        <w:t xml:space="preserve">identities. On top of them, the ACRME API enforces</w:t>
      </w:r>
      <w:r>
        <w:t xml:space="preserve"> </w:t>
      </w:r>
      <w:r>
        <w:rPr>
          <w:bCs/>
          <w:b/>
        </w:rPr>
        <w:t xml:space="preserve">application-level roles</w:t>
      </w:r>
      <w:r>
        <w:t xml:space="preserve"> </w:t>
      </w:r>
      <w:r>
        <w:t xml:space="preserve">that gate</w:t>
      </w:r>
      <w:r>
        <w:t xml:space="preserve"> </w:t>
      </w:r>
      <w:r>
        <w:rPr>
          <w:iCs/>
          <w:i/>
        </w:rPr>
        <w:t xml:space="preserve">who may ask the engine to act</w:t>
      </w:r>
      <w:r>
        <w:t xml:space="preserve">. These map to the operational personas in the production-readiness review and are enforced in the API authorization layer (Entra ID app roles / groups), independent of the Azure identity the engine then uses to execute.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App role</w:t>
            </w:r>
          </w:p>
        </w:tc>
        <w:tc>
          <w:tcPr/>
          <w:p>
            <w:pPr>
              <w:pStyle w:val="Compact"/>
              <w:jc w:val="left"/>
            </w:pPr>
            <w:r>
              <w:t xml:space="preserve">May request</w:t>
            </w:r>
          </w:p>
        </w:tc>
        <w:tc>
          <w:tcPr/>
          <w:p>
            <w:pPr>
              <w:pStyle w:val="Compact"/>
              <w:jc w:val="left"/>
            </w:pPr>
            <w:r>
              <w:t xml:space="preserve">May not</w:t>
            </w:r>
          </w:p>
        </w:tc>
      </w:tr>
      <w:tr>
        <w:tc>
          <w:tcPr/>
          <w:p>
            <w:pPr>
              <w:pStyle w:val="Compact"/>
              <w:jc w:val="left"/>
            </w:pPr>
            <w:r>
              <w:rPr>
                <w:bCs/>
                <w:b/>
              </w:rPr>
              <w:t xml:space="preserve">DR Operator</w:t>
            </w:r>
          </w:p>
        </w:tc>
        <w:tc>
          <w:tcPr/>
          <w:p>
            <w:pPr>
              <w:pStyle w:val="Compact"/>
              <w:jc w:val="left"/>
            </w:pPr>
            <w:r>
              <w:t xml:space="preserve">Failover, failback, Tier 1, approved Tier 2</w:t>
            </w:r>
          </w:p>
        </w:tc>
        <w:tc>
          <w:tcPr/>
          <w:p>
            <w:pPr>
              <w:pStyle w:val="Compact"/>
              <w:jc w:val="left"/>
            </w:pPr>
            <w:r>
              <w:t xml:space="preserve">Role assignment, policy editing</w:t>
            </w:r>
          </w:p>
        </w:tc>
      </w:tr>
      <w:tr>
        <w:tc>
          <w:tcPr/>
          <w:p>
            <w:pPr>
              <w:pStyle w:val="Compact"/>
              <w:jc w:val="left"/>
            </w:pPr>
            <w:r>
              <w:rPr>
                <w:bCs/>
                <w:b/>
              </w:rPr>
              <w:t xml:space="preserve">Emergency Operator</w:t>
            </w:r>
          </w:p>
        </w:tc>
        <w:tc>
          <w:tcPr/>
          <w:p>
            <w:pPr>
              <w:pStyle w:val="Compact"/>
              <w:jc w:val="left"/>
            </w:pPr>
            <w:r>
              <w:t xml:space="preserve">Tier 3 request (after G-14 enablement)</w:t>
            </w:r>
          </w:p>
        </w:tc>
        <w:tc>
          <w:tcPr/>
          <w:p>
            <w:pPr>
              <w:pStyle w:val="Compact"/>
              <w:jc w:val="left"/>
            </w:pPr>
            <w:r>
              <w:t xml:space="preserve">Autonomous target selection</w:t>
            </w:r>
          </w:p>
        </w:tc>
      </w:tr>
      <w:tr>
        <w:tc>
          <w:tcPr/>
          <w:p>
            <w:pPr>
              <w:pStyle w:val="Compact"/>
              <w:jc w:val="left"/>
            </w:pPr>
            <w:r>
              <w:rPr>
                <w:bCs/>
                <w:b/>
              </w:rPr>
              <w:t xml:space="preserve">Policy Admin</w:t>
            </w:r>
          </w:p>
        </w:tc>
        <w:tc>
          <w:tcPr/>
          <w:p>
            <w:pPr>
              <w:pStyle w:val="Compact"/>
              <w:jc w:val="left"/>
            </w:pPr>
            <w:r>
              <w:t xml:space="preserve">Version and activate placement/transfer policy</w:t>
            </w:r>
          </w:p>
        </w:tc>
        <w:tc>
          <w:tcPr/>
          <w:p>
            <w:pPr>
              <w:pStyle w:val="Compact"/>
              <w:jc w:val="left"/>
            </w:pPr>
            <w:r>
              <w:t xml:space="preserve">Execute DR operations</w:t>
            </w:r>
          </w:p>
        </w:tc>
      </w:tr>
      <w:tr>
        <w:tc>
          <w:tcPr/>
          <w:p>
            <w:pPr>
              <w:pStyle w:val="Compact"/>
              <w:jc w:val="left"/>
            </w:pPr>
            <w:r>
              <w:rPr>
                <w:bCs/>
                <w:b/>
              </w:rPr>
              <w:t xml:space="preserve">Auditor</w:t>
            </w:r>
          </w:p>
        </w:tc>
        <w:tc>
          <w:tcPr/>
          <w:p>
            <w:pPr>
              <w:pStyle w:val="Compact"/>
              <w:jc w:val="left"/>
            </w:pPr>
            <w:r>
              <w:t xml:space="preserve">Read audit trail and evidence</w:t>
            </w:r>
          </w:p>
        </w:tc>
        <w:tc>
          <w:tcPr/>
          <w:p>
            <w:pPr>
              <w:pStyle w:val="Compact"/>
              <w:jc w:val="left"/>
            </w:pPr>
            <w:r>
              <w:t xml:space="preserve">Any mutation</w:t>
            </w:r>
          </w:p>
        </w:tc>
      </w:tr>
    </w:tbl>
    <w:p>
      <w:pPr>
        <w:pStyle w:val="BodyText"/>
      </w:pPr>
      <w:r>
        <w:t xml:space="preserve">Separation is deliberate: a DR Operator can</w:t>
      </w:r>
      <w:r>
        <w:t xml:space="preserve"> </w:t>
      </w:r>
      <w:r>
        <w:rPr>
          <w:iCs/>
          <w:i/>
        </w:rPr>
        <w:t xml:space="preserve">drive</w:t>
      </w:r>
      <w:r>
        <w:t xml:space="preserve"> </w:t>
      </w:r>
      <w:r>
        <w:t xml:space="preserve">the engine but cannot grant themselves or the engine new Azure rights; a Policy Admin shapes behavior but cannot execute it; an Auditor sees everything and changes nothing. See §10 (separation of duties).</w:t>
      </w:r>
    </w:p>
    <w:p>
      <w:r>
        <w:pict>
          <v:rect style="width:0;height:1.5pt" o:hralign="center" o:hrstd="t" o:hr="t"/>
        </w:pict>
      </w:r>
    </w:p>
    <w:bookmarkEnd w:id="22"/>
    <w:bookmarkEnd w:id="23"/>
    <w:bookmarkStart w:id="30" w:name="operation-permission-matrix"/>
    <w:p>
      <w:pPr>
        <w:pStyle w:val="Heading2"/>
      </w:pPr>
      <w:r>
        <w:t xml:space="preserve">3. Operation → permission matrix</w:t>
      </w:r>
    </w:p>
    <w:p>
      <w:pPr>
        <w:pStyle w:val="FirstParagraph"/>
      </w:pPr>
      <w:r>
        <w:t xml:space="preserve">This is the core of the guide. Each row is a concrete engine operation, the service that owns it, the exact Azure action(s) required, and the identity that carries them. Actions are Azure Resource Manager control-plane operations unless noted.</w:t>
      </w:r>
    </w:p>
    <w:bookmarkStart w:id="24" w:name="Xcbce81b4d94d3d8ab6f2b9d1ef96e9059bbce9a"/>
    <w:p>
      <w:pPr>
        <w:pStyle w:val="Heading3"/>
      </w:pPr>
      <w:r>
        <w:t xml:space="preserve">3.1 Discovery and read operations —</w:t>
      </w:r>
      <w:r>
        <w:t xml:space="preserve"> </w:t>
      </w:r>
      <w:r>
        <w:rPr>
          <w:iCs/>
          <w:i/>
        </w:rPr>
        <w:t xml:space="preserve">ACRME Reader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List/read CRGs</w:t>
            </w:r>
          </w:p>
        </w:tc>
        <w:tc>
          <w:tcPr/>
          <w:p>
            <w:pPr>
              <w:pStyle w:val="Compact"/>
              <w:jc w:val="left"/>
            </w:pPr>
            <w:r>
              <w:t xml:space="preserve">RegionalSnapshotService</w:t>
            </w:r>
          </w:p>
        </w:tc>
        <w:tc>
          <w:tcPr/>
          <w:p>
            <w:pPr>
              <w:pStyle w:val="Compact"/>
              <w:jc w:val="left"/>
            </w:pPr>
            <w:r>
              <w:rPr>
                <w:rStyle w:val="VerbatimChar"/>
              </w:rPr>
              <w:t xml:space="preserve">Microsoft.Compute/capacityReservationGroups/read</w:t>
            </w:r>
          </w:p>
        </w:tc>
        <w:tc>
          <w:tcPr/>
          <w:p>
            <w:pPr>
              <w:pStyle w:val="Compact"/>
            </w:pPr>
          </w:p>
        </w:tc>
      </w:tr>
      <w:tr>
        <w:tc>
          <w:tcPr/>
          <w:p>
            <w:pPr>
              <w:pStyle w:val="Compact"/>
              <w:jc w:val="left"/>
            </w:pPr>
            <w:r>
              <w:t xml:space="preserve">List/read capacity reservations</w:t>
            </w:r>
          </w:p>
        </w:tc>
        <w:tc>
          <w:tcPr/>
          <w:p>
            <w:pPr>
              <w:pStyle w:val="Compact"/>
              <w:jc w:val="left"/>
            </w:pPr>
            <w:r>
              <w:t xml:space="preserve">RegionalSnapshotService</w:t>
            </w:r>
          </w:p>
        </w:tc>
        <w:tc>
          <w:tcPr/>
          <w:p>
            <w:pPr>
              <w:pStyle w:val="Compact"/>
              <w:jc w:val="left"/>
            </w:pPr>
            <w:r>
              <w:rPr>
                <w:rStyle w:val="VerbatimChar"/>
              </w:rPr>
              <w:t xml:space="preserve">Microsoft.Compute/capacityReservations/read</w:t>
            </w:r>
          </w:p>
        </w:tc>
        <w:tc>
          <w:tcPr/>
          <w:p>
            <w:pPr>
              <w:pStyle w:val="Compact"/>
              <w:jc w:val="left"/>
            </w:pPr>
            <w:r>
              <w:t xml:space="preserve">Includes</w:t>
            </w:r>
            <w:r>
              <w:t xml:space="preserve"> </w:t>
            </w:r>
            <w:r>
              <w:rPr>
                <w:rStyle w:val="VerbatimChar"/>
              </w:rPr>
              <w:t xml:space="preserve">instanceView</w:t>
            </w:r>
            <w:r>
              <w:t xml:space="preserve"> </w:t>
            </w:r>
            <w:r>
              <w:t xml:space="preserve">for utilization</w:t>
            </w:r>
          </w:p>
        </w:tc>
      </w:tr>
      <w:tr>
        <w:tc>
          <w:tcPr/>
          <w:p>
            <w:pPr>
              <w:pStyle w:val="Compact"/>
              <w:jc w:val="left"/>
            </w:pPr>
            <w:r>
              <w:t xml:space="preserve">Read VM → CRG association state</w:t>
            </w:r>
          </w:p>
        </w:tc>
        <w:tc>
          <w:tcPr/>
          <w:p>
            <w:pPr>
              <w:pStyle w:val="Compact"/>
              <w:jc w:val="left"/>
            </w:pPr>
            <w:r>
              <w:t xml:space="preserve">RegionalSnapshotService</w:t>
            </w:r>
          </w:p>
        </w:tc>
        <w:tc>
          <w:tcPr/>
          <w:p>
            <w:pPr>
              <w:pStyle w:val="Compact"/>
              <w:jc w:val="left"/>
            </w:pPr>
            <w:r>
              <w:rPr>
                <w:rStyle w:val="VerbatimChar"/>
              </w:rPr>
              <w:t xml:space="preserve">Microsoft.Compute/virtualMachines/read</w:t>
            </w:r>
          </w:p>
        </w:tc>
        <w:tc>
          <w:tcPr/>
          <w:p>
            <w:pPr>
              <w:pStyle w:val="Compact"/>
              <w:jc w:val="left"/>
            </w:pPr>
            <w:r>
              <w:t xml:space="preserve">Reads</w:t>
            </w:r>
            <w:r>
              <w:t xml:space="preserve"> </w:t>
            </w:r>
            <w:r>
              <w:rPr>
                <w:rStyle w:val="VerbatimChar"/>
              </w:rPr>
              <w:t xml:space="preserve">capacityReservationGroup</w:t>
            </w:r>
            <w:r>
              <w:t xml:space="preserve"> </w:t>
            </w:r>
            <w:r>
              <w:t xml:space="preserve">property</w:t>
            </w:r>
          </w:p>
        </w:tc>
      </w:tr>
      <w:tr>
        <w:tc>
          <w:tcPr/>
          <w:p>
            <w:pPr>
              <w:pStyle w:val="Compact"/>
              <w:jc w:val="left"/>
            </w:pPr>
            <w:r>
              <w:t xml:space="preserve">Read VMSS association state</w:t>
            </w:r>
          </w:p>
        </w:tc>
        <w:tc>
          <w:tcPr/>
          <w:p>
            <w:pPr>
              <w:pStyle w:val="Compact"/>
              <w:jc w:val="left"/>
            </w:pPr>
            <w:r>
              <w:t xml:space="preserve">RegionalSnapshotService</w:t>
            </w:r>
          </w:p>
        </w:tc>
        <w:tc>
          <w:tcPr/>
          <w:p>
            <w:pPr>
              <w:pStyle w:val="Compact"/>
              <w:jc w:val="left"/>
            </w:pPr>
            <w:r>
              <w:rPr>
                <w:rStyle w:val="VerbatimChar"/>
              </w:rPr>
              <w:t xml:space="preserve">Microsoft.Compute/virtualMachineScaleSets/read</w:t>
            </w:r>
          </w:p>
        </w:tc>
        <w:tc>
          <w:tcPr/>
          <w:p>
            <w:pPr>
              <w:pStyle w:val="Compact"/>
            </w:pPr>
          </w:p>
        </w:tc>
      </w:tr>
      <w:tr>
        <w:tc>
          <w:tcPr/>
          <w:p>
            <w:pPr>
              <w:pStyle w:val="Compact"/>
              <w:jc w:val="left"/>
            </w:pPr>
            <w:r>
              <w:t xml:space="preserve">Query quota / usage</w:t>
            </w:r>
          </w:p>
        </w:tc>
        <w:tc>
          <w:tcPr/>
          <w:p>
            <w:pPr>
              <w:pStyle w:val="Compact"/>
              <w:jc w:val="left"/>
            </w:pPr>
            <w:r>
              <w:t xml:space="preserve">QuotaValidationService</w:t>
            </w:r>
          </w:p>
        </w:tc>
        <w:tc>
          <w:tcPr/>
          <w:p>
            <w:pPr>
              <w:pStyle w:val="Compact"/>
              <w:jc w:val="left"/>
            </w:pPr>
            <w:r>
              <w:rPr>
                <w:rStyle w:val="VerbatimChar"/>
              </w:rPr>
              <w:t xml:space="preserve">Microsoft.Quota/quotas/read</w:t>
            </w:r>
            <w:r>
              <w:t xml:space="preserve">,</w:t>
            </w:r>
            <w:r>
              <w:t xml:space="preserve"> </w:t>
            </w:r>
            <w:r>
              <w:rPr>
                <w:rStyle w:val="VerbatimChar"/>
              </w:rPr>
              <w:t xml:space="preserve">Microsoft.Quota/usages/read</w:t>
            </w:r>
            <w:r>
              <w:t xml:space="preserve">,</w:t>
            </w:r>
            <w:r>
              <w:t xml:space="preserve"> </w:t>
            </w:r>
            <w:r>
              <w:rPr>
                <w:rStyle w:val="VerbatimChar"/>
              </w:rPr>
              <w:t xml:space="preserve">Microsoft.Capacity/resourceProviders/locations/serviceLimits/read</w:t>
            </w:r>
          </w:p>
        </w:tc>
        <w:tc>
          <w:tcPr/>
          <w:p>
            <w:pPr>
              <w:pStyle w:val="Compact"/>
            </w:pPr>
          </w:p>
        </w:tc>
      </w:tr>
      <w:tr>
        <w:tc>
          <w:tcPr/>
          <w:p>
            <w:pPr>
              <w:pStyle w:val="Compact"/>
              <w:jc w:val="left"/>
            </w:pPr>
            <w:r>
              <w:t xml:space="preserve">Read SKU / zone capability</w:t>
            </w:r>
          </w:p>
        </w:tc>
        <w:tc>
          <w:tcPr/>
          <w:p>
            <w:pPr>
              <w:pStyle w:val="Compact"/>
              <w:jc w:val="left"/>
            </w:pPr>
            <w:r>
              <w:t xml:space="preserve">ZoneMappingService</w:t>
            </w:r>
          </w:p>
        </w:tc>
        <w:tc>
          <w:tcPr/>
          <w:p>
            <w:pPr>
              <w:pStyle w:val="Compact"/>
              <w:jc w:val="left"/>
            </w:pPr>
            <w:r>
              <w:rPr>
                <w:rStyle w:val="VerbatimChar"/>
              </w:rPr>
              <w:t xml:space="preserve">Microsoft.Compute/locations/vmSizes/read</w:t>
            </w:r>
            <w:r>
              <w:t xml:space="preserve">,</w:t>
            </w:r>
            <w:r>
              <w:t xml:space="preserve"> </w:t>
            </w:r>
            <w:r>
              <w:rPr>
                <w:rStyle w:val="VerbatimChar"/>
              </w:rPr>
              <w:t xml:space="preserve">Microsoft.Compute/skus/read</w:t>
            </w:r>
          </w:p>
        </w:tc>
        <w:tc>
          <w:tcPr/>
          <w:p>
            <w:pPr>
              <w:pStyle w:val="Compact"/>
              <w:jc w:val="left"/>
            </w:pPr>
            <w:r>
              <w:t xml:space="preserve">Logical→physical zone mapping</w:t>
            </w:r>
          </w:p>
        </w:tc>
      </w:tr>
      <w:tr>
        <w:tc>
          <w:tcPr/>
          <w:p>
            <w:pPr>
              <w:pStyle w:val="Compact"/>
              <w:jc w:val="left"/>
            </w:pPr>
            <w:r>
              <w:t xml:space="preserve">Resource Graph fleet query</w:t>
            </w:r>
          </w:p>
        </w:tc>
        <w:tc>
          <w:tcPr/>
          <w:p>
            <w:pPr>
              <w:pStyle w:val="Compact"/>
              <w:jc w:val="left"/>
            </w:pPr>
            <w:r>
              <w:t xml:space="preserve">AzureResourceGraphClient</w:t>
            </w:r>
          </w:p>
        </w:tc>
        <w:tc>
          <w:tcPr/>
          <w:p>
            <w:pPr>
              <w:pStyle w:val="Compact"/>
              <w:jc w:val="left"/>
            </w:pPr>
            <w:r>
              <w:rPr>
                <w:rStyle w:val="VerbatimChar"/>
              </w:rPr>
              <w:t xml:space="preserve">Microsoft.ResourceGraph/resources/read</w:t>
            </w:r>
            <w:r>
              <w:t xml:space="preserve"> </w:t>
            </w:r>
            <w:r>
              <w:t xml:space="preserve">+ ARM read on target resources</w:t>
            </w:r>
          </w:p>
        </w:tc>
        <w:tc>
          <w:tcPr/>
          <w:p>
            <w:pPr>
              <w:pStyle w:val="Compact"/>
              <w:jc w:val="left"/>
            </w:pPr>
            <w:r>
              <w:t xml:space="preserve">ARG returns only resources the identity can read; 403 if no readable subscriptions</w:t>
            </w:r>
          </w:p>
        </w:tc>
      </w:tr>
      <w:tr>
        <w:tc>
          <w:tcPr/>
          <w:p>
            <w:pPr>
              <w:pStyle w:val="Compact"/>
              <w:jc w:val="left"/>
            </w:pPr>
            <w:r>
              <w:t xml:space="preserve">Read subscription / RG metadata</w:t>
            </w:r>
          </w:p>
        </w:tc>
        <w:tc>
          <w:tcPr/>
          <w:p>
            <w:pPr>
              <w:pStyle w:val="Compact"/>
              <w:jc w:val="left"/>
            </w:pPr>
            <w:r>
              <w:t xml:space="preserve">RegionalSnapshotService</w:t>
            </w:r>
          </w:p>
        </w:tc>
        <w:tc>
          <w:tcPr/>
          <w:p>
            <w:pPr>
              <w:pStyle w:val="Compact"/>
              <w:jc w:val="left"/>
            </w:pPr>
            <w:r>
              <w:rPr>
                <w:rStyle w:val="VerbatimChar"/>
              </w:rPr>
              <w:t xml:space="preserve">Microsoft.Resources/subscriptions/read</w:t>
            </w:r>
            <w:r>
              <w:t xml:space="preserve">,</w:t>
            </w:r>
            <w:r>
              <w:t xml:space="preserve"> </w:t>
            </w:r>
            <w:r>
              <w:rPr>
                <w:rStyle w:val="VerbatimChar"/>
              </w:rPr>
              <w:t xml:space="preserve">Microsoft.Resources/subscriptions/resourceGroups/read</w:t>
            </w:r>
          </w:p>
        </w:tc>
        <w:tc>
          <w:tcPr/>
          <w:p>
            <w:pPr>
              <w:pStyle w:val="Compact"/>
            </w:pPr>
          </w:p>
        </w:tc>
      </w:tr>
      <w:tr>
        <w:tc>
          <w:tcPr/>
          <w:p>
            <w:pPr>
              <w:pStyle w:val="Compact"/>
              <w:jc w:val="left"/>
            </w:pPr>
            <w:r>
              <w:t xml:space="preserve">Read operation status (async LRO)</w:t>
            </w:r>
          </w:p>
        </w:tc>
        <w:tc>
          <w:tcPr/>
          <w:p>
            <w:pPr>
              <w:pStyle w:val="Compact"/>
              <w:jc w:val="left"/>
            </w:pPr>
            <w:r>
              <w:t xml:space="preserve">OperationTracker</w:t>
            </w:r>
          </w:p>
        </w:tc>
        <w:tc>
          <w:tcPr/>
          <w:p>
            <w:pPr>
              <w:pStyle w:val="Compact"/>
              <w:jc w:val="left"/>
            </w:pPr>
            <w:r>
              <w:rPr>
                <w:rStyle w:val="VerbatimChar"/>
              </w:rPr>
              <w:t xml:space="preserve">Microsoft.Compute/locations/operations/read</w:t>
            </w:r>
            <w:r>
              <w:t xml:space="preserve">,</w:t>
            </w:r>
            <w:r>
              <w:t xml:space="preserve"> </w:t>
            </w:r>
            <w:r>
              <w:rPr>
                <w:rStyle w:val="VerbatimChar"/>
              </w:rPr>
              <w:t xml:space="preserve">Microsoft.Resources/deployments/read</w:t>
            </w:r>
          </w:p>
        </w:tc>
        <w:tc>
          <w:tcPr/>
          <w:p>
            <w:pPr>
              <w:pStyle w:val="Compact"/>
              <w:jc w:val="left"/>
            </w:pPr>
            <w:r>
              <w:t xml:space="preserve">Poll long-running operations</w:t>
            </w:r>
          </w:p>
        </w:tc>
      </w:tr>
      <w:tr>
        <w:tc>
          <w:tcPr/>
          <w:p>
            <w:pPr>
              <w:pStyle w:val="Compact"/>
              <w:jc w:val="left"/>
            </w:pPr>
            <w:r>
              <w:t xml:space="preserve">Read role assignments (audit self)</w:t>
            </w:r>
          </w:p>
        </w:tc>
        <w:tc>
          <w:tcPr/>
          <w:p>
            <w:pPr>
              <w:pStyle w:val="Compact"/>
              <w:jc w:val="left"/>
            </w:pPr>
            <w:r>
              <w:t xml:space="preserve">AuditService</w:t>
            </w:r>
          </w:p>
        </w:tc>
        <w:tc>
          <w:tcPr/>
          <w:p>
            <w:pPr>
              <w:pStyle w:val="Compact"/>
              <w:jc w:val="left"/>
            </w:pPr>
            <w:r>
              <w:rPr>
                <w:rStyle w:val="VerbatimChar"/>
              </w:rPr>
              <w:t xml:space="preserve">Microsoft.Authorization/roleAssignments/read</w:t>
            </w:r>
            <w:r>
              <w:t xml:space="preserve">,</w:t>
            </w:r>
            <w:r>
              <w:t xml:space="preserve"> </w:t>
            </w:r>
            <w:r>
              <w:rPr>
                <w:rStyle w:val="VerbatimChar"/>
              </w:rPr>
              <w:t xml:space="preserve">Microsoft.Authorization/roleDefinitions/read</w:t>
            </w:r>
          </w:p>
        </w:tc>
        <w:tc>
          <w:tcPr/>
          <w:p>
            <w:pPr>
              <w:pStyle w:val="Compact"/>
              <w:jc w:val="left"/>
            </w:pPr>
            <w:r>
              <w:t xml:space="preserve">Verify least-privilege posture</w:t>
            </w:r>
          </w:p>
        </w:tc>
      </w:tr>
    </w:tbl>
    <w:p>
      <w:pPr>
        <w:pStyle w:val="BlockText"/>
      </w:pPr>
      <w:r>
        <w:rPr>
          <w:bCs/>
          <w:b/>
        </w:rPr>
        <w:t xml:space="preserve">Placement</w:t>
      </w:r>
      <w:r>
        <w:t xml:space="preserve"> </w:t>
      </w:r>
      <w:r>
        <w:t xml:space="preserve">is read-only at the Azure layer: PlacementEngine consumes RegionalSnapshotService + QuotaValidationService reads and emits a recommendation. It requires</w:t>
      </w:r>
      <w:r>
        <w:t xml:space="preserve"> </w:t>
      </w:r>
      <w:r>
        <w:rPr>
          <w:bCs/>
          <w:b/>
        </w:rPr>
        <w:t xml:space="preserve">no write action</w:t>
      </w:r>
      <w:r>
        <w:t xml:space="preserve">. Execution of a recommendation is a separate, explicitly authorized mutation performed by the Capacity or Consumer Compute identity.</w:t>
      </w:r>
    </w:p>
    <w:bookmarkEnd w:id="24"/>
    <w:bookmarkStart w:id="25" w:name="X23f2b37356a7e98427c8109906611e05d787b82"/>
    <w:p>
      <w:pPr>
        <w:pStyle w:val="Heading3"/>
      </w:pPr>
      <w:r>
        <w:t xml:space="preserve">3.2 Capacity reservation lifecycle —</w:t>
      </w:r>
      <w:r>
        <w:t xml:space="preserve"> </w:t>
      </w:r>
      <w:r>
        <w:rPr>
          <w:iCs/>
          <w:i/>
        </w:rPr>
        <w:t xml:space="preserve">ACRME Capacity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Create CRG</w:t>
            </w:r>
          </w:p>
        </w:tc>
        <w:tc>
          <w:tcPr/>
          <w:p>
            <w:pPr>
              <w:pStyle w:val="Compact"/>
              <w:jc w:val="left"/>
            </w:pPr>
            <w:r>
              <w:t xml:space="preserve">CapacityTransferService</w:t>
            </w:r>
          </w:p>
        </w:tc>
        <w:tc>
          <w:tcPr/>
          <w:p>
            <w:pPr>
              <w:pStyle w:val="Compact"/>
              <w:jc w:val="left"/>
            </w:pPr>
            <w:r>
              <w:rPr>
                <w:rStyle w:val="VerbatimChar"/>
              </w:rPr>
              <w:t xml:space="preserve">Microsoft.Compute/capacityReservationGroups/write</w:t>
            </w:r>
          </w:p>
        </w:tc>
        <w:tc>
          <w:tcPr/>
          <w:p>
            <w:pPr>
              <w:pStyle w:val="Compact"/>
              <w:jc w:val="left"/>
            </w:pPr>
            <w:r>
              <w:t xml:space="preserve">Scoped to approved provider RG</w:t>
            </w:r>
          </w:p>
        </w:tc>
      </w:tr>
      <w:tr>
        <w:tc>
          <w:tcPr/>
          <w:p>
            <w:pPr>
              <w:pStyle w:val="Compact"/>
              <w:jc w:val="left"/>
            </w:pPr>
            <w:r>
              <w:t xml:space="preserve">Update / delete CRG</w:t>
            </w:r>
          </w:p>
        </w:tc>
        <w:tc>
          <w:tcPr/>
          <w:p>
            <w:pPr>
              <w:pStyle w:val="Compact"/>
              <w:jc w:val="left"/>
            </w:pPr>
            <w:r>
              <w:t xml:space="preserve">CapacityTransferService</w:t>
            </w:r>
          </w:p>
        </w:tc>
        <w:tc>
          <w:tcPr/>
          <w:p>
            <w:pPr>
              <w:pStyle w:val="Compact"/>
              <w:jc w:val="left"/>
            </w:pPr>
            <w:r>
              <w:rPr>
                <w:rStyle w:val="VerbatimChar"/>
              </w:rPr>
              <w:t xml:space="preserve">Microsoft.Compute/capacityReservationGroups/write</w:t>
            </w:r>
            <w:r>
              <w:t xml:space="preserve">,</w:t>
            </w:r>
            <w:r>
              <w:t xml:space="preserve"> </w:t>
            </w:r>
            <w:r>
              <w:rPr>
                <w:rStyle w:val="VerbatimChar"/>
              </w:rPr>
              <w:t xml:space="preserve">.../capacityReservationGroups/delete</w:t>
            </w:r>
          </w:p>
        </w:tc>
        <w:tc>
          <w:tcPr/>
          <w:p>
            <w:pPr>
              <w:pStyle w:val="Compact"/>
            </w:pPr>
          </w:p>
        </w:tc>
      </w:tr>
      <w:tr>
        <w:tc>
          <w:tcPr/>
          <w:p>
            <w:pPr>
              <w:pStyle w:val="Compact"/>
              <w:jc w:val="left"/>
            </w:pPr>
            <w:r>
              <w:t xml:space="preserve">Create CR</w:t>
            </w:r>
          </w:p>
        </w:tc>
        <w:tc>
          <w:tcPr/>
          <w:p>
            <w:pPr>
              <w:pStyle w:val="Compact"/>
              <w:jc w:val="left"/>
            </w:pPr>
            <w:r>
              <w:t xml:space="preserve">CapacityTransferService</w:t>
            </w:r>
          </w:p>
        </w:tc>
        <w:tc>
          <w:tcPr/>
          <w:p>
            <w:pPr>
              <w:pStyle w:val="Compact"/>
              <w:jc w:val="left"/>
            </w:pPr>
            <w:r>
              <w:rPr>
                <w:rStyle w:val="VerbatimChar"/>
              </w:rPr>
              <w:t xml:space="preserve">Microsoft.Compute/capacityReservations/write</w:t>
            </w:r>
          </w:p>
        </w:tc>
        <w:tc>
          <w:tcPr/>
          <w:p>
            <w:pPr>
              <w:pStyle w:val="Compact"/>
            </w:pPr>
          </w:p>
        </w:tc>
      </w:tr>
      <w:tr>
        <w:tc>
          <w:tcPr/>
          <w:p>
            <w:pPr>
              <w:pStyle w:val="Compact"/>
              <w:jc w:val="left"/>
            </w:pPr>
            <w:r>
              <w:rPr>
                <w:bCs/>
                <w:b/>
              </w:rPr>
              <w:t xml:space="preserve">Resize CR quantity</w:t>
            </w:r>
            <w:r>
              <w:t xml:space="preserve"> </w:t>
            </w:r>
            <w:r>
              <w:t xml:space="preserve">(Tier 1/2 transfer core)</w:t>
            </w:r>
          </w:p>
        </w:tc>
        <w:tc>
          <w:tcPr/>
          <w:p>
            <w:pPr>
              <w:pStyle w:val="Compact"/>
              <w:jc w:val="left"/>
            </w:pPr>
            <w:r>
              <w:t xml:space="preserve">CapacityTransferService</w:t>
            </w:r>
          </w:p>
        </w:tc>
        <w:tc>
          <w:tcPr/>
          <w:p>
            <w:pPr>
              <w:pStyle w:val="Compact"/>
              <w:jc w:val="left"/>
            </w:pPr>
            <w:r>
              <w:rPr>
                <w:rStyle w:val="VerbatimChar"/>
              </w:rPr>
              <w:t xml:space="preserve">Microsoft.Compute/capacityReservations/write</w:t>
            </w:r>
          </w:p>
        </w:tc>
        <w:tc>
          <w:tcPr/>
          <w:p>
            <w:pPr>
              <w:pStyle w:val="Compact"/>
              <w:jc w:val="left"/>
            </w:pPr>
            <w:r>
              <w:t xml:space="preserve">Increase = new capacity commit; decrease = release. Same action, different</w:t>
            </w:r>
            <w:r>
              <w:t xml:space="preserve"> </w:t>
            </w:r>
            <w:r>
              <w:rPr>
                <w:rStyle w:val="VerbatimChar"/>
              </w:rPr>
              <w:t xml:space="preserve">capacity</w:t>
            </w:r>
            <w:r>
              <w:t xml:space="preserve"> </w:t>
            </w:r>
            <w:r>
              <w:t xml:space="preserve">value</w:t>
            </w:r>
          </w:p>
        </w:tc>
      </w:tr>
      <w:tr>
        <w:tc>
          <w:tcPr/>
          <w:p>
            <w:pPr>
              <w:pStyle w:val="Compact"/>
              <w:jc w:val="left"/>
            </w:pPr>
            <w:r>
              <w:t xml:space="preserve">Delete CR</w:t>
            </w:r>
          </w:p>
        </w:tc>
        <w:tc>
          <w:tcPr/>
          <w:p>
            <w:pPr>
              <w:pStyle w:val="Compact"/>
              <w:jc w:val="left"/>
            </w:pPr>
            <w:r>
              <w:t xml:space="preserve">CapacityTransferService</w:t>
            </w:r>
          </w:p>
        </w:tc>
        <w:tc>
          <w:tcPr/>
          <w:p>
            <w:pPr>
              <w:pStyle w:val="Compact"/>
              <w:jc w:val="left"/>
            </w:pPr>
            <w:r>
              <w:rPr>
                <w:rStyle w:val="VerbatimChar"/>
              </w:rPr>
              <w:t xml:space="preserve">Microsoft.Compute/capacityReservations/delete</w:t>
            </w:r>
          </w:p>
        </w:tc>
        <w:tc>
          <w:tcPr/>
          <w:p>
            <w:pPr>
              <w:pStyle w:val="Compact"/>
              <w:jc w:val="left"/>
            </w:pPr>
            <w:r>
              <w:t xml:space="preserve">Only after zero associated VMs</w:t>
            </w:r>
          </w:p>
        </w:tc>
      </w:tr>
      <w:tr>
        <w:tc>
          <w:tcPr/>
          <w:p>
            <w:pPr>
              <w:pStyle w:val="Compact"/>
              <w:jc w:val="left"/>
            </w:pPr>
            <w:r>
              <w:t xml:space="preserve">Read-back after write</w:t>
            </w:r>
          </w:p>
        </w:tc>
        <w:tc>
          <w:tcPr/>
          <w:p>
            <w:pPr>
              <w:pStyle w:val="Compact"/>
              <w:jc w:val="left"/>
            </w:pPr>
            <w:r>
              <w:t xml:space="preserve">CapacityTransferService</w:t>
            </w:r>
          </w:p>
        </w:tc>
        <w:tc>
          <w:tcPr/>
          <w:p>
            <w:pPr>
              <w:pStyle w:val="Compact"/>
              <w:jc w:val="left"/>
            </w:pPr>
            <w:r>
              <w:rPr>
                <w:rStyle w:val="VerbatimChar"/>
              </w:rPr>
              <w:t xml:space="preserve">.../capacityReservationGroups/read</w:t>
            </w:r>
            <w:r>
              <w:t xml:space="preserve">,</w:t>
            </w:r>
            <w:r>
              <w:t xml:space="preserve"> </w:t>
            </w:r>
            <w:r>
              <w:rPr>
                <w:rStyle w:val="VerbatimChar"/>
              </w:rPr>
              <w:t xml:space="preserve">.../capacityReservations/read</w:t>
            </w:r>
          </w:p>
        </w:tc>
        <w:tc>
          <w:tcPr/>
          <w:p>
            <w:pPr>
              <w:pStyle w:val="Compact"/>
              <w:jc w:val="left"/>
            </w:pPr>
            <w:r>
              <w:t xml:space="preserve">Confirm converged state</w:t>
            </w:r>
          </w:p>
        </w:tc>
      </w:tr>
    </w:tbl>
    <w:p>
      <w:pPr>
        <w:pStyle w:val="BodyText"/>
      </w:pPr>
      <w:r>
        <w:t xml:space="preserve">The Capacity Operator role</w:t>
      </w:r>
      <w:r>
        <w:t xml:space="preserve"> </w:t>
      </w:r>
      <w:r>
        <w:rPr>
          <w:bCs/>
          <w:b/>
        </w:rPr>
        <w:t xml:space="preserve">explicitly excludes</w:t>
      </w:r>
      <w:r>
        <w:t xml:space="preserve"> </w:t>
      </w:r>
      <w:r>
        <w:rPr>
          <w:rStyle w:val="VerbatimChar"/>
        </w:rPr>
        <w:t xml:space="preserve">capacityReservationGroups/share/action</w:t>
      </w:r>
      <w:r>
        <w:t xml:space="preserve"> </w:t>
      </w:r>
      <w:r>
        <w:t xml:space="preserve">(a</w:t>
      </w:r>
      <w:r>
        <w:t xml:space="preserve"> </w:t>
      </w:r>
      <w:r>
        <w:rPr>
          <w:rStyle w:val="VerbatimChar"/>
        </w:rPr>
        <w:t xml:space="preserve">NotAction</w:t>
      </w:r>
      <w:r>
        <w:t xml:space="preserve">) — enabling sharing is a distinct, more privileged operation isolated to the Sharing Operator. It also holds</w:t>
      </w:r>
      <w:r>
        <w:t xml:space="preserve"> </w:t>
      </w:r>
      <w:r>
        <w:rPr>
          <w:bCs/>
          <w:b/>
        </w:rPr>
        <w:t xml:space="preserve">no</w:t>
      </w:r>
      <w:r>
        <w:t xml:space="preserve"> </w:t>
      </w:r>
      <w:r>
        <w:rPr>
          <w:rStyle w:val="VerbatimChar"/>
        </w:rPr>
        <w:t xml:space="preserve">virtualMachines/write</w:t>
      </w:r>
      <w:r>
        <w:t xml:space="preserve">, so it can never mutate consumer VMs.</w:t>
      </w:r>
    </w:p>
    <w:bookmarkEnd w:id="25"/>
    <w:bookmarkStart w:id="26" w:name="X8a9c69239308f8b61e8201be589baddd3687dbd"/>
    <w:p>
      <w:pPr>
        <w:pStyle w:val="Heading3"/>
      </w:pPr>
      <w:r>
        <w:t xml:space="preserve">3.3 Sharing (cross-subscription / cross-tenant) —</w:t>
      </w:r>
      <w:r>
        <w:t xml:space="preserve"> </w:t>
      </w:r>
      <w:r>
        <w:rPr>
          <w:iCs/>
          <w:i/>
        </w:rPr>
        <w:t xml:space="preserve">ACRME Sharing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Enable / edit CRG sharing profile</w:t>
            </w:r>
          </w:p>
        </w:tc>
        <w:tc>
          <w:tcPr/>
          <w:p>
            <w:pPr>
              <w:pStyle w:val="Compact"/>
              <w:jc w:val="left"/>
            </w:pPr>
            <w:r>
              <w:t xml:space="preserve">SharingManagementService</w:t>
            </w:r>
          </w:p>
        </w:tc>
        <w:tc>
          <w:tcPr/>
          <w:p>
            <w:pPr>
              <w:pStyle w:val="Compact"/>
              <w:jc w:val="left"/>
            </w:pPr>
            <w:r>
              <w:rPr>
                <w:rStyle w:val="VerbatimChar"/>
              </w:rPr>
              <w:t xml:space="preserve">Microsoft.Compute/capacityReservationGroups/share/action</w:t>
            </w:r>
          </w:p>
        </w:tc>
        <w:tc>
          <w:tcPr/>
          <w:p>
            <w:pPr>
              <w:pStyle w:val="Compact"/>
              <w:jc w:val="left"/>
            </w:pPr>
            <w:r>
              <w:t xml:space="preserve">Provider-owner side; CRG sharing is public preview — use CLI/REST with</w:t>
            </w:r>
            <w:r>
              <w:t xml:space="preserve"> </w:t>
            </w:r>
            <w:r>
              <w:rPr>
                <w:rStyle w:val="VerbatimChar"/>
              </w:rPr>
              <w:t xml:space="preserve">api-version=2024-03-01</w:t>
            </w:r>
          </w:p>
        </w:tc>
      </w:tr>
      <w:tr>
        <w:tc>
          <w:tcPr/>
          <w:p>
            <w:pPr>
              <w:pStyle w:val="Compact"/>
              <w:jc w:val="left"/>
            </w:pPr>
            <w:r>
              <w:t xml:space="preserve">Read CRG being shared</w:t>
            </w:r>
          </w:p>
        </w:tc>
        <w:tc>
          <w:tcPr/>
          <w:p>
            <w:pPr>
              <w:pStyle w:val="Compact"/>
              <w:jc w:val="left"/>
            </w:pPr>
            <w:r>
              <w:t xml:space="preserve">SharingManagementService</w:t>
            </w:r>
          </w:p>
        </w:tc>
        <w:tc>
          <w:tcPr/>
          <w:p>
            <w:pPr>
              <w:pStyle w:val="Compact"/>
              <w:jc w:val="left"/>
            </w:pPr>
            <w:r>
              <w:rPr>
                <w:rStyle w:val="VerbatimChar"/>
              </w:rPr>
              <w:t xml:space="preserve">Microsoft.Compute/capacityReservationGroups/read</w:t>
            </w:r>
          </w:p>
        </w:tc>
        <w:tc>
          <w:tcPr/>
          <w:p>
            <w:pPr>
              <w:pStyle w:val="Compact"/>
            </w:pPr>
          </w:p>
        </w:tc>
      </w:tr>
      <w:tr>
        <w:tc>
          <w:tcPr/>
          <w:p>
            <w:pPr>
              <w:pStyle w:val="Compact"/>
              <w:jc w:val="left"/>
            </w:pPr>
            <w:r>
              <w:t xml:space="preserve">Grant consumer read+deploy on shared CRG</w:t>
            </w:r>
          </w:p>
        </w:tc>
        <w:tc>
          <w:tcPr/>
          <w:p>
            <w:pPr>
              <w:pStyle w:val="Compact"/>
              <w:jc w:val="left"/>
            </w:pPr>
            <w:r>
              <w:t xml:space="preserve">SharingManagementService</w:t>
            </w:r>
          </w:p>
        </w:tc>
        <w:tc>
          <w:tcPr/>
          <w:p>
            <w:pPr>
              <w:pStyle w:val="Compact"/>
              <w:jc w:val="left"/>
            </w:pPr>
            <w:r>
              <w:rPr>
                <w:rStyle w:val="VerbatimChar"/>
              </w:rPr>
              <w:t xml:space="preserve">Microsoft.Authorization/roleAssignments/write</w:t>
            </w:r>
            <w:r>
              <w:t xml:space="preserve">,</w:t>
            </w:r>
            <w:r>
              <w:t xml:space="preserve"> </w:t>
            </w:r>
            <w:r>
              <w:rPr>
                <w:rStyle w:val="VerbatimChar"/>
              </w:rPr>
              <w:t xml:space="preserve">Microsoft.Authorization/roleAssignments/read</w:t>
            </w:r>
            <w:r>
              <w:t xml:space="preserve">,</w:t>
            </w:r>
            <w:r>
              <w:t xml:space="preserve"> </w:t>
            </w:r>
            <w:r>
              <w:rPr>
                <w:rStyle w:val="VerbatimChar"/>
              </w:rPr>
              <w:t xml:space="preserve">Microsoft.Authorization/roleDefinitions/read</w:t>
            </w:r>
          </w:p>
        </w:tc>
        <w:tc>
          <w:tcPr/>
          <w:p>
            <w:pPr>
              <w:pStyle w:val="Compact"/>
              <w:jc w:val="left"/>
            </w:pPr>
            <w:r>
              <w:t xml:space="preserve">The</w:t>
            </w:r>
            <w:r>
              <w:t xml:space="preserve"> </w:t>
            </w:r>
            <w:r>
              <w:rPr>
                <w:bCs/>
                <w:b/>
              </w:rPr>
              <w:t xml:space="preserve">only</w:t>
            </w:r>
            <w:r>
              <w:t xml:space="preserve"> </w:t>
            </w:r>
            <w:r>
              <w:t xml:space="preserve">engine identity permitted role-assignment write, and only at approved onboarding scopes</w:t>
            </w:r>
          </w:p>
        </w:tc>
      </w:tr>
      <w:tr>
        <w:tc>
          <w:tcPr/>
          <w:p>
            <w:pPr>
              <w:pStyle w:val="Compact"/>
              <w:jc w:val="left"/>
            </w:pPr>
            <w:r>
              <w:t xml:space="preserve">Consumer-side deploy against shared CRG</w:t>
            </w:r>
          </w:p>
        </w:tc>
        <w:tc>
          <w:tcPr/>
          <w:p>
            <w:pPr>
              <w:pStyle w:val="Compact"/>
              <w:jc w:val="left"/>
            </w:pPr>
            <w:r>
              <w:t xml:space="preserve">(consumer subscription)</w:t>
            </w:r>
          </w:p>
        </w:tc>
        <w:tc>
          <w:tcPr/>
          <w:p>
            <w:pPr>
              <w:pStyle w:val="Compact"/>
              <w:jc w:val="left"/>
            </w:pPr>
            <w:r>
              <w:rPr>
                <w:rStyle w:val="VerbatimChar"/>
              </w:rPr>
              <w:t xml:space="preserve">Microsoft.Compute/capacityReservationGroups/read</w:t>
            </w:r>
            <w:r>
              <w:t xml:space="preserve">,</w:t>
            </w:r>
            <w:r>
              <w:t xml:space="preserve"> </w:t>
            </w:r>
            <w:r>
              <w:rPr>
                <w:rStyle w:val="VerbatimChar"/>
              </w:rPr>
              <w:t xml:space="preserve">.../capacityReservations/read</w:t>
            </w:r>
            <w:r>
              <w:t xml:space="preserve">,</w:t>
            </w:r>
            <w:r>
              <w:t xml:space="preserve"> </w:t>
            </w:r>
            <w:r>
              <w:rPr>
                <w:rStyle w:val="VerbatimChar"/>
              </w:rPr>
              <w:t xml:space="preserve">.../capacityReservationGroups/deploy/action</w:t>
            </w:r>
          </w:p>
        </w:tc>
        <w:tc>
          <w:tcPr/>
          <w:p>
            <w:pPr>
              <w:pStyle w:val="Compact"/>
              <w:jc w:val="left"/>
            </w:pPr>
            <w:r>
              <w:t xml:space="preserve">Granted</w:t>
            </w:r>
            <w:r>
              <w:t xml:space="preserve"> </w:t>
            </w:r>
            <w:r>
              <w:rPr>
                <w:iCs/>
                <w:i/>
              </w:rPr>
              <w:t xml:space="preserve">to the consumer</w:t>
            </w:r>
            <w:r>
              <w:t xml:space="preserve">, not held by the engine</w:t>
            </w:r>
          </w:p>
        </w:tc>
      </w:tr>
    </w:tbl>
    <w:p>
      <w:pPr>
        <w:pStyle w:val="BodyText"/>
      </w:pPr>
      <w:r>
        <w:t xml:space="preserve">The Sharing Operator carries</w:t>
      </w:r>
      <w:r>
        <w:t xml:space="preserve"> </w:t>
      </w:r>
      <w:r>
        <w:rPr>
          <w:rStyle w:val="VerbatimChar"/>
        </w:rPr>
        <w:t xml:space="preserve">roleAssignments/write</w:t>
      </w:r>
      <w:r>
        <w:t xml:space="preserve"> </w:t>
      </w:r>
      <w:r>
        <w:t xml:space="preserve">— the single most sensitive right in the model — so it is deliberately</w:t>
      </w:r>
      <w:r>
        <w:t xml:space="preserve"> </w:t>
      </w:r>
      <w:r>
        <w:rPr>
          <w:bCs/>
          <w:b/>
        </w:rPr>
        <w:t xml:space="preserve">fenced</w:t>
      </w:r>
      <w:r>
        <w:t xml:space="preserve">: two</w:t>
      </w:r>
      <w:r>
        <w:t xml:space="preserve"> </w:t>
      </w:r>
      <w:r>
        <w:rPr>
          <w:rStyle w:val="VerbatimChar"/>
        </w:rPr>
        <w:t xml:space="preserve">NotActions</w:t>
      </w:r>
      <w:r>
        <w:t xml:space="preserve"> </w:t>
      </w:r>
      <w:r>
        <w:t xml:space="preserve">block</w:t>
      </w:r>
      <w:r>
        <w:t xml:space="preserve"> </w:t>
      </w:r>
      <w:r>
        <w:rPr>
          <w:rStyle w:val="VerbatimChar"/>
        </w:rPr>
        <w:t xml:space="preserve">capacityReservations/write</w:t>
      </w:r>
      <w:r>
        <w:t xml:space="preserve"> </w:t>
      </w:r>
      <w:r>
        <w:t xml:space="preserve">and</w:t>
      </w:r>
      <w:r>
        <w:t xml:space="preserve"> </w:t>
      </w:r>
      <w:r>
        <w:rPr>
          <w:rStyle w:val="VerbatimChar"/>
        </w:rPr>
        <w:t xml:space="preserve">capacityReservations/delete</w:t>
      </w:r>
      <w:r>
        <w:t xml:space="preserve">, meaning this identity can onboard consumers and edit sharing profiles but can never create, resize, or delete the underlying reservations. This enforces separation between</w:t>
      </w:r>
      <w:r>
        <w:t xml:space="preserve"> </w:t>
      </w:r>
      <w:r>
        <w:rPr>
          <w:iCs/>
          <w:i/>
        </w:rPr>
        <w:t xml:space="preserve">who can share capacity</w:t>
      </w:r>
      <w:r>
        <w:t xml:space="preserve"> </w:t>
      </w:r>
      <w:r>
        <w:t xml:space="preserve">and</w:t>
      </w:r>
      <w:r>
        <w:t xml:space="preserve"> </w:t>
      </w:r>
      <w:r>
        <w:rPr>
          <w:iCs/>
          <w:i/>
        </w:rPr>
        <w:t xml:space="preserve">who can change capacity</w:t>
      </w:r>
      <w:r>
        <w:t xml:space="preserve">.</w:t>
      </w:r>
    </w:p>
    <w:bookmarkEnd w:id="26"/>
    <w:bookmarkStart w:id="27" w:name="quota-management-acrme-quota-operator"/>
    <w:p>
      <w:pPr>
        <w:pStyle w:val="Heading3"/>
      </w:pPr>
      <w:r>
        <w:t xml:space="preserve">3.4 Quota management —</w:t>
      </w:r>
      <w:r>
        <w:t xml:space="preserve"> </w:t>
      </w:r>
      <w:r>
        <w:rPr>
          <w:iCs/>
          <w:i/>
        </w:rPr>
        <w:t xml:space="preserve">ACRME Quota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Read quota / usage</w:t>
            </w:r>
          </w:p>
        </w:tc>
        <w:tc>
          <w:tcPr/>
          <w:p>
            <w:pPr>
              <w:pStyle w:val="Compact"/>
              <w:jc w:val="left"/>
            </w:pPr>
            <w:r>
              <w:t xml:space="preserve">QuotaValidationService</w:t>
            </w:r>
          </w:p>
        </w:tc>
        <w:tc>
          <w:tcPr/>
          <w:p>
            <w:pPr>
              <w:pStyle w:val="Compact"/>
              <w:jc w:val="left"/>
            </w:pPr>
            <w:r>
              <w:rPr>
                <w:rStyle w:val="VerbatimChar"/>
              </w:rPr>
              <w:t xml:space="preserve">Microsoft.Quota/quotas/read</w:t>
            </w:r>
            <w:r>
              <w:t xml:space="preserve">,</w:t>
            </w:r>
            <w:r>
              <w:t xml:space="preserve"> </w:t>
            </w:r>
            <w:r>
              <w:rPr>
                <w:rStyle w:val="VerbatimChar"/>
              </w:rPr>
              <w:t xml:space="preserve">Microsoft.Quota/quotaRequests/read</w:t>
            </w:r>
            <w:r>
              <w:t xml:space="preserve">,</w:t>
            </w:r>
            <w:r>
              <w:t xml:space="preserve"> </w:t>
            </w:r>
            <w:r>
              <w:rPr>
                <w:rStyle w:val="VerbatimChar"/>
              </w:rPr>
              <w:t xml:space="preserve">Microsoft.Quota/usages/read</w:t>
            </w:r>
          </w:p>
        </w:tc>
        <w:tc>
          <w:tcPr/>
          <w:p>
            <w:pPr>
              <w:pStyle w:val="Compact"/>
            </w:pPr>
          </w:p>
        </w:tc>
      </w:tr>
      <w:tr>
        <w:tc>
          <w:tcPr/>
          <w:p>
            <w:pPr>
              <w:pStyle w:val="Compact"/>
              <w:jc w:val="left"/>
            </w:pPr>
            <w:r>
              <w:t xml:space="preserve">Submit adjustable quota increase</w:t>
            </w:r>
          </w:p>
        </w:tc>
        <w:tc>
          <w:tcPr/>
          <w:p>
            <w:pPr>
              <w:pStyle w:val="Compact"/>
              <w:jc w:val="left"/>
            </w:pPr>
            <w:r>
              <w:t xml:space="preserve">QuotaValidationService</w:t>
            </w:r>
          </w:p>
        </w:tc>
        <w:tc>
          <w:tcPr/>
          <w:p>
            <w:pPr>
              <w:pStyle w:val="Compact"/>
              <w:jc w:val="left"/>
            </w:pPr>
            <w:r>
              <w:rPr>
                <w:rStyle w:val="VerbatimChar"/>
              </w:rPr>
              <w:t xml:space="preserve">Microsoft.Quota/quotas/write</w:t>
            </w:r>
            <w:r>
              <w:t xml:space="preserve">,</w:t>
            </w:r>
            <w:r>
              <w:t xml:space="preserve"> </w:t>
            </w:r>
            <w:r>
              <w:rPr>
                <w:rStyle w:val="VerbatimChar"/>
              </w:rPr>
              <w:t xml:space="preserve">Microsoft.Quota/register/action</w:t>
            </w:r>
          </w:p>
        </w:tc>
        <w:tc>
          <w:tcPr/>
          <w:p>
            <w:pPr>
              <w:pStyle w:val="Compact"/>
              <w:jc w:val="left"/>
            </w:pPr>
            <w:r>
              <w:t xml:space="preserve">Programmatic increase for supported SKUs/regions</w:t>
            </w:r>
          </w:p>
        </w:tc>
      </w:tr>
      <w:tr>
        <w:tc>
          <w:tcPr/>
          <w:p>
            <w:pPr>
              <w:pStyle w:val="Compact"/>
              <w:jc w:val="left"/>
            </w:pPr>
            <w:r>
              <w:t xml:space="preserve">Read/write service limits</w:t>
            </w:r>
          </w:p>
        </w:tc>
        <w:tc>
          <w:tcPr/>
          <w:p>
            <w:pPr>
              <w:pStyle w:val="Compact"/>
              <w:jc w:val="left"/>
            </w:pPr>
            <w:r>
              <w:t xml:space="preserve">QuotaValidationService</w:t>
            </w:r>
          </w:p>
        </w:tc>
        <w:tc>
          <w:tcPr/>
          <w:p>
            <w:pPr>
              <w:pStyle w:val="Compact"/>
              <w:jc w:val="left"/>
            </w:pPr>
            <w:r>
              <w:rPr>
                <w:rStyle w:val="VerbatimChar"/>
              </w:rPr>
              <w:t xml:space="preserve">Microsoft.Capacity/resourceProviders/locations/serviceLimits/{read,write}</w:t>
            </w:r>
            <w:r>
              <w:t xml:space="preserve">,</w:t>
            </w:r>
            <w:r>
              <w:t xml:space="preserve"> </w:t>
            </w:r>
            <w:r>
              <w:rPr>
                <w:rStyle w:val="VerbatimChar"/>
              </w:rPr>
              <w:t xml:space="preserve">.../serviceLimitsRequests/read</w:t>
            </w:r>
          </w:p>
        </w:tc>
        <w:tc>
          <w:tcPr/>
          <w:p>
            <w:pPr>
              <w:pStyle w:val="Compact"/>
              <w:jc w:val="left"/>
            </w:pPr>
            <w:r>
              <w:t xml:space="preserve">Compute service-limit path</w:t>
            </w:r>
          </w:p>
        </w:tc>
      </w:tr>
      <w:tr>
        <w:tc>
          <w:tcPr/>
          <w:p>
            <w:pPr>
              <w:pStyle w:val="Compact"/>
              <w:jc w:val="left"/>
            </w:pPr>
            <w:r>
              <w:t xml:space="preserve">File support ticket (non-adjustable)</w:t>
            </w:r>
          </w:p>
        </w:tc>
        <w:tc>
          <w:tcPr/>
          <w:p>
            <w:pPr>
              <w:pStyle w:val="Compact"/>
              <w:jc w:val="left"/>
            </w:pPr>
            <w:r>
              <w:t xml:space="preserve">QuotaValidationService</w:t>
            </w:r>
          </w:p>
        </w:tc>
        <w:tc>
          <w:tcPr/>
          <w:p>
            <w:pPr>
              <w:pStyle w:val="Compact"/>
              <w:jc w:val="left"/>
            </w:pPr>
            <w:r>
              <w:rPr>
                <w:rStyle w:val="VerbatimChar"/>
              </w:rPr>
              <w:t xml:space="preserve">Microsoft.Support/supportTickets/write</w:t>
            </w:r>
            <w:r>
              <w:t xml:space="preserve">,</w:t>
            </w:r>
            <w:r>
              <w:t xml:space="preserve"> </w:t>
            </w:r>
            <w:r>
              <w:rPr>
                <w:rStyle w:val="VerbatimChar"/>
              </w:rPr>
              <w:t xml:space="preserve">Microsoft.Support/supportTickets/read</w:t>
            </w:r>
          </w:p>
        </w:tc>
        <w:tc>
          <w:tcPr/>
          <w:p>
            <w:pPr>
              <w:pStyle w:val="Compact"/>
              <w:jc w:val="left"/>
            </w:pPr>
            <w:r>
              <w:t xml:space="preserve">Fallback when quota is not self-service</w:t>
            </w:r>
          </w:p>
        </w:tc>
      </w:tr>
    </w:tbl>
    <w:p>
      <w:pPr>
        <w:pStyle w:val="BodyText"/>
      </w:pPr>
      <w:r>
        <w:t xml:space="preserve">The Quota Operator holds</w:t>
      </w:r>
      <w:r>
        <w:t xml:space="preserve"> </w:t>
      </w:r>
      <w:r>
        <w:rPr>
          <w:bCs/>
          <w:b/>
        </w:rPr>
        <w:t xml:space="preserve">no compute write and no VM write</w:t>
      </w:r>
      <w:r>
        <w:t xml:space="preserve"> </w:t>
      </w:r>
      <w:r>
        <w:t xml:space="preserve">— it can only query and request quota. A quota increase never implicitly creates a reservation; that remains a separate Capacity Operator action.</w:t>
      </w:r>
    </w:p>
    <w:bookmarkEnd w:id="27"/>
    <w:bookmarkStart w:id="28" w:name="Xabdedc1d192a5b8b1af7a1d5639f10268a96c57"/>
    <w:p>
      <w:pPr>
        <w:pStyle w:val="Heading3"/>
      </w:pPr>
      <w:r>
        <w:t xml:space="preserve">3.5 Consumer VM disassociation (Tier 3, G-14) —</w:t>
      </w:r>
      <w:r>
        <w:t xml:space="preserve"> </w:t>
      </w:r>
      <w:r>
        <w:rPr>
          <w:iCs/>
          <w:i/>
        </w:rPr>
        <w:t xml:space="preserve">ACRME Consumer Compute Operator</w:t>
      </w:r>
    </w:p>
    <w:p>
      <w:pPr>
        <w:pStyle w:val="BlockText"/>
      </w:pPr>
      <w:r>
        <w:rPr>
          <w:bCs/>
          <w:b/>
        </w:rPr>
        <w:t xml:space="preserve">Disabled by default.</w:t>
      </w:r>
      <w:r>
        <w:t xml:space="preserve"> </w:t>
      </w:r>
      <w:r>
        <w:t xml:space="preserve">This identity and its role assignment are gated behind</w:t>
      </w:r>
      <w:r>
        <w:t xml:space="preserve"> </w:t>
      </w:r>
      <w:r>
        <w:rPr>
          <w:rStyle w:val="VerbatimChar"/>
        </w:rPr>
        <w:t xml:space="preserve">engine_mode</w:t>
      </w:r>
      <w:r>
        <w:t xml:space="preserve"> </w:t>
      </w:r>
      <w:r>
        <w:t xml:space="preserve">and are</w:t>
      </w:r>
      <w:r>
        <w:t xml:space="preserve"> </w:t>
      </w:r>
      <w:r>
        <w:rPr>
          <w:bCs/>
          <w:b/>
        </w:rPr>
        <w:t xml:space="preserve">not</w:t>
      </w:r>
      <w:r>
        <w:t xml:space="preserve"> </w:t>
      </w:r>
      <w:r>
        <w:t xml:space="preserve">provisioned until gate G-14 is formally closed with customer consent. The role JSON exists and is validated, but</w:t>
      </w:r>
      <w:r>
        <w:t xml:space="preserve"> </w:t>
      </w:r>
      <w:r>
        <w:rPr>
          <w:rStyle w:val="VerbatimChar"/>
        </w:rPr>
        <w:t xml:space="preserve">deploy_role_assignments.sh</w:t>
      </w:r>
      <w:r>
        <w:t xml:space="preserve"> </w:t>
      </w:r>
      <w:r>
        <w:t xml:space="preserve">leaves its assignment commented out.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Read VM association state</w:t>
            </w:r>
          </w:p>
        </w:tc>
        <w:tc>
          <w:tcPr/>
          <w:p>
            <w:pPr>
              <w:pStyle w:val="Compact"/>
              <w:jc w:val="left"/>
            </w:pPr>
            <w:r>
              <w:t xml:space="preserve">VMDisassociationService</w:t>
            </w:r>
          </w:p>
        </w:tc>
        <w:tc>
          <w:tcPr/>
          <w:p>
            <w:pPr>
              <w:pStyle w:val="Compact"/>
              <w:jc w:val="left"/>
            </w:pPr>
            <w:r>
              <w:rPr>
                <w:rStyle w:val="VerbatimChar"/>
              </w:rPr>
              <w:t xml:space="preserve">Microsoft.Compute/virtualMachines/read</w:t>
            </w:r>
          </w:p>
        </w:tc>
        <w:tc>
          <w:tcPr/>
          <w:p>
            <w:pPr>
              <w:pStyle w:val="Compact"/>
            </w:pPr>
          </w:p>
        </w:tc>
      </w:tr>
      <w:tr>
        <w:tc>
          <w:tcPr/>
          <w:p>
            <w:pPr>
              <w:pStyle w:val="Compact"/>
              <w:jc w:val="left"/>
            </w:pPr>
            <w:r>
              <w:t xml:space="preserve">Disassociate VM from CRG (Path B, in-place)</w:t>
            </w:r>
          </w:p>
        </w:tc>
        <w:tc>
          <w:tcPr/>
          <w:p>
            <w:pPr>
              <w:pStyle w:val="Compact"/>
              <w:jc w:val="left"/>
            </w:pPr>
            <w:r>
              <w:t xml:space="preserve">VMDisassociationService</w:t>
            </w:r>
          </w:p>
        </w:tc>
        <w:tc>
          <w:tcPr/>
          <w:p>
            <w:pPr>
              <w:pStyle w:val="Compact"/>
              <w:jc w:val="left"/>
            </w:pPr>
            <w:r>
              <w:rPr>
                <w:rStyle w:val="VerbatimChar"/>
              </w:rPr>
              <w:t xml:space="preserve">Microsoft.Compute/virtualMachines/write</w:t>
            </w:r>
          </w:p>
        </w:tc>
        <w:tc>
          <w:tcPr/>
          <w:p>
            <w:pPr>
              <w:pStyle w:val="Compact"/>
              <w:jc w:val="left"/>
            </w:pPr>
            <w:r>
              <w:t xml:space="preserve">Clears</w:t>
            </w:r>
            <w:r>
              <w:t xml:space="preserve"> </w:t>
            </w:r>
            <w:r>
              <w:rPr>
                <w:rStyle w:val="VerbatimChar"/>
              </w:rPr>
              <w:t xml:space="preserve">capacityReservationGroup</w:t>
            </w:r>
            <w:r>
              <w:t xml:space="preserve">; requires VM stop-deallocate first on many SKUs</w:t>
            </w:r>
          </w:p>
        </w:tc>
      </w:tr>
      <w:tr>
        <w:tc>
          <w:tcPr/>
          <w:p>
            <w:pPr>
              <w:pStyle w:val="Compact"/>
              <w:jc w:val="left"/>
            </w:pPr>
            <w:r>
              <w:t xml:space="preserve">Deallocate / restart VM (Path A fallback)</w:t>
            </w:r>
          </w:p>
        </w:tc>
        <w:tc>
          <w:tcPr/>
          <w:p>
            <w:pPr>
              <w:pStyle w:val="Compact"/>
              <w:jc w:val="left"/>
            </w:pPr>
            <w:r>
              <w:t xml:space="preserve">VMDisassociationService</w:t>
            </w:r>
          </w:p>
        </w:tc>
        <w:tc>
          <w:tcPr/>
          <w:p>
            <w:pPr>
              <w:pStyle w:val="Compact"/>
              <w:jc w:val="left"/>
            </w:pPr>
            <w:r>
              <w:rPr>
                <w:rStyle w:val="VerbatimChar"/>
              </w:rPr>
              <w:t xml:space="preserve">Microsoft.Compute/virtualMachines/deallocate/action</w:t>
            </w:r>
            <w:r>
              <w:t xml:space="preserve">,</w:t>
            </w:r>
            <w:r>
              <w:t xml:space="preserve"> </w:t>
            </w:r>
            <w:r>
              <w:rPr>
                <w:rStyle w:val="VerbatimChar"/>
              </w:rPr>
              <w:t xml:space="preserve">Microsoft.Compute/virtualMachines/start/action</w:t>
            </w:r>
          </w:p>
        </w:tc>
        <w:tc>
          <w:tcPr/>
          <w:p>
            <w:pPr>
              <w:pStyle w:val="Compact"/>
              <w:jc w:val="left"/>
            </w:pPr>
            <w:r>
              <w:t xml:space="preserve">Only when in-place update is unsupported</w:t>
            </w:r>
          </w:p>
        </w:tc>
      </w:tr>
      <w:tr>
        <w:tc>
          <w:tcPr/>
          <w:p>
            <w:pPr>
              <w:pStyle w:val="Compact"/>
              <w:jc w:val="left"/>
            </w:pPr>
            <w:r>
              <w:t xml:space="preserve">Read-back converged state</w:t>
            </w:r>
          </w:p>
        </w:tc>
        <w:tc>
          <w:tcPr/>
          <w:p>
            <w:pPr>
              <w:pStyle w:val="Compact"/>
              <w:jc w:val="left"/>
            </w:pPr>
            <w:r>
              <w:t xml:space="preserve">VMDisassociationService</w:t>
            </w:r>
          </w:p>
        </w:tc>
        <w:tc>
          <w:tcPr/>
          <w:p>
            <w:pPr>
              <w:pStyle w:val="Compact"/>
              <w:jc w:val="left"/>
            </w:pPr>
            <w:r>
              <w:rPr>
                <w:rStyle w:val="VerbatimChar"/>
              </w:rPr>
              <w:t xml:space="preserve">Microsoft.Compute/virtualMachines/read</w:t>
            </w:r>
          </w:p>
        </w:tc>
        <w:tc>
          <w:tcPr/>
          <w:p>
            <w:pPr>
              <w:pStyle w:val="Compact"/>
            </w:pPr>
          </w:p>
        </w:tc>
      </w:tr>
    </w:tbl>
    <w:p>
      <w:pPr>
        <w:pStyle w:val="BodyText"/>
      </w:pPr>
      <w:r>
        <w:t xml:space="preserve">Three</w:t>
      </w:r>
      <w:r>
        <w:t xml:space="preserve"> </w:t>
      </w:r>
      <w:r>
        <w:rPr>
          <w:rStyle w:val="VerbatimChar"/>
        </w:rPr>
        <w:t xml:space="preserve">NotActions</w:t>
      </w:r>
      <w:r>
        <w:t xml:space="preserve"> </w:t>
      </w:r>
      <w:r>
        <w:t xml:space="preserve">fence this role hard:</w:t>
      </w:r>
      <w:r>
        <w:t xml:space="preserve"> </w:t>
      </w:r>
      <w:r>
        <w:rPr>
          <w:rStyle w:val="VerbatimChar"/>
        </w:rPr>
        <w:t xml:space="preserve">virtualMachines/delete</w:t>
      </w:r>
      <w:r>
        <w:t xml:space="preserve">,</w:t>
      </w:r>
      <w:r>
        <w:t xml:space="preserve"> </w:t>
      </w:r>
      <w:r>
        <w:rPr>
          <w:rStyle w:val="VerbatimChar"/>
        </w:rPr>
        <w:t xml:space="preserve">virtualMachineScaleSets/write</w:t>
      </w:r>
      <w:r>
        <w:t xml:space="preserve">, and</w:t>
      </w:r>
      <w:r>
        <w:t xml:space="preserve"> </w:t>
      </w:r>
      <w:r>
        <w:rPr>
          <w:rStyle w:val="VerbatimChar"/>
        </w:rPr>
        <w:t xml:space="preserve">virtualMachineScaleSets/delete</w:t>
      </w:r>
      <w:r>
        <w:t xml:space="preserve">. The engine can move a VM off a reservation but can</w:t>
      </w:r>
      <w:r>
        <w:t xml:space="preserve"> </w:t>
      </w:r>
      <w:r>
        <w:rPr>
          <w:bCs/>
          <w:b/>
        </w:rPr>
        <w:t xml:space="preserve">never delete a customer VM or touch scale sets</w:t>
      </w:r>
      <w:r>
        <w:t xml:space="preserve">. Scope is restricted to</w:t>
      </w:r>
      <w:r>
        <w:t xml:space="preserve"> </w:t>
      </w:r>
      <w:r>
        <w:rPr>
          <w:bCs/>
          <w:b/>
        </w:rPr>
        <w:t xml:space="preserve">explicitly enumerated consumer resource groups</w:t>
      </w:r>
      <w:r>
        <w:t xml:space="preserve"> </w:t>
      </w:r>
      <w:r>
        <w:t xml:space="preserve">— never a subscription. See §11 for the full G-14 consent and revocation model.</w:t>
      </w:r>
    </w:p>
    <w:bookmarkEnd w:id="28"/>
    <w:bookmarkStart w:id="29" w:name="cross-cutting-operations"/>
    <w:p>
      <w:pPr>
        <w:pStyle w:val="Heading3"/>
      </w:pPr>
      <w:r>
        <w:t xml:space="preserve">3.6 Cross-cutting operations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Identity</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Reconciliation (drift detect)</w:t>
            </w:r>
          </w:p>
        </w:tc>
        <w:tc>
          <w:tcPr/>
          <w:p>
            <w:pPr>
              <w:pStyle w:val="Compact"/>
              <w:jc w:val="left"/>
            </w:pPr>
            <w:r>
              <w:t xml:space="preserve">Reader</w:t>
            </w:r>
          </w:p>
        </w:tc>
        <w:tc>
          <w:tcPr/>
          <w:p>
            <w:pPr>
              <w:pStyle w:val="Compact"/>
              <w:jc w:val="left"/>
            </w:pPr>
            <w:r>
              <w:t xml:space="preserve">read actions in §3.1</w:t>
            </w:r>
          </w:p>
        </w:tc>
        <w:tc>
          <w:tcPr/>
          <w:p>
            <w:pPr>
              <w:pStyle w:val="Compact"/>
              <w:jc w:val="left"/>
            </w:pPr>
            <w:r>
              <w:t xml:space="preserve">Detection is read-only</w:t>
            </w:r>
          </w:p>
        </w:tc>
      </w:tr>
      <w:tr>
        <w:tc>
          <w:tcPr/>
          <w:p>
            <w:pPr>
              <w:pStyle w:val="Compact"/>
              <w:jc w:val="left"/>
            </w:pPr>
            <w:r>
              <w:t xml:space="preserve">Reconciliation (drift remediate)</w:t>
            </w:r>
          </w:p>
        </w:tc>
        <w:tc>
          <w:tcPr/>
          <w:p>
            <w:pPr>
              <w:pStyle w:val="Compact"/>
              <w:jc w:val="left"/>
            </w:pPr>
            <w:r>
              <w:t xml:space="preserve">Capacity / Consumer Compute</w:t>
            </w:r>
          </w:p>
        </w:tc>
        <w:tc>
          <w:tcPr/>
          <w:p>
            <w:pPr>
              <w:pStyle w:val="Compact"/>
              <w:jc w:val="left"/>
            </w:pPr>
            <w:r>
              <w:t xml:space="preserve">corresponding write action in §3.2 / §3.5</w:t>
            </w:r>
          </w:p>
        </w:tc>
        <w:tc>
          <w:tcPr/>
          <w:p>
            <w:pPr>
              <w:pStyle w:val="Compact"/>
              <w:jc w:val="left"/>
            </w:pPr>
            <w:r>
              <w:t xml:space="preserve">Remediation reuses the mutation identity, still least-privilege</w:t>
            </w:r>
          </w:p>
        </w:tc>
      </w:tr>
      <w:tr>
        <w:tc>
          <w:tcPr/>
          <w:p>
            <w:pPr>
              <w:pStyle w:val="Compact"/>
              <w:jc w:val="left"/>
            </w:pPr>
            <w:r>
              <w:t xml:space="preserve">Emergency capacity transfer (Tier 1/2)</w:t>
            </w:r>
          </w:p>
        </w:tc>
        <w:tc>
          <w:tcPr/>
          <w:p>
            <w:pPr>
              <w:pStyle w:val="Compact"/>
              <w:jc w:val="left"/>
            </w:pPr>
            <w:r>
              <w:t xml:space="preserve">Capacity Operator</w:t>
            </w:r>
          </w:p>
        </w:tc>
        <w:tc>
          <w:tcPr/>
          <w:p>
            <w:pPr>
              <w:pStyle w:val="Compact"/>
              <w:jc w:val="left"/>
            </w:pPr>
            <w:r>
              <w:rPr>
                <w:rStyle w:val="VerbatimChar"/>
              </w:rPr>
              <w:t xml:space="preserve">capacityReservations/write</w:t>
            </w:r>
          </w:p>
        </w:tc>
        <w:tc>
          <w:tcPr/>
          <w:p>
            <w:pPr>
              <w:pStyle w:val="Compact"/>
              <w:jc w:val="left"/>
            </w:pPr>
            <w:r>
              <w:t xml:space="preserve">Tier boundaries enforced in app layer, not Azure RBAC</w:t>
            </w:r>
          </w:p>
        </w:tc>
      </w:tr>
      <w:tr>
        <w:tc>
          <w:tcPr/>
          <w:p>
            <w:pPr>
              <w:pStyle w:val="Compact"/>
              <w:jc w:val="left"/>
            </w:pPr>
            <w:r>
              <w:t xml:space="preserve">DR failover / failback</w:t>
            </w:r>
          </w:p>
        </w:tc>
        <w:tc>
          <w:tcPr/>
          <w:p>
            <w:pPr>
              <w:pStyle w:val="Compact"/>
              <w:jc w:val="left"/>
            </w:pPr>
            <w:r>
              <w:t xml:space="preserve">Capacity Operator (+ Reader)</w:t>
            </w:r>
          </w:p>
        </w:tc>
        <w:tc>
          <w:tcPr/>
          <w:p>
            <w:pPr>
              <w:pStyle w:val="Compact"/>
              <w:jc w:val="left"/>
            </w:pPr>
            <w:r>
              <w:rPr>
                <w:rStyle w:val="VerbatimChar"/>
              </w:rPr>
              <w:t xml:space="preserve">capacityReservations/write</w:t>
            </w:r>
            <w:r>
              <w:t xml:space="preserve">, reads</w:t>
            </w:r>
          </w:p>
        </w:tc>
        <w:tc>
          <w:tcPr/>
          <w:p>
            <w:pPr>
              <w:pStyle w:val="Compact"/>
              <w:jc w:val="left"/>
            </w:pPr>
            <w:r>
              <w:t xml:space="preserve">Orchestrated by app-role DR Operator</w:t>
            </w:r>
          </w:p>
        </w:tc>
      </w:tr>
      <w:tr>
        <w:tc>
          <w:tcPr/>
          <w:p>
            <w:pPr>
              <w:pStyle w:val="Compact"/>
              <w:jc w:val="left"/>
            </w:pPr>
            <w:r>
              <w:rPr>
                <w:rStyle w:val="VerbatimChar"/>
              </w:rPr>
              <w:t xml:space="preserve">engine_mode</w:t>
            </w:r>
            <w:r>
              <w:t xml:space="preserve"> </w:t>
            </w:r>
            <w:r>
              <w:t xml:space="preserve">transition</w:t>
            </w:r>
          </w:p>
        </w:tc>
        <w:tc>
          <w:tcPr/>
          <w:p>
            <w:pPr>
              <w:pStyle w:val="Compact"/>
              <w:jc w:val="left"/>
            </w:pPr>
            <w:r>
              <w:t xml:space="preserve">(no Azure action)</w:t>
            </w:r>
          </w:p>
        </w:tc>
        <w:tc>
          <w:tcPr/>
          <w:p>
            <w:pPr>
              <w:pStyle w:val="Compact"/>
              <w:jc w:val="left"/>
            </w:pPr>
            <w:r>
              <w:t xml:space="preserve">—</w:t>
            </w:r>
          </w:p>
        </w:tc>
        <w:tc>
          <w:tcPr/>
          <w:p>
            <w:pPr>
              <w:pStyle w:val="Compact"/>
              <w:jc w:val="left"/>
            </w:pPr>
            <w:r>
              <w:t xml:space="preserve">State in Cosmos DB; gated by Policy Admin app role</w:t>
            </w:r>
          </w:p>
        </w:tc>
      </w:tr>
      <w:tr>
        <w:tc>
          <w:tcPr/>
          <w:p>
            <w:pPr>
              <w:pStyle w:val="Compact"/>
              <w:jc w:val="left"/>
            </w:pPr>
            <w:r>
              <w:t xml:space="preserve">Audit event write</w:t>
            </w:r>
          </w:p>
        </w:tc>
        <w:tc>
          <w:tcPr/>
          <w:p>
            <w:pPr>
              <w:pStyle w:val="Compact"/>
              <w:jc w:val="left"/>
            </w:pPr>
            <w:r>
              <w:t xml:space="preserve">(data plane)</w:t>
            </w:r>
          </w:p>
        </w:tc>
        <w:tc>
          <w:tcPr/>
          <w:p>
            <w:pPr>
              <w:pStyle w:val="Compact"/>
              <w:jc w:val="left"/>
            </w:pPr>
            <w:r>
              <w:t xml:space="preserve">Cosmos DB data-role, not ARM</w:t>
            </w:r>
          </w:p>
        </w:tc>
        <w:tc>
          <w:tcPr/>
          <w:p>
            <w:pPr>
              <w:pStyle w:val="Compact"/>
              <w:jc w:val="left"/>
            </w:pPr>
            <w:r>
              <w:t xml:space="preserve">See §12</w:t>
            </w:r>
          </w:p>
        </w:tc>
      </w:tr>
    </w:tbl>
    <w:p>
      <w:r>
        <w:pict>
          <v:rect style="width:0;height:1.5pt" o:hralign="center" o:hrstd="t" o:hr="t"/>
        </w:pict>
      </w:r>
    </w:p>
    <w:bookmarkEnd w:id="29"/>
    <w:bookmarkEnd w:id="30"/>
    <w:bookmarkStart w:id="31" w:name="custom-role-catalog"/>
    <w:p>
      <w:pPr>
        <w:pStyle w:val="Heading2"/>
      </w:pPr>
      <w:r>
        <w:t xml:space="preserve">4. Custom role catalog</w:t>
      </w:r>
    </w:p>
    <w:p>
      <w:pPr>
        <w:pStyle w:val="FirstParagraph"/>
      </w:pPr>
      <w:r>
        <w:t xml:space="preserve">Five custom roles are defined as JSON under</w:t>
      </w:r>
      <w:r>
        <w:t xml:space="preserve"> </w:t>
      </w:r>
      <w:r>
        <w:rPr>
          <w:rStyle w:val="VerbatimChar"/>
        </w:rPr>
        <w:t xml:space="preserve">docs/rbac/custom_roles/</w:t>
      </w:r>
      <w:r>
        <w:t xml:space="preserve">. Each uses placeholder tokens (</w:t>
      </w:r>
      <w:r>
        <w:rPr>
          <w:rStyle w:val="VerbatimChar"/>
        </w:rPr>
        <w:t xml:space="preserve">&lt;SUBSCRIPTION_ID&gt;</w:t>
      </w:r>
      <w:r>
        <w:t xml:space="preserve">,</w:t>
      </w:r>
      <w:r>
        <w:t xml:space="preserve"> </w:t>
      </w:r>
      <w:r>
        <w:rPr>
          <w:rStyle w:val="VerbatimChar"/>
        </w:rPr>
        <w:t xml:space="preserve">&lt;PROVIDER_RG_ID&gt;</w:t>
      </w:r>
      <w:r>
        <w:t xml:space="preserve">, etc.) substituted at deploy time by</w:t>
      </w:r>
      <w:r>
        <w:t xml:space="preserve"> </w:t>
      </w:r>
      <w:r>
        <w:rPr>
          <w:rStyle w:val="VerbatimChar"/>
        </w:rPr>
        <w:t xml:space="preserve">deploy_custom_roles.sh</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 file</w:t>
            </w:r>
          </w:p>
        </w:tc>
        <w:tc>
          <w:tcPr/>
          <w:p>
            <w:pPr>
              <w:pStyle w:val="Compact"/>
              <w:jc w:val="left"/>
            </w:pPr>
            <w:r>
              <w:t xml:space="preserve">Actions</w:t>
            </w:r>
          </w:p>
        </w:tc>
        <w:tc>
          <w:tcPr/>
          <w:p>
            <w:pPr>
              <w:pStyle w:val="Compact"/>
              <w:jc w:val="left"/>
            </w:pPr>
            <w:r>
              <w:t xml:space="preserve">NotActions</w:t>
            </w:r>
          </w:p>
        </w:tc>
        <w:tc>
          <w:tcPr/>
          <w:p>
            <w:pPr>
              <w:pStyle w:val="Compact"/>
              <w:jc w:val="left"/>
            </w:pPr>
            <w:r>
              <w:t xml:space="preserve">Assignable scope intent</w:t>
            </w:r>
          </w:p>
        </w:tc>
      </w:tr>
      <w:tr>
        <w:tc>
          <w:tcPr/>
          <w:p>
            <w:pPr>
              <w:pStyle w:val="Compact"/>
              <w:jc w:val="left"/>
            </w:pPr>
            <w:r>
              <w:rPr>
                <w:rStyle w:val="VerbatimChar"/>
              </w:rPr>
              <w:t xml:space="preserve">acrme_reader.json</w:t>
            </w:r>
          </w:p>
        </w:tc>
        <w:tc>
          <w:tcPr/>
          <w:p>
            <w:pPr>
              <w:pStyle w:val="Compact"/>
              <w:jc w:val="left"/>
            </w:pPr>
            <w:r>
              <w:t xml:space="preserve">19 read actions</w:t>
            </w:r>
          </w:p>
        </w:tc>
        <w:tc>
          <w:tcPr/>
          <w:p>
            <w:pPr>
              <w:pStyle w:val="Compact"/>
              <w:jc w:val="left"/>
            </w:pPr>
            <w:r>
              <w:t xml:space="preserve">—</w:t>
            </w:r>
          </w:p>
        </w:tc>
        <w:tc>
          <w:tcPr/>
          <w:p>
            <w:pPr>
              <w:pStyle w:val="Compact"/>
              <w:jc w:val="left"/>
            </w:pPr>
            <w:r>
              <w:t xml:space="preserve">Managed subscriptions</w:t>
            </w:r>
          </w:p>
        </w:tc>
      </w:tr>
      <w:tr>
        <w:tc>
          <w:tcPr/>
          <w:p>
            <w:pPr>
              <w:pStyle w:val="Compact"/>
              <w:jc w:val="left"/>
            </w:pPr>
            <w:r>
              <w:rPr>
                <w:rStyle w:val="VerbatimChar"/>
              </w:rPr>
              <w:t xml:space="preserve">acrme_capacity_operator.json</w:t>
            </w:r>
          </w:p>
        </w:tc>
        <w:tc>
          <w:tcPr/>
          <w:p>
            <w:pPr>
              <w:pStyle w:val="Compact"/>
              <w:jc w:val="left"/>
            </w:pPr>
            <w:r>
              <w:t xml:space="preserve">13</w:t>
            </w:r>
          </w:p>
        </w:tc>
        <w:tc>
          <w:tcPr/>
          <w:p>
            <w:pPr>
              <w:pStyle w:val="Compact"/>
              <w:jc w:val="left"/>
            </w:pPr>
            <w:r>
              <w:t xml:space="preserve">1 (</w:t>
            </w:r>
            <w:r>
              <w:rPr>
                <w:rStyle w:val="VerbatimChar"/>
              </w:rPr>
              <w:t xml:space="preserve">share/action</w:t>
            </w:r>
            <w:r>
              <w:t xml:space="preserve">)</w:t>
            </w:r>
          </w:p>
        </w:tc>
        <w:tc>
          <w:tcPr/>
          <w:p>
            <w:pPr>
              <w:pStyle w:val="Compact"/>
              <w:jc w:val="left"/>
            </w:pPr>
            <w:r>
              <w:t xml:space="preserve">Provider resource groups</w:t>
            </w:r>
          </w:p>
        </w:tc>
      </w:tr>
      <w:tr>
        <w:tc>
          <w:tcPr/>
          <w:p>
            <w:pPr>
              <w:pStyle w:val="Compact"/>
              <w:jc w:val="left"/>
            </w:pPr>
            <w:r>
              <w:rPr>
                <w:rStyle w:val="VerbatimChar"/>
              </w:rPr>
              <w:t xml:space="preserve">acrme_sharing_operator.json</w:t>
            </w:r>
          </w:p>
        </w:tc>
        <w:tc>
          <w:tcPr/>
          <w:p>
            <w:pPr>
              <w:pStyle w:val="Compact"/>
              <w:jc w:val="left"/>
            </w:pPr>
            <w:r>
              <w:t xml:space="preserve">10 (incl. </w:t>
            </w:r>
            <w:r>
              <w:rPr>
                <w:rStyle w:val="VerbatimChar"/>
              </w:rPr>
              <w:t xml:space="preserve">share/action</w:t>
            </w:r>
            <w:r>
              <w:t xml:space="preserve"> </w:t>
            </w:r>
            <w:r>
              <w:t xml:space="preserve">+</w:t>
            </w:r>
            <w:r>
              <w:t xml:space="preserve"> </w:t>
            </w:r>
            <w:r>
              <w:rPr>
                <w:rStyle w:val="VerbatimChar"/>
              </w:rPr>
              <w:t xml:space="preserve">roleAssignments/write</w:t>
            </w:r>
            <w:r>
              <w:t xml:space="preserve">)</w:t>
            </w:r>
          </w:p>
        </w:tc>
        <w:tc>
          <w:tcPr/>
          <w:p>
            <w:pPr>
              <w:pStyle w:val="Compact"/>
              <w:jc w:val="left"/>
            </w:pPr>
            <w:r>
              <w:t xml:space="preserve">2 (CR write/delete)</w:t>
            </w:r>
          </w:p>
        </w:tc>
        <w:tc>
          <w:tcPr/>
          <w:p>
            <w:pPr>
              <w:pStyle w:val="Compact"/>
              <w:jc w:val="left"/>
            </w:pPr>
            <w:r>
              <w:t xml:space="preserve">Approved CRGs + onboarding scopes</w:t>
            </w:r>
          </w:p>
        </w:tc>
      </w:tr>
      <w:tr>
        <w:tc>
          <w:tcPr/>
          <w:p>
            <w:pPr>
              <w:pStyle w:val="Compact"/>
              <w:jc w:val="left"/>
            </w:pPr>
            <w:r>
              <w:rPr>
                <w:rStyle w:val="VerbatimChar"/>
              </w:rPr>
              <w:t xml:space="preserve">acrme_quota_operator.json</w:t>
            </w:r>
          </w:p>
        </w:tc>
        <w:tc>
          <w:tcPr/>
          <w:p>
            <w:pPr>
              <w:pStyle w:val="Compact"/>
              <w:jc w:val="left"/>
            </w:pPr>
            <w:r>
              <w:t xml:space="preserve">13 (Quota + Capacity + Support)</w:t>
            </w:r>
          </w:p>
        </w:tc>
        <w:tc>
          <w:tcPr/>
          <w:p>
            <w:pPr>
              <w:pStyle w:val="Compact"/>
              <w:jc w:val="left"/>
            </w:pPr>
            <w:r>
              <w:t xml:space="preserve">—</w:t>
            </w:r>
          </w:p>
        </w:tc>
        <w:tc>
          <w:tcPr/>
          <w:p>
            <w:pPr>
              <w:pStyle w:val="Compact"/>
              <w:jc w:val="left"/>
            </w:pPr>
            <w:r>
              <w:t xml:space="preserve">Approved quota scopes</w:t>
            </w:r>
          </w:p>
        </w:tc>
      </w:tr>
      <w:tr>
        <w:tc>
          <w:tcPr/>
          <w:p>
            <w:pPr>
              <w:pStyle w:val="Compact"/>
              <w:jc w:val="left"/>
            </w:pPr>
            <w:r>
              <w:rPr>
                <w:rStyle w:val="VerbatimChar"/>
              </w:rPr>
              <w:t xml:space="preserve">acrme_consumer_compute_operator.json</w:t>
            </w:r>
          </w:p>
        </w:tc>
        <w:tc>
          <w:tcPr/>
          <w:p>
            <w:pPr>
              <w:pStyle w:val="Compact"/>
              <w:jc w:val="left"/>
            </w:pPr>
            <w:r>
              <w:t xml:space="preserve">7</w:t>
            </w:r>
          </w:p>
        </w:tc>
        <w:tc>
          <w:tcPr/>
          <w:p>
            <w:pPr>
              <w:pStyle w:val="Compact"/>
              <w:jc w:val="left"/>
            </w:pPr>
            <w:r>
              <w:t xml:space="preserve">3 (VM delete, VMSS write/delete)</w:t>
            </w:r>
          </w:p>
        </w:tc>
        <w:tc>
          <w:tcPr/>
          <w:p>
            <w:pPr>
              <w:pStyle w:val="Compact"/>
              <w:jc w:val="left"/>
            </w:pPr>
            <w:r>
              <w:t xml:space="preserve">Explicit consumer RGs only</w:t>
            </w:r>
          </w:p>
        </w:tc>
      </w:tr>
    </w:tbl>
    <w:p>
      <w:pPr>
        <w:pStyle w:val="BodyText"/>
      </w:pPr>
      <w:r>
        <w:t xml:space="preserve">Design notes:</w:t>
      </w:r>
    </w:p>
    <w:p>
      <w:pPr>
        <w:numPr>
          <w:ilvl w:val="0"/>
          <w:numId w:val="1003"/>
        </w:numPr>
        <w:pStyle w:val="Compact"/>
      </w:pPr>
      <w:r>
        <w:rPr>
          <w:bCs/>
          <w:b/>
        </w:rPr>
        <w:t xml:space="preserve">No wildcards on write.</w:t>
      </w:r>
      <w:r>
        <w:t xml:space="preserve"> </w:t>
      </w:r>
      <w:r>
        <w:t xml:space="preserve">Read roles may use narrow wildcards for convenience; every write/delete/action is explicitly enumerated so the role cannot silently acquire new mutation rights when Azure adds resource types.</w:t>
      </w:r>
    </w:p>
    <w:p>
      <w:pPr>
        <w:numPr>
          <w:ilvl w:val="0"/>
          <w:numId w:val="1003"/>
        </w:numPr>
        <w:pStyle w:val="Compact"/>
      </w:pPr>
      <w:r>
        <w:rPr>
          <w:rStyle w:val="VerbatimChar"/>
          <w:bCs/>
          <w:b/>
        </w:rPr>
        <w:t xml:space="preserve">NotActions</w:t>
      </w:r>
      <w:r>
        <w:rPr>
          <w:bCs/>
          <w:b/>
        </w:rPr>
        <w:t xml:space="preserve"> </w:t>
      </w:r>
      <w:r>
        <w:rPr>
          <w:bCs/>
          <w:b/>
        </w:rPr>
        <w:t xml:space="preserve">as guardrails, not just least-privilege.</w:t>
      </w:r>
      <w:r>
        <w:t xml:space="preserve"> </w:t>
      </w:r>
      <w:r>
        <w:t xml:space="preserve">They encode invariants (Capacity can’t share; Sharing can’t change reservations; Consumer Compute can’t delete VMs) that survive future edits to the</w:t>
      </w:r>
      <w:r>
        <w:t xml:space="preserve"> </w:t>
      </w:r>
      <w:r>
        <w:rPr>
          <w:rStyle w:val="VerbatimChar"/>
        </w:rPr>
        <w:t xml:space="preserve">Actions</w:t>
      </w:r>
      <w:r>
        <w:t xml:space="preserve"> </w:t>
      </w:r>
      <w:r>
        <w:t xml:space="preserve">list.</w:t>
      </w:r>
    </w:p>
    <w:p>
      <w:pPr>
        <w:numPr>
          <w:ilvl w:val="0"/>
          <w:numId w:val="1003"/>
        </w:numPr>
        <w:pStyle w:val="Compact"/>
      </w:pPr>
      <w:r>
        <w:rPr>
          <w:rStyle w:val="VerbatimChar"/>
          <w:bCs/>
          <w:b/>
        </w:rPr>
        <w:t xml:space="preserve">assignableScopes</w:t>
      </w:r>
      <w:r>
        <w:t xml:space="preserve"> </w:t>
      </w:r>
      <w:r>
        <w:t xml:space="preserve">are set to the narrowest management-group/subscription that must host the role definition; assignment scope is narrowed further at assignment time (§5).</w:t>
      </w:r>
    </w:p>
    <w:p>
      <w:r>
        <w:pict>
          <v:rect style="width:0;height:1.5pt" o:hralign="center" o:hrstd="t" o:hr="t"/>
        </w:pict>
      </w:r>
    </w:p>
    <w:bookmarkEnd w:id="31"/>
    <w:bookmarkStart w:id="32" w:name="scope-and-assignment-guidance"/>
    <w:p>
      <w:pPr>
        <w:pStyle w:val="Heading2"/>
      </w:pPr>
      <w:r>
        <w:t xml:space="preserve">5. Scope and assignment guidance</w:t>
      </w:r>
    </w:p>
    <w:p>
      <w:pPr>
        <w:pStyle w:val="FirstParagraph"/>
      </w:pPr>
      <w:r>
        <w:rPr>
          <w:bCs/>
          <w:b/>
        </w:rPr>
        <w:t xml:space="preserve">Two-level narrowing.</w:t>
      </w:r>
      <w:r>
        <w:t xml:space="preserve"> </w:t>
      </w:r>
      <w:r>
        <w:t xml:space="preserve">A custom role has (a)</w:t>
      </w:r>
      <w:r>
        <w:t xml:space="preserve"> </w:t>
      </w:r>
      <w:r>
        <w:rPr>
          <w:rStyle w:val="VerbatimChar"/>
        </w:rPr>
        <w:t xml:space="preserve">assignableScopes</w:t>
      </w:r>
      <w:r>
        <w:t xml:space="preserve"> </w:t>
      </w:r>
      <w:r>
        <w:t xml:space="preserve">— where the</w:t>
      </w:r>
      <w:r>
        <w:t xml:space="preserve"> </w:t>
      </w:r>
      <w:r>
        <w:rPr>
          <w:iCs/>
          <w:i/>
        </w:rPr>
        <w:t xml:space="preserve">definition</w:t>
      </w:r>
      <w:r>
        <w:t xml:space="preserve"> </w:t>
      </w:r>
      <w:r>
        <w:t xml:space="preserve">may be assigned — and (b) the</w:t>
      </w:r>
      <w:r>
        <w:t xml:space="preserve"> </w:t>
      </w:r>
      <w:r>
        <w:rPr>
          <w:iCs/>
          <w:i/>
        </w:rPr>
        <w:t xml:space="preserve">assignment</w:t>
      </w:r>
      <w:r>
        <w:t xml:space="preserve"> </w:t>
      </w:r>
      <w:r>
        <w:t xml:space="preserve">scope — where an identity actually receives it. Always set (b) tighter than (a).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Identity</w:t>
            </w:r>
          </w:p>
        </w:tc>
        <w:tc>
          <w:tcPr/>
          <w:p>
            <w:pPr>
              <w:pStyle w:val="Compact"/>
              <w:jc w:val="left"/>
            </w:pPr>
            <w:r>
              <w:t xml:space="preserve">Definition scope</w:t>
            </w:r>
          </w:p>
        </w:tc>
        <w:tc>
          <w:tcPr/>
          <w:p>
            <w:pPr>
              <w:pStyle w:val="Compact"/>
              <w:jc w:val="left"/>
            </w:pPr>
            <w:r>
              <w:t xml:space="preserve">Assignment scope (target)</w:t>
            </w:r>
          </w:p>
        </w:tc>
      </w:tr>
      <w:tr>
        <w:tc>
          <w:tcPr/>
          <w:p>
            <w:pPr>
              <w:pStyle w:val="Compact"/>
              <w:jc w:val="left"/>
            </w:pPr>
            <w:r>
              <w:t xml:space="preserve">Reader</w:t>
            </w:r>
          </w:p>
        </w:tc>
        <w:tc>
          <w:tcPr/>
          <w:p>
            <w:pPr>
              <w:pStyle w:val="Compact"/>
              <w:jc w:val="left"/>
            </w:pPr>
            <w:r>
              <w:t xml:space="preserve">Management group / subscription</w:t>
            </w:r>
          </w:p>
        </w:tc>
        <w:tc>
          <w:tcPr/>
          <w:p>
            <w:pPr>
              <w:pStyle w:val="Compact"/>
              <w:jc w:val="left"/>
            </w:pPr>
            <w:r>
              <w:t xml:space="preserve">Each managed subscription (reader)</w:t>
            </w:r>
          </w:p>
        </w:tc>
      </w:tr>
      <w:tr>
        <w:tc>
          <w:tcPr/>
          <w:p>
            <w:pPr>
              <w:pStyle w:val="Compact"/>
              <w:jc w:val="left"/>
            </w:pPr>
            <w:r>
              <w:t xml:space="preserve">Capacity Operator</w:t>
            </w:r>
          </w:p>
        </w:tc>
        <w:tc>
          <w:tcPr/>
          <w:p>
            <w:pPr>
              <w:pStyle w:val="Compact"/>
              <w:jc w:val="left"/>
            </w:pPr>
            <w:r>
              <w:t xml:space="preserve">Subscription</w:t>
            </w:r>
          </w:p>
        </w:tc>
        <w:tc>
          <w:tcPr/>
          <w:p>
            <w:pPr>
              <w:pStyle w:val="Compact"/>
              <w:jc w:val="left"/>
            </w:pPr>
            <w:r>
              <w:t xml:space="preserve">Individual approved provider</w:t>
            </w:r>
            <w:r>
              <w:t xml:space="preserve"> </w:t>
            </w:r>
            <w:r>
              <w:rPr>
                <w:bCs/>
                <w:b/>
              </w:rPr>
              <w:t xml:space="preserve">resource groups</w:t>
            </w:r>
          </w:p>
        </w:tc>
      </w:tr>
      <w:tr>
        <w:tc>
          <w:tcPr/>
          <w:p>
            <w:pPr>
              <w:pStyle w:val="Compact"/>
              <w:jc w:val="left"/>
            </w:pPr>
            <w:r>
              <w:t xml:space="preserve">Sharing Operator</w:t>
            </w:r>
          </w:p>
        </w:tc>
        <w:tc>
          <w:tcPr/>
          <w:p>
            <w:pPr>
              <w:pStyle w:val="Compact"/>
              <w:jc w:val="left"/>
            </w:pPr>
            <w:r>
              <w:t xml:space="preserve">Subscription</w:t>
            </w:r>
          </w:p>
        </w:tc>
        <w:tc>
          <w:tcPr/>
          <w:p>
            <w:pPr>
              <w:pStyle w:val="Compact"/>
              <w:jc w:val="left"/>
            </w:pPr>
            <w:r>
              <w:t xml:space="preserve">Specific</w:t>
            </w:r>
            <w:r>
              <w:t xml:space="preserve"> </w:t>
            </w:r>
            <w:r>
              <w:rPr>
                <w:bCs/>
                <w:b/>
              </w:rPr>
              <w:t xml:space="preserve">CRG resource IDs</w:t>
            </w:r>
            <w:r>
              <w:t xml:space="preserve"> </w:t>
            </w:r>
            <w:r>
              <w:t xml:space="preserve">+ onboarding RG</w:t>
            </w:r>
          </w:p>
        </w:tc>
      </w:tr>
      <w:tr>
        <w:tc>
          <w:tcPr/>
          <w:p>
            <w:pPr>
              <w:pStyle w:val="Compact"/>
              <w:jc w:val="left"/>
            </w:pPr>
            <w:r>
              <w:t xml:space="preserve">Quota Operator</w:t>
            </w:r>
          </w:p>
        </w:tc>
        <w:tc>
          <w:tcPr/>
          <w:p>
            <w:pPr>
              <w:pStyle w:val="Compact"/>
              <w:jc w:val="left"/>
            </w:pPr>
            <w:r>
              <w:t xml:space="preserve">Subscription</w:t>
            </w:r>
          </w:p>
        </w:tc>
        <w:tc>
          <w:tcPr/>
          <w:p>
            <w:pPr>
              <w:pStyle w:val="Compact"/>
              <w:jc w:val="left"/>
            </w:pPr>
            <w:r>
              <w:t xml:space="preserve">Subscription or RG hosting quota</w:t>
            </w:r>
          </w:p>
        </w:tc>
      </w:tr>
      <w:tr>
        <w:tc>
          <w:tcPr/>
          <w:p>
            <w:pPr>
              <w:pStyle w:val="Compact"/>
              <w:jc w:val="left"/>
            </w:pPr>
            <w:r>
              <w:t xml:space="preserve">Consumer Compute Operator</w:t>
            </w:r>
          </w:p>
        </w:tc>
        <w:tc>
          <w:tcPr/>
          <w:p>
            <w:pPr>
              <w:pStyle w:val="Compact"/>
              <w:jc w:val="left"/>
            </w:pPr>
            <w:r>
              <w:t xml:space="preserve">Subscription</w:t>
            </w:r>
          </w:p>
        </w:tc>
        <w:tc>
          <w:tcPr/>
          <w:p>
            <w:pPr>
              <w:pStyle w:val="Compact"/>
              <w:jc w:val="left"/>
            </w:pPr>
            <w:r>
              <w:t xml:space="preserve">Enumerated consumer</w:t>
            </w:r>
            <w:r>
              <w:t xml:space="preserve"> </w:t>
            </w:r>
            <w:r>
              <w:rPr>
                <w:bCs/>
                <w:b/>
              </w:rPr>
              <w:t xml:space="preserve">resource groups</w:t>
            </w:r>
            <w:r>
              <w:t xml:space="preserve"> </w:t>
            </w:r>
            <w:r>
              <w:t xml:space="preserve">only</w:t>
            </w:r>
          </w:p>
        </w:tc>
      </w:tr>
    </w:tbl>
    <w:p>
      <w:pPr>
        <w:pStyle w:val="BodyText"/>
      </w:pPr>
      <w:r>
        <w:rPr>
          <w:rStyle w:val="VerbatimChar"/>
        </w:rPr>
        <w:t xml:space="preserve">deploy_role_assignments.sh</w:t>
      </w:r>
      <w:r>
        <w:t xml:space="preserve"> </w:t>
      </w:r>
      <w:r>
        <w:t xml:space="preserve">assigns each role to its UAMI at the narrowest scope and prints the resulting assignment IDs for audit capture. Never assign a mutation role at subscription scope when a resource-group scope suffices.</w:t>
      </w:r>
    </w:p>
    <w:p>
      <w:r>
        <w:pict>
          <v:rect style="width:0;height:1.5pt" o:hralign="center" o:hrstd="t" o:hr="t"/>
        </w:pict>
      </w:r>
    </w:p>
    <w:bookmarkEnd w:id="32"/>
    <w:bookmarkStart w:id="33" w:name="Xb2402a4aa526dfcff1cb782baaceff7d8da7fb0"/>
    <w:p>
      <w:pPr>
        <w:pStyle w:val="Heading2"/>
      </w:pPr>
      <w:r>
        <w:t xml:space="preserve">6. Cross-subscription and cross-tenant considerations</w:t>
      </w:r>
    </w:p>
    <w:p>
      <w:pPr>
        <w:numPr>
          <w:ilvl w:val="0"/>
          <w:numId w:val="1004"/>
        </w:numPr>
        <w:pStyle w:val="Compact"/>
      </w:pPr>
      <w:r>
        <w:rPr>
          <w:bCs/>
          <w:b/>
        </w:rPr>
        <w:t xml:space="preserve">Cross-subscription sharing.</w:t>
      </w:r>
      <w:r>
        <w:t xml:space="preserve"> </w:t>
      </w:r>
      <w:r>
        <w:t xml:space="preserve">CRG sharing lets a provider subscription expose reservations to consumer subscriptions in the same tenant. The engine’s Sharing Operator performs</w:t>
      </w:r>
      <w:r>
        <w:t xml:space="preserve"> </w:t>
      </w:r>
      <w:r>
        <w:rPr>
          <w:rStyle w:val="VerbatimChar"/>
        </w:rPr>
        <w:t xml:space="preserve">share/action</w:t>
      </w:r>
      <w:r>
        <w:t xml:space="preserve"> </w:t>
      </w:r>
      <w:r>
        <w:t xml:space="preserve">on the provider side and grants the consumer identity read+deploy at the CRG scope. No engine identity needs standing rights in the consumer subscription for</w:t>
      </w:r>
      <w:r>
        <w:t xml:space="preserve"> </w:t>
      </w:r>
      <w:r>
        <w:rPr>
          <w:iCs/>
          <w:i/>
        </w:rPr>
        <w:t xml:space="preserve">deployment</w:t>
      </w:r>
      <w:r>
        <w:t xml:space="preserve"> </w:t>
      </w:r>
      <w:r>
        <w:t xml:space="preserve">— the consumer deploys under its own identity.</w:t>
      </w:r>
    </w:p>
    <w:p>
      <w:pPr>
        <w:numPr>
          <w:ilvl w:val="0"/>
          <w:numId w:val="1004"/>
        </w:numPr>
        <w:pStyle w:val="Compact"/>
      </w:pPr>
      <w:r>
        <w:rPr>
          <w:bCs/>
          <w:b/>
        </w:rPr>
        <w:t xml:space="preserve">Cross-tenant.</w:t>
      </w:r>
      <w:r>
        <w:t xml:space="preserve"> </w:t>
      </w:r>
      <w:r>
        <w:t xml:space="preserve">Where consumers are in a separate tenant, use</w:t>
      </w:r>
      <w:r>
        <w:t xml:space="preserve"> </w:t>
      </w:r>
      <w:r>
        <w:rPr>
          <w:bCs/>
          <w:b/>
        </w:rPr>
        <w:t xml:space="preserve">Azure Lighthouse</w:t>
      </w:r>
      <w:r>
        <w:t xml:space="preserve"> </w:t>
      </w:r>
      <w:r>
        <w:t xml:space="preserve">delegated resource management to project the ACRME reader/operator UAMIs into the customer tenant at a delegated scope, rather than creating guest service principals. Lighthouse delegations are auditable and revocable by the customer, aligning with the G-14 consent posture.</w:t>
      </w:r>
    </w:p>
    <w:p>
      <w:pPr>
        <w:numPr>
          <w:ilvl w:val="0"/>
          <w:numId w:val="1004"/>
        </w:numPr>
        <w:pStyle w:val="Compact"/>
      </w:pPr>
      <w:r>
        <w:rPr>
          <w:bCs/>
          <w:b/>
        </w:rPr>
        <w:t xml:space="preserve">ARG across tenants</w:t>
      </w:r>
      <w:r>
        <w:t xml:space="preserve"> </w:t>
      </w:r>
      <w:r>
        <w:t xml:space="preserve">returns only resources visible to the calling identity’s delegated scope; expect partial fleet views and design reconciliation to treat unseen subscriptions as</w:t>
      </w:r>
      <w:r>
        <w:t xml:space="preserve"> </w:t>
      </w:r>
      <w:r>
        <w:t xml:space="preserve">“</w:t>
      </w:r>
      <w:r>
        <w:t xml:space="preserve">not managed</w:t>
      </w:r>
      <w:r>
        <w:t xml:space="preserve">”</w:t>
      </w:r>
      <w:r>
        <w:t xml:space="preserve"> </w:t>
      </w:r>
      <w:r>
        <w:t xml:space="preserve">rather than</w:t>
      </w:r>
      <w:r>
        <w:t xml:space="preserve"> </w:t>
      </w:r>
      <w:r>
        <w:t xml:space="preserve">“</w:t>
      </w:r>
      <w:r>
        <w:t xml:space="preserve">drifted.</w:t>
      </w:r>
      <w:r>
        <w:t xml:space="preserve">”</w:t>
      </w:r>
    </w:p>
    <w:p>
      <w:r>
        <w:pict>
          <v:rect style="width:0;height:1.5pt" o:hralign="center" o:hrstd="t" o:hr="t"/>
        </w:pict>
      </w:r>
    </w:p>
    <w:bookmarkEnd w:id="33"/>
    <w:bookmarkStart w:id="34" w:name="deployment"/>
    <w:p>
      <w:pPr>
        <w:pStyle w:val="Heading2"/>
      </w:pPr>
      <w:r>
        <w:t xml:space="preserve">7. Deployment</w:t>
      </w:r>
    </w:p>
    <w:p>
      <w:pPr>
        <w:pStyle w:val="SourceCode"/>
      </w:pPr>
      <w:r>
        <w:rPr>
          <w:rStyle w:val="CommentTok"/>
        </w:rPr>
        <w:t xml:space="preserve"># 1. Create/update the five custom role definitions (substitutes placeholders from env)</w:t>
      </w:r>
      <w:r>
        <w:br/>
      </w:r>
      <w:r>
        <w:rPr>
          <w:rStyle w:val="BuiltInTok"/>
        </w:rPr>
        <w:t xml:space="preserve">export</w:t>
      </w:r>
      <w:r>
        <w:rPr>
          <w:rStyle w:val="NormalTok"/>
        </w:rPr>
        <w:t xml:space="preserve"> </w:t>
      </w:r>
      <w:r>
        <w:rPr>
          <w:rStyle w:val="VariableTok"/>
        </w:rPr>
        <w:t xml:space="preserve">SUBSCRIPTION_ID</w:t>
      </w:r>
      <w:r>
        <w:rPr>
          <w:rStyle w:val="OperatorTok"/>
        </w:rPr>
        <w:t xml:space="preserve">=</w:t>
      </w:r>
      <w:r>
        <w:rPr>
          <w:rStyle w:val="StringTok"/>
        </w:rPr>
        <w:t xml:space="preserve">"&lt;sub&gt;"</w:t>
      </w:r>
      <w:r>
        <w:br/>
      </w:r>
      <w:r>
        <w:rPr>
          <w:rStyle w:val="BuiltInTok"/>
        </w:rPr>
        <w:t xml:space="preserve">export</w:t>
      </w:r>
      <w:r>
        <w:rPr>
          <w:rStyle w:val="NormalTok"/>
        </w:rPr>
        <w:t xml:space="preserve"> </w:t>
      </w:r>
      <w:r>
        <w:rPr>
          <w:rStyle w:val="VariableTok"/>
        </w:rPr>
        <w:t xml:space="preserve">PROVIDER_RG_ID</w:t>
      </w:r>
      <w:r>
        <w:rPr>
          <w:rStyle w:val="OperatorTok"/>
        </w:rPr>
        <w:t xml:space="preserve">=</w:t>
      </w:r>
      <w:r>
        <w:rPr>
          <w:rStyle w:val="StringTok"/>
        </w:rPr>
        <w:t xml:space="preserve">"/subscriptions/&lt;sub&gt;/resourceGroups/&lt;rg&gt;"</w:t>
      </w:r>
      <w:r>
        <w:br/>
      </w:r>
      <w:r>
        <w:rPr>
          <w:rStyle w:val="FunctionTok"/>
        </w:rPr>
        <w:t xml:space="preserve">bash</w:t>
      </w:r>
      <w:r>
        <w:rPr>
          <w:rStyle w:val="NormalTok"/>
        </w:rPr>
        <w:t xml:space="preserve"> docs/rbac/deploy_custom_roles.sh</w:t>
      </w:r>
      <w:r>
        <w:br/>
      </w:r>
      <w:r>
        <w:br/>
      </w:r>
      <w:r>
        <w:rPr>
          <w:rStyle w:val="CommentTok"/>
        </w:rPr>
        <w:t xml:space="preserve"># 2. Assign roles to the UAMIs at the narrowest scope (Tier 3 stays commented until G-14)</w:t>
      </w:r>
      <w:r>
        <w:br/>
      </w:r>
      <w:r>
        <w:rPr>
          <w:rStyle w:val="BuiltInTok"/>
        </w:rPr>
        <w:t xml:space="preserve">export</w:t>
      </w:r>
      <w:r>
        <w:rPr>
          <w:rStyle w:val="NormalTok"/>
        </w:rPr>
        <w:t xml:space="preserve"> </w:t>
      </w:r>
      <w:r>
        <w:rPr>
          <w:rStyle w:val="VariableTok"/>
        </w:rPr>
        <w:t xml:space="preserve">READER_UAMI_PRINCIPAL_ID</w:t>
      </w:r>
      <w:r>
        <w:rPr>
          <w:rStyle w:val="OperatorTok"/>
        </w:rPr>
        <w:t xml:space="preserve">=</w:t>
      </w:r>
      <w:r>
        <w:rPr>
          <w:rStyle w:val="StringTok"/>
        </w:rPr>
        <w:t xml:space="preserve">"&lt;...&gt;"</w:t>
      </w:r>
      <w:r>
        <w:rPr>
          <w:rStyle w:val="NormalTok"/>
        </w:rPr>
        <w:t xml:space="preserve">   </w:t>
      </w:r>
      <w:r>
        <w:rPr>
          <w:rStyle w:val="CommentTok"/>
        </w:rPr>
        <w:t xml:space="preserve"># etc. per identity</w:t>
      </w:r>
      <w:r>
        <w:br/>
      </w:r>
      <w:r>
        <w:rPr>
          <w:rStyle w:val="FunctionTok"/>
        </w:rPr>
        <w:t xml:space="preserve">bash</w:t>
      </w:r>
      <w:r>
        <w:rPr>
          <w:rStyle w:val="NormalTok"/>
        </w:rPr>
        <w:t xml:space="preserve"> docs/rbac/deploy_role_assignments.sh</w:t>
      </w:r>
    </w:p>
    <w:p>
      <w:pPr>
        <w:pStyle w:val="FirstParagraph"/>
      </w:pPr>
      <w:r>
        <w:t xml:space="preserve">Both scripts are idempotent (</w:t>
      </w:r>
      <w:r>
        <w:rPr>
          <w:rStyle w:val="VerbatimChar"/>
        </w:rPr>
        <w:t xml:space="preserve">az role definition create</w:t>
      </w:r>
      <w:r>
        <w:t xml:space="preserve"> </w:t>
      </w:r>
      <w:r>
        <w:t xml:space="preserve">→ falls back to</w:t>
      </w:r>
      <w:r>
        <w:t xml:space="preserve"> </w:t>
      </w:r>
      <w:r>
        <w:rPr>
          <w:rStyle w:val="VerbatimChar"/>
        </w:rPr>
        <w:t xml:space="preserve">update</w:t>
      </w:r>
      <w:r>
        <w:t xml:space="preserve">;</w:t>
      </w:r>
      <w:r>
        <w:t xml:space="preserve"> </w:t>
      </w:r>
      <w:r>
        <w:rPr>
          <w:rStyle w:val="VerbatimChar"/>
        </w:rPr>
        <w:t xml:space="preserve">az role assignment create</w:t>
      </w:r>
      <w:r>
        <w:t xml:space="preserve"> </w:t>
      </w:r>
      <w:r>
        <w:t xml:space="preserve">is safe to re-run). Capture stdout as the authorization audit record.</w:t>
      </w:r>
    </w:p>
    <w:p>
      <w:r>
        <w:pict>
          <v:rect style="width:0;height:1.5pt" o:hralign="center" o:hrstd="t" o:hr="t"/>
        </w:pict>
      </w:r>
    </w:p>
    <w:bookmarkEnd w:id="34"/>
    <w:bookmarkStart w:id="35" w:name="least-privilege-verification"/>
    <w:p>
      <w:pPr>
        <w:pStyle w:val="Heading2"/>
      </w:pPr>
      <w:r>
        <w:t xml:space="preserve">8. Least-privilege verification</w:t>
      </w:r>
    </w:p>
    <w:p>
      <w:pPr>
        <w:pStyle w:val="FirstParagraph"/>
      </w:pPr>
      <w:r>
        <w:t xml:space="preserve">After deployment, verify no identity exceeds its intended rights:</w:t>
      </w:r>
    </w:p>
    <w:p>
      <w:pPr>
        <w:pStyle w:val="SourceCode"/>
      </w:pPr>
      <w:r>
        <w:rPr>
          <w:rStyle w:val="CommentTok"/>
        </w:rPr>
        <w:t xml:space="preserve"># Enumerate every assignment for an engine UAMI</w:t>
      </w:r>
      <w:r>
        <w:br/>
      </w:r>
      <w:r>
        <w:rPr>
          <w:rStyle w:val="ExtensionTok"/>
        </w:rPr>
        <w:t xml:space="preserve">az</w:t>
      </w:r>
      <w:r>
        <w:rPr>
          <w:rStyle w:val="NormalTok"/>
        </w:rPr>
        <w:t xml:space="preserve"> role assignment list </w:t>
      </w:r>
      <w:r>
        <w:rPr>
          <w:rStyle w:val="AttributeTok"/>
        </w:rPr>
        <w:t xml:space="preserve">--assignee</w:t>
      </w:r>
      <w:r>
        <w:rPr>
          <w:rStyle w:val="NormalTok"/>
        </w:rPr>
        <w:t xml:space="preserve"> </w:t>
      </w:r>
      <w:r>
        <w:rPr>
          <w:rStyle w:val="OperatorTok"/>
        </w:rPr>
        <w:t xml:space="preserve">&lt;</w:t>
      </w:r>
      <w:r>
        <w:rPr>
          <w:rStyle w:val="NormalTok"/>
        </w:rPr>
        <w:t xml:space="preserve">UAMI_PRINCIPAL_ID</w:t>
      </w:r>
      <w:r>
        <w:rPr>
          <w:rStyle w:val="OperatorTok"/>
        </w:rPr>
        <w:t xml:space="preserve">&gt;</w:t>
      </w:r>
      <w:r>
        <w:rPr>
          <w:rStyle w:val="NormalTok"/>
        </w:rPr>
        <w:t xml:space="preserve"> --all </w:t>
      </w:r>
      <w:r>
        <w:rPr>
          <w:rStyle w:val="AttributeTok"/>
        </w:rPr>
        <w:t xml:space="preserve">-o</w:t>
      </w:r>
      <w:r>
        <w:rPr>
          <w:rStyle w:val="NormalTok"/>
        </w:rPr>
        <w:t xml:space="preserve"> table</w:t>
      </w:r>
      <w:r>
        <w:br/>
      </w:r>
      <w:r>
        <w:rPr>
          <w:rStyle w:val="CommentTok"/>
        </w:rPr>
        <w:t xml:space="preserve"># Confirm the definition contains no unexpected Actions</w:t>
      </w:r>
      <w:r>
        <w:br/>
      </w:r>
      <w:r>
        <w:rPr>
          <w:rStyle w:val="ExtensionTok"/>
        </w:rPr>
        <w:t xml:space="preserve">az</w:t>
      </w:r>
      <w:r>
        <w:rPr>
          <w:rStyle w:val="NormalTok"/>
        </w:rPr>
        <w:t xml:space="preserve"> role definition list </w:t>
      </w:r>
      <w:r>
        <w:rPr>
          <w:rStyle w:val="AttributeTok"/>
        </w:rPr>
        <w:t xml:space="preserve">--name</w:t>
      </w:r>
      <w:r>
        <w:rPr>
          <w:rStyle w:val="NormalTok"/>
        </w:rPr>
        <w:t xml:space="preserve"> </w:t>
      </w:r>
      <w:r>
        <w:rPr>
          <w:rStyle w:val="StringTok"/>
        </w:rPr>
        <w:t xml:space="preserve">"ACRME Capacity Operator"</w:t>
      </w:r>
      <w:r>
        <w:rPr>
          <w:rStyle w:val="NormalTok"/>
        </w:rPr>
        <w:t xml:space="preserve"> </w:t>
      </w:r>
      <w:r>
        <w:rPr>
          <w:rStyle w:val="AttributeTok"/>
        </w:rPr>
        <w:t xml:space="preserve">--query</w:t>
      </w:r>
      <w:r>
        <w:rPr>
          <w:rStyle w:val="NormalTok"/>
        </w:rPr>
        <w:t xml:space="preserve"> </w:t>
      </w:r>
      <w:r>
        <w:rPr>
          <w:rStyle w:val="StringTok"/>
        </w:rPr>
        <w:t xml:space="preserve">"[].permissions"</w:t>
      </w:r>
      <w:r>
        <w:rPr>
          <w:rStyle w:val="NormalTok"/>
        </w:rPr>
        <w:t xml:space="preserve"> </w:t>
      </w:r>
      <w:r>
        <w:rPr>
          <w:rStyle w:val="AttributeTok"/>
        </w:rPr>
        <w:t xml:space="preserve">-o</w:t>
      </w:r>
      <w:r>
        <w:rPr>
          <w:rStyle w:val="NormalTok"/>
        </w:rPr>
        <w:t xml:space="preserve"> json</w:t>
      </w:r>
    </w:p>
    <w:p>
      <w:pPr>
        <w:pStyle w:val="FirstParagraph"/>
      </w:pPr>
      <w:r>
        <w:t xml:space="preserve">Acceptance: each UAMI holds exactly one ACRME custom role, at the expected scope, with no built-in Owner/Contributor/UAA assignment anywhere in its assignment list.</w:t>
      </w:r>
    </w:p>
    <w:p>
      <w:r>
        <w:pict>
          <v:rect style="width:0;height:1.5pt" o:hralign="center" o:hrstd="t" o:hr="t"/>
        </w:pict>
      </w:r>
    </w:p>
    <w:bookmarkEnd w:id="35"/>
    <w:bookmarkStart w:id="36" w:name="g-14-credential-and-consent-model-tier-3"/>
    <w:p>
      <w:pPr>
        <w:pStyle w:val="Heading2"/>
      </w:pPr>
      <w:r>
        <w:t xml:space="preserve">9. G-14 credential and consent model (Tier 3)</w:t>
      </w:r>
    </w:p>
    <w:p>
      <w:pPr>
        <w:pStyle w:val="FirstParagraph"/>
      </w:pPr>
      <w:r>
        <w:t xml:space="preserve">Gate</w:t>
      </w:r>
      <w:r>
        <w:t xml:space="preserve"> </w:t>
      </w:r>
      <w:r>
        <w:rPr>
          <w:bCs/>
          <w:b/>
        </w:rPr>
        <w:t xml:space="preserve">G-14</w:t>
      </w:r>
      <w:r>
        <w:t xml:space="preserve"> </w:t>
      </w:r>
      <w:r>
        <w:t xml:space="preserve">blocks autonomous consumer VM disassociation in production. Closure requires</w:t>
      </w:r>
      <w:r>
        <w:t xml:space="preserve"> </w:t>
      </w:r>
      <w:r>
        <w:rPr>
          <w:bCs/>
          <w:b/>
        </w:rPr>
        <w:t xml:space="preserve">all</w:t>
      </w:r>
      <w:r>
        <w:t xml:space="preserve"> </w:t>
      </w:r>
      <w:r>
        <w:t xml:space="preserve">of:</w:t>
      </w:r>
    </w:p>
    <w:p>
      <w:pPr>
        <w:numPr>
          <w:ilvl w:val="0"/>
          <w:numId w:val="1005"/>
        </w:numPr>
        <w:pStyle w:val="Compact"/>
      </w:pPr>
      <w:r>
        <w:rPr>
          <w:bCs/>
          <w:b/>
        </w:rPr>
        <w:t xml:space="preserve">Explicit customer consent</w:t>
      </w:r>
      <w:r>
        <w:t xml:space="preserve"> </w:t>
      </w:r>
      <w:r>
        <w:t xml:space="preserve">— a signed authorization naming the exact consumer resource groups and the exact operations (disassociate, and Path-A deallocate/start) the engine may perform.</w:t>
      </w:r>
    </w:p>
    <w:p>
      <w:pPr>
        <w:numPr>
          <w:ilvl w:val="0"/>
          <w:numId w:val="1005"/>
        </w:numPr>
        <w:pStyle w:val="Compact"/>
      </w:pPr>
      <w:r>
        <w:rPr>
          <w:bCs/>
          <w:b/>
        </w:rPr>
        <w:t xml:space="preserve">A narrow custom role</w:t>
      </w:r>
      <w:r>
        <w:t xml:space="preserve"> </w:t>
      </w:r>
      <w:r>
        <w:t xml:space="preserve">—</w:t>
      </w:r>
      <w:r>
        <w:t xml:space="preserve"> </w:t>
      </w:r>
      <w:r>
        <w:rPr>
          <w:rStyle w:val="VerbatimChar"/>
        </w:rPr>
        <w:t xml:space="preserve">ACRME Consumer Compute Operator</w:t>
      </w:r>
      <w:r>
        <w:t xml:space="preserve">, scoped to only the consented resource groups, with the three</w:t>
      </w:r>
      <w:r>
        <w:t xml:space="preserve"> </w:t>
      </w:r>
      <w:r>
        <w:rPr>
          <w:rStyle w:val="VerbatimChar"/>
        </w:rPr>
        <w:t xml:space="preserve">NotActions</w:t>
      </w:r>
      <w:r>
        <w:t xml:space="preserve"> </w:t>
      </w:r>
      <w:r>
        <w:t xml:space="preserve">intact.</w:t>
      </w:r>
      <w:r>
        <w:t xml:space="preserve"> </w:t>
      </w:r>
      <w:r>
        <w:rPr>
          <w:bCs/>
          <w:b/>
        </w:rPr>
        <w:t xml:space="preserve">Never</w:t>
      </w:r>
      <w:r>
        <w:t xml:space="preserve"> </w:t>
      </w:r>
      <w:r>
        <w:t xml:space="preserve">subscription-wide Virtual Machine Contributor.</w:t>
      </w:r>
    </w:p>
    <w:p>
      <w:pPr>
        <w:numPr>
          <w:ilvl w:val="0"/>
          <w:numId w:val="1005"/>
        </w:numPr>
        <w:pStyle w:val="Compact"/>
      </w:pPr>
      <w:r>
        <w:rPr>
          <w:bCs/>
          <w:b/>
        </w:rPr>
        <w:t xml:space="preserve">Tested revocation</w:t>
      </w:r>
      <w:r>
        <w:t xml:space="preserve"> </w:t>
      </w:r>
      <w:r>
        <w:t xml:space="preserve">— a demonstrated, timed revocation path (remove the role assignment; confirm the engine receives 403 within the token TTL) captured as evidence.</w:t>
      </w:r>
    </w:p>
    <w:p>
      <w:pPr>
        <w:numPr>
          <w:ilvl w:val="0"/>
          <w:numId w:val="1005"/>
        </w:numPr>
        <w:pStyle w:val="Compact"/>
      </w:pPr>
      <w:r>
        <w:rPr>
          <w:rStyle w:val="VerbatimChar"/>
          <w:bCs/>
          <w:b/>
        </w:rPr>
        <w:t xml:space="preserve">engine_mode</w:t>
      </w:r>
      <w:r>
        <w:rPr>
          <w:bCs/>
          <w:b/>
        </w:rPr>
        <w:t xml:space="preserve"> </w:t>
      </w:r>
      <w:r>
        <w:rPr>
          <w:bCs/>
          <w:b/>
        </w:rPr>
        <w:t xml:space="preserve">gate</w:t>
      </w:r>
      <w:r>
        <w:t xml:space="preserve"> </w:t>
      </w:r>
      <w:r>
        <w:t xml:space="preserve">— Tier 3 remains inert unless the engine is explicitly placed in the mode that enables it; the app-role Emergency Operator submits the request, the engine never self-selects targets.</w:t>
      </w:r>
    </w:p>
    <w:p>
      <w:pPr>
        <w:pStyle w:val="FirstParagraph"/>
      </w:pPr>
      <w:r>
        <w:t xml:space="preserve">Until 1–4 are satisfied,</w:t>
      </w:r>
      <w:r>
        <w:t xml:space="preserve"> </w:t>
      </w:r>
      <w:r>
        <w:rPr>
          <w:rStyle w:val="VerbatimChar"/>
        </w:rPr>
        <w:t xml:space="preserve">deploy_role_assignments.sh</w:t>
      </w:r>
      <w:r>
        <w:t xml:space="preserve"> </w:t>
      </w:r>
      <w:r>
        <w:t xml:space="preserve">leaves the Consumer Compute assignment commented out and the engine treats Tier 3 as unavailable.</w:t>
      </w:r>
    </w:p>
    <w:p>
      <w:r>
        <w:pict>
          <v:rect style="width:0;height:1.5pt" o:hralign="center" o:hrstd="t" o:hr="t"/>
        </w:pict>
      </w:r>
    </w:p>
    <w:bookmarkEnd w:id="36"/>
    <w:bookmarkStart w:id="37" w:name="separation-of-duties"/>
    <w:p>
      <w:pPr>
        <w:pStyle w:val="Heading2"/>
      </w:pPr>
      <w:r>
        <w:t xml:space="preserve">10. Separation of duties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Held by</w:t>
            </w:r>
          </w:p>
        </w:tc>
        <w:tc>
          <w:tcPr/>
          <w:p>
            <w:pPr>
              <w:pStyle w:val="Compact"/>
              <w:jc w:val="left"/>
            </w:pPr>
            <w:r>
              <w:t xml:space="preserve">Explicitly denied to</w:t>
            </w:r>
          </w:p>
        </w:tc>
      </w:tr>
      <w:tr>
        <w:tc>
          <w:tcPr/>
          <w:p>
            <w:pPr>
              <w:pStyle w:val="Compact"/>
              <w:jc w:val="left"/>
            </w:pPr>
            <w:r>
              <w:t xml:space="preserve">Change capacity (CR write/delete)</w:t>
            </w:r>
          </w:p>
        </w:tc>
        <w:tc>
          <w:tcPr/>
          <w:p>
            <w:pPr>
              <w:pStyle w:val="Compact"/>
              <w:jc w:val="left"/>
            </w:pPr>
            <w:r>
              <w:t xml:space="preserve">Capacity Operator</w:t>
            </w:r>
          </w:p>
        </w:tc>
        <w:tc>
          <w:tcPr/>
          <w:p>
            <w:pPr>
              <w:pStyle w:val="Compact"/>
              <w:jc w:val="left"/>
            </w:pPr>
            <w:r>
              <w:t xml:space="preserve">Sharing Operator (NotAction), Reader, Quota</w:t>
            </w:r>
          </w:p>
        </w:tc>
      </w:tr>
      <w:tr>
        <w:tc>
          <w:tcPr/>
          <w:p>
            <w:pPr>
              <w:pStyle w:val="Compact"/>
              <w:jc w:val="left"/>
            </w:pPr>
            <w:r>
              <w:t xml:space="preserve">Share capacity + onboard consumers (role assignment)</w:t>
            </w:r>
          </w:p>
        </w:tc>
        <w:tc>
          <w:tcPr/>
          <w:p>
            <w:pPr>
              <w:pStyle w:val="Compact"/>
              <w:jc w:val="left"/>
            </w:pPr>
            <w:r>
              <w:t xml:space="preserve">Sharing Operator</w:t>
            </w:r>
          </w:p>
        </w:tc>
        <w:tc>
          <w:tcPr/>
          <w:p>
            <w:pPr>
              <w:pStyle w:val="Compact"/>
              <w:jc w:val="left"/>
            </w:pPr>
            <w:r>
              <w:t xml:space="preserve">Capacity, Reader, Quota, Consumer Compute</w:t>
            </w:r>
          </w:p>
        </w:tc>
      </w:tr>
      <w:tr>
        <w:tc>
          <w:tcPr/>
          <w:p>
            <w:pPr>
              <w:pStyle w:val="Compact"/>
              <w:jc w:val="left"/>
            </w:pPr>
            <w:r>
              <w:t xml:space="preserve">Mutate consumer VMs</w:t>
            </w:r>
          </w:p>
        </w:tc>
        <w:tc>
          <w:tcPr/>
          <w:p>
            <w:pPr>
              <w:pStyle w:val="Compact"/>
              <w:jc w:val="left"/>
            </w:pPr>
            <w:r>
              <w:t xml:space="preserve">Consumer Compute Operator (G-14)</w:t>
            </w:r>
          </w:p>
        </w:tc>
        <w:tc>
          <w:tcPr/>
          <w:p>
            <w:pPr>
              <w:pStyle w:val="Compact"/>
              <w:jc w:val="left"/>
            </w:pPr>
            <w:r>
              <w:t xml:space="preserve">Capacity, Sharing, Reader, Quota</w:t>
            </w:r>
          </w:p>
        </w:tc>
      </w:tr>
      <w:tr>
        <w:tc>
          <w:tcPr/>
          <w:p>
            <w:pPr>
              <w:pStyle w:val="Compact"/>
              <w:jc w:val="left"/>
            </w:pPr>
            <w:r>
              <w:t xml:space="preserve">Request quota</w:t>
            </w:r>
          </w:p>
        </w:tc>
        <w:tc>
          <w:tcPr/>
          <w:p>
            <w:pPr>
              <w:pStyle w:val="Compact"/>
              <w:jc w:val="left"/>
            </w:pPr>
            <w:r>
              <w:t xml:space="preserve">Quota Operator</w:t>
            </w:r>
          </w:p>
        </w:tc>
        <w:tc>
          <w:tcPr/>
          <w:p>
            <w:pPr>
              <w:pStyle w:val="Compact"/>
              <w:jc w:val="left"/>
            </w:pPr>
            <w:r>
              <w:t xml:space="preserve">everyone else</w:t>
            </w:r>
          </w:p>
        </w:tc>
      </w:tr>
      <w:tr>
        <w:tc>
          <w:tcPr/>
          <w:p>
            <w:pPr>
              <w:pStyle w:val="Compact"/>
              <w:jc w:val="left"/>
            </w:pPr>
            <w:r>
              <w:t xml:space="preserve">Grant Azure rights (</w:t>
            </w:r>
            <w:r>
              <w:rPr>
                <w:rStyle w:val="VerbatimChar"/>
              </w:rPr>
              <w:t xml:space="preserve">roleAssignments/write</w:t>
            </w:r>
            <w:r>
              <w:t xml:space="preserve">)</w:t>
            </w:r>
          </w:p>
        </w:tc>
        <w:tc>
          <w:tcPr/>
          <w:p>
            <w:pPr>
              <w:pStyle w:val="Compact"/>
              <w:jc w:val="left"/>
            </w:pPr>
            <w:r>
              <w:t xml:space="preserve">Sharing Operator only, fenced to onboarding scopes</w:t>
            </w:r>
          </w:p>
        </w:tc>
        <w:tc>
          <w:tcPr/>
          <w:p>
            <w:pPr>
              <w:pStyle w:val="Compact"/>
              <w:jc w:val="left"/>
            </w:pPr>
            <w:r>
              <w:t xml:space="preserve">all other engine identities</w:t>
            </w:r>
          </w:p>
        </w:tc>
      </w:tr>
      <w:tr>
        <w:tc>
          <w:tcPr/>
          <w:p>
            <w:pPr>
              <w:pStyle w:val="Compact"/>
              <w:jc w:val="left"/>
            </w:pPr>
            <w:r>
              <w:t xml:space="preserve">Drive DR / Tier operations</w:t>
            </w:r>
          </w:p>
        </w:tc>
        <w:tc>
          <w:tcPr/>
          <w:p>
            <w:pPr>
              <w:pStyle w:val="Compact"/>
              <w:jc w:val="left"/>
            </w:pPr>
            <w:r>
              <w:t xml:space="preserve">DR Operator (app role)</w:t>
            </w:r>
          </w:p>
        </w:tc>
        <w:tc>
          <w:tcPr/>
          <w:p>
            <w:pPr>
              <w:pStyle w:val="Compact"/>
              <w:jc w:val="left"/>
            </w:pPr>
            <w:r>
              <w:t xml:space="preserve">Policy Admin, Auditor</w:t>
            </w:r>
          </w:p>
        </w:tc>
      </w:tr>
      <w:tr>
        <w:tc>
          <w:tcPr/>
          <w:p>
            <w:pPr>
              <w:pStyle w:val="Compact"/>
              <w:jc w:val="left"/>
            </w:pPr>
            <w:r>
              <w:t xml:space="preserve">Author policy</w:t>
            </w:r>
          </w:p>
        </w:tc>
        <w:tc>
          <w:tcPr/>
          <w:p>
            <w:pPr>
              <w:pStyle w:val="Compact"/>
              <w:jc w:val="left"/>
            </w:pPr>
            <w:r>
              <w:t xml:space="preserve">Policy Admin (app role)</w:t>
            </w:r>
          </w:p>
        </w:tc>
        <w:tc>
          <w:tcPr/>
          <w:p>
            <w:pPr>
              <w:pStyle w:val="Compact"/>
              <w:jc w:val="left"/>
            </w:pPr>
            <w:r>
              <w:t xml:space="preserve">DR / Emergency Operators</w:t>
            </w:r>
          </w:p>
        </w:tc>
      </w:tr>
      <w:tr>
        <w:tc>
          <w:tcPr/>
          <w:p>
            <w:pPr>
              <w:pStyle w:val="Compact"/>
              <w:jc w:val="left"/>
            </w:pPr>
            <w:r>
              <w:t xml:space="preserve">Observe everything</w:t>
            </w:r>
          </w:p>
        </w:tc>
        <w:tc>
          <w:tcPr/>
          <w:p>
            <w:pPr>
              <w:pStyle w:val="Compact"/>
              <w:jc w:val="left"/>
            </w:pPr>
            <w:r>
              <w:t xml:space="preserve">Auditor (app role)</w:t>
            </w:r>
          </w:p>
        </w:tc>
        <w:tc>
          <w:tcPr/>
          <w:p>
            <w:pPr>
              <w:pStyle w:val="Compact"/>
              <w:jc w:val="left"/>
            </w:pPr>
            <w:r>
              <w:t xml:space="preserve">— (read-only)</w:t>
            </w:r>
          </w:p>
        </w:tc>
      </w:tr>
    </w:tbl>
    <w:p>
      <w:pPr>
        <w:pStyle w:val="BodyText"/>
      </w:pPr>
      <w:r>
        <w:t xml:space="preserve">No single identity can both</w:t>
      </w:r>
      <w:r>
        <w:t xml:space="preserve"> </w:t>
      </w:r>
      <w:r>
        <w:rPr>
          <w:bCs/>
          <w:b/>
        </w:rPr>
        <w:t xml:space="preserve">grant rights</w:t>
      </w:r>
      <w:r>
        <w:t xml:space="preserve"> </w:t>
      </w:r>
      <w:r>
        <w:t xml:space="preserve">and</w:t>
      </w:r>
      <w:r>
        <w:t xml:space="preserve"> </w:t>
      </w:r>
      <w:r>
        <w:rPr>
          <w:bCs/>
          <w:b/>
        </w:rPr>
        <w:t xml:space="preserve">change capacity/VMs</w:t>
      </w:r>
      <w:r>
        <w:t xml:space="preserve">. The only identity with</w:t>
      </w:r>
      <w:r>
        <w:t xml:space="preserve"> </w:t>
      </w:r>
      <w:r>
        <w:rPr>
          <w:rStyle w:val="VerbatimChar"/>
        </w:rPr>
        <w:t xml:space="preserve">roleAssignments/write</w:t>
      </w:r>
      <w:r>
        <w:t xml:space="preserve"> </w:t>
      </w:r>
      <w:r>
        <w:t xml:space="preserve">cannot itself change reservations or VMs, so it cannot self-escalate into a capacity or compute mutation.</w:t>
      </w:r>
    </w:p>
    <w:p>
      <w:r>
        <w:pict>
          <v:rect style="width:0;height:1.5pt" o:hralign="center" o:hrstd="t" o:hr="t"/>
        </w:pict>
      </w:r>
    </w:p>
    <w:bookmarkEnd w:id="37"/>
    <w:bookmarkStart w:id="38" w:name="break-glass-and-revocation"/>
    <w:p>
      <w:pPr>
        <w:pStyle w:val="Heading2"/>
      </w:pPr>
      <w:r>
        <w:t xml:space="preserve">11. Break-glass and revocation</w:t>
      </w:r>
    </w:p>
    <w:p>
      <w:pPr>
        <w:numPr>
          <w:ilvl w:val="0"/>
          <w:numId w:val="1006"/>
        </w:numPr>
        <w:pStyle w:val="Compact"/>
      </w:pPr>
      <w:r>
        <w:rPr>
          <w:bCs/>
          <w:b/>
        </w:rPr>
        <w:t xml:space="preserve">Break-glass</w:t>
      </w:r>
      <w:r>
        <w:t xml:space="preserve"> </w:t>
      </w:r>
      <w:r>
        <w:t xml:space="preserve">capacity operations use a separately-approved, time-boxed Privileged Identity Management (PIM) activation of the relevant ACRME custom role by a human operator — not a standing assignment and not a broader built-in role. Every activation is logged.</w:t>
      </w:r>
    </w:p>
    <w:p>
      <w:pPr>
        <w:numPr>
          <w:ilvl w:val="0"/>
          <w:numId w:val="1006"/>
        </w:numPr>
        <w:pStyle w:val="Compact"/>
      </w:pPr>
      <w:r>
        <w:rPr>
          <w:bCs/>
          <w:b/>
        </w:rPr>
        <w:t xml:space="preserve">Kill switch.</w:t>
      </w:r>
      <w:r>
        <w:t xml:space="preserve"> </w:t>
      </w:r>
      <w:r>
        <w:t xml:space="preserve">Removing a UAMI’s single role assignment fully revokes that function within the token TTL; because there are no stored secrets, there is nothing else to rotate or revoke.</w:t>
      </w:r>
    </w:p>
    <w:p>
      <w:pPr>
        <w:numPr>
          <w:ilvl w:val="0"/>
          <w:numId w:val="1006"/>
        </w:numPr>
        <w:pStyle w:val="Compact"/>
      </w:pPr>
      <w:r>
        <w:rPr>
          <w:bCs/>
          <w:b/>
        </w:rPr>
        <w:t xml:space="preserve">Tier 3 emergency stop.</w:t>
      </w:r>
      <w:r>
        <w:t xml:space="preserve"> </w:t>
      </w:r>
      <w:r>
        <w:t xml:space="preserve">Setting</w:t>
      </w:r>
      <w:r>
        <w:t xml:space="preserve"> </w:t>
      </w:r>
      <w:r>
        <w:rPr>
          <w:rStyle w:val="VerbatimChar"/>
        </w:rPr>
        <w:t xml:space="preserve">engine_mode</w:t>
      </w:r>
      <w:r>
        <w:t xml:space="preserve"> </w:t>
      </w:r>
      <w:r>
        <w:t xml:space="preserve">out of the Tier-3-enabled state disables consumer VM mutation at the application layer even before the Azure assignment is removed — defense in depth.</w:t>
      </w:r>
    </w:p>
    <w:p>
      <w:r>
        <w:pict>
          <v:rect style="width:0;height:1.5pt" o:hralign="center" o:hrstd="t" o:hr="t"/>
        </w:pict>
      </w:r>
    </w:p>
    <w:bookmarkEnd w:id="38"/>
    <w:bookmarkStart w:id="39" w:name="secret-free-and-data-plane-posture"/>
    <w:p>
      <w:pPr>
        <w:pStyle w:val="Heading2"/>
      </w:pPr>
      <w:r>
        <w:t xml:space="preserve">12. Secret-free and data-plane posture</w:t>
      </w:r>
    </w:p>
    <w:p>
      <w:pPr>
        <w:numPr>
          <w:ilvl w:val="0"/>
          <w:numId w:val="1007"/>
        </w:numPr>
        <w:pStyle w:val="Compact"/>
      </w:pPr>
      <w:r>
        <w:rPr>
          <w:bCs/>
          <w:b/>
        </w:rPr>
        <w:t xml:space="preserve">Control plane:</w:t>
      </w:r>
      <w:r>
        <w:t xml:space="preserve"> </w:t>
      </w:r>
      <w:r>
        <w:t xml:space="preserve">managed identity only; no client secrets or certificates in code, config, key vault references for engine auth, or CI.</w:t>
      </w:r>
    </w:p>
    <w:p>
      <w:pPr>
        <w:numPr>
          <w:ilvl w:val="0"/>
          <w:numId w:val="1007"/>
        </w:numPr>
        <w:pStyle w:val="Compact"/>
      </w:pPr>
      <w:r>
        <w:rPr>
          <w:bCs/>
          <w:b/>
        </w:rPr>
        <w:t xml:space="preserve">Data plane:</w:t>
      </w:r>
      <w:r>
        <w:t xml:space="preserve"> </w:t>
      </w:r>
      <w:r>
        <w:t xml:space="preserve">Cosmos DB and Redis are accessed via the engine’s managed identity using Azure RBAC</w:t>
      </w:r>
      <w:r>
        <w:t xml:space="preserve"> </w:t>
      </w:r>
      <w:r>
        <w:rPr>
          <w:bCs/>
          <w:b/>
        </w:rPr>
        <w:t xml:space="preserve">data</w:t>
      </w:r>
      <w:r>
        <w:t xml:space="preserve"> </w:t>
      </w:r>
      <w:r>
        <w:t xml:space="preserve">roles (e.g., Cosmos DB Built-in Data Contributor) scoped to the ACRME database — not account keys. This keeps the</w:t>
      </w:r>
      <w:r>
        <w:t xml:space="preserve"> </w:t>
      </w:r>
      <w:r>
        <w:t xml:space="preserve">“</w:t>
      </w:r>
      <w:r>
        <w:t xml:space="preserve">no stored secrets</w:t>
      </w:r>
      <w:r>
        <w:t xml:space="preserve">”</w:t>
      </w:r>
      <w:r>
        <w:t xml:space="preserve"> </w:t>
      </w:r>
      <w:r>
        <w:t xml:space="preserve">invariant end to end.</w:t>
      </w:r>
    </w:p>
    <w:p>
      <w:pPr>
        <w:numPr>
          <w:ilvl w:val="0"/>
          <w:numId w:val="1007"/>
        </w:numPr>
        <w:pStyle w:val="Compact"/>
      </w:pPr>
      <w:r>
        <w:rPr>
          <w:bCs/>
          <w:b/>
        </w:rPr>
        <w:t xml:space="preserve">Tokens:</w:t>
      </w:r>
      <w:r>
        <w:t xml:space="preserve"> </w:t>
      </w:r>
      <w:r>
        <w:t xml:space="preserve">all Azure tokens are short-lived and acquired at runtime; nothing durable is persisted.</w:t>
      </w:r>
    </w:p>
    <w:p>
      <w:r>
        <w:pict>
          <v:rect style="width:0;height:1.5pt" o:hralign="center" o:hrstd="t" o:hr="t"/>
        </w:pict>
      </w:r>
    </w:p>
    <w:bookmarkEnd w:id="39"/>
    <w:bookmarkStart w:id="40" w:name="X99c93ffb0e534e3824bfed99e3db90869045453"/>
    <w:p>
      <w:pPr>
        <w:pStyle w:val="Heading2"/>
      </w:pPr>
      <w:r>
        <w:t xml:space="preserve">13. Mapping to the production-readiness RBAC matrix</w:t>
      </w:r>
    </w:p>
    <w:p>
      <w:pPr>
        <w:pStyle w:val="FirstParagraph"/>
      </w:pPr>
      <w:r>
        <w:t xml:space="preserve">This guide operationalizes the RBAC matrix in the Production Readiness Review (§36). The five UAMIs here correspond 1:1 to the</w:t>
      </w:r>
      <w:r>
        <w:t xml:space="preserve"> </w:t>
      </w:r>
      <w:r>
        <w:t xml:space="preserve">“</w:t>
      </w:r>
      <w:r>
        <w:t xml:space="preserve">ACRME * UAMI</w:t>
      </w:r>
      <w:r>
        <w:t xml:space="preserve">”</w:t>
      </w:r>
      <w:r>
        <w:t xml:space="preserve"> </w:t>
      </w:r>
      <w:r>
        <w:t xml:space="preserve">rows; the four app roles correspond to the DR Operator / Emergency Operator / Policy Admin / Auditor rows. The G-14 closure model here is the concrete realization of that document’s</w:t>
      </w:r>
      <w:r>
        <w:t xml:space="preserve"> </w:t>
      </w:r>
      <w:r>
        <w:t xml:space="preserve">“</w:t>
      </w:r>
      <w:r>
        <w:t xml:space="preserve">customer-consented UAMI with resource-group-scoped custom rights</w:t>
      </w:r>
      <w:r>
        <w:t xml:space="preserve">”</w:t>
      </w:r>
      <w:r>
        <w:t xml:space="preserve"> </w:t>
      </w:r>
      <w:r>
        <w:t xml:space="preserve">guidance.</w:t>
      </w:r>
    </w:p>
    <w:p>
      <w:r>
        <w:pict>
          <v:rect style="width:0;height:1.5pt" o:hralign="center" o:hrstd="t" o:hr="t"/>
        </w:pict>
      </w:r>
    </w:p>
    <w:bookmarkEnd w:id="40"/>
    <w:bookmarkStart w:id="41" w:name="summary"/>
    <w:p>
      <w:pPr>
        <w:pStyle w:val="Heading2"/>
      </w:pPr>
      <w:r>
        <w:t xml:space="preserve">14. Summary</w:t>
      </w:r>
    </w:p>
    <w:p>
      <w:pPr>
        <w:pStyle w:val="FirstParagraph"/>
      </w:pPr>
      <w:r>
        <w:t xml:space="preserve">ACRME runs under five narrowly-scoped managed identities, each with a purpose-built custom role, plus four application roles that gate who may drive the engine. No identity is an Owner, Contributor, or User Access Administrator; no secrets are stored; role-assignment authority is isolated from capacity and VM mutation; and the highest-risk operation (Tier 3 consumer VM disassociation) is fenced behind customer consent, a resource-group-scoped role, tested revocation, and an</w:t>
      </w:r>
      <w:r>
        <w:t xml:space="preserve"> </w:t>
      </w:r>
      <w:r>
        <w:rPr>
          <w:rStyle w:val="VerbatimChar"/>
        </w:rPr>
        <w:t xml:space="preserve">engine_mode</w:t>
      </w:r>
      <w:r>
        <w:t xml:space="preserve"> </w:t>
      </w:r>
      <w:r>
        <w:t xml:space="preserve">gate. The custom role JSONs and deployment scripts in</w:t>
      </w:r>
      <w:r>
        <w:t xml:space="preserve"> </w:t>
      </w:r>
      <w:r>
        <w:rPr>
          <w:rStyle w:val="VerbatimChar"/>
        </w:rPr>
        <w:t xml:space="preserve">docs/rbac/</w:t>
      </w:r>
      <w:r>
        <w:t xml:space="preserve"> </w:t>
      </w:r>
      <w:r>
        <w:t xml:space="preserve">make this model directly deployable and auditable.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2026-08-22T02:01:08Z</dcterms:created>
  <dcterms:modified xsi:type="dcterms:W3CDTF">2026-08-22T02:01:08Z</dcterms:modified>
</cp:coreProperties>
</file>

<file path=docProps/custom.xml><?xml version="1.0" encoding="utf-8"?>
<Properties xmlns="http://schemas.openxmlformats.org/officeDocument/2006/custom-properties" xmlns:vt="http://schemas.openxmlformats.org/officeDocument/2006/docPropsVTypes"/>
</file>