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acrme-hard-constraints-reference"/>
    <w:p>
      <w:pPr>
        <w:pStyle w:val="Heading1"/>
      </w:pPr>
      <w:r>
        <w:t xml:space="preserve">ACRME Hard Constraints Reference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Placement Engine Design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consolidates all</w:t>
      </w:r>
      <w:r>
        <w:t xml:space="preserve"> </w:t>
      </w:r>
      <w:r>
        <w:rPr>
          <w:bCs/>
          <w:b/>
        </w:rPr>
        <w:t xml:space="preserve">Hard Constraints (HC-1 through HC-10)</w:t>
      </w:r>
      <w:r>
        <w:t xml:space="preserve"> </w:t>
      </w:r>
      <w:r>
        <w:t xml:space="preserve">governing regional placement decisions in the</w:t>
      </w:r>
      <w:r>
        <w:t xml:space="preserve"> </w:t>
      </w:r>
      <w:r>
        <w:rPr>
          <w:bCs/>
          <w:b/>
        </w:rPr>
        <w:t xml:space="preserve">Azure Capacity Reservation Management Engine (ACRME)</w:t>
      </w:r>
      <w:r>
        <w:t xml:space="preserve">. Hard constraints are</w:t>
      </w:r>
      <w:r>
        <w:t xml:space="preserve"> </w:t>
      </w:r>
      <w:r>
        <w:rPr>
          <w:bCs/>
          <w:b/>
        </w:rPr>
        <w:t xml:space="preserve">binary pass/fail gates</w:t>
      </w:r>
      <w:r>
        <w:t xml:space="preserve"> </w:t>
      </w:r>
      <w:r>
        <w:t xml:space="preserve">— any region failing a hard constraint is excluded from scoring entirely, not penalized with a lower score.</w:t>
      </w:r>
    </w:p>
    <w:bookmarkStart w:id="20" w:name="enforcement-architecture"/>
    <w:p>
      <w:pPr>
        <w:pStyle w:val="Heading3"/>
      </w:pPr>
      <w:r>
        <w:t xml:space="preserve">Enforcement Architecture</w:t>
      </w:r>
    </w:p>
    <w:p>
      <w:pPr>
        <w:pStyle w:val="FirstParagraph"/>
      </w:pPr>
      <w:r>
        <w:t xml:space="preserve">Hard constraints are enforced at two stages in the placement decision pipeline:</w:t>
      </w:r>
    </w:p>
    <w:p>
      <w:pPr>
        <w:pStyle w:val="BodyText"/>
      </w:pPr>
      <w:r>
        <w:rPr>
          <w:bCs/>
          <w:b/>
        </w:rPr>
        <w:t xml:space="preserve">Stage 1 — Pre-filtering (before candidate set formation):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HC-8</w:t>
      </w:r>
      <w:r>
        <w:t xml:space="preserve"> </w:t>
      </w:r>
      <w:r>
        <w:t xml:space="preserve">GEOGRAPHY_CONTAINMENT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HC-9</w:t>
      </w:r>
      <w:r>
        <w:t xml:space="preserve"> </w:t>
      </w:r>
      <w:r>
        <w:t xml:space="preserve">STANDARD_REGION_ONLY</w:t>
      </w:r>
    </w:p>
    <w:p>
      <w:pPr>
        <w:pStyle w:val="BodyText"/>
      </w:pPr>
      <w:r>
        <w:rPr>
          <w:bCs/>
          <w:b/>
        </w:rPr>
        <w:t xml:space="preserve">Stage 2 — Hard Constraint Gate (after geography/class filtering, before scoring):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</w:t>
      </w:r>
      <w:r>
        <w:t xml:space="preserve"> </w:t>
      </w:r>
      <w:r>
        <w:t xml:space="preserve">REGION_SEPARATION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HC-2</w:t>
      </w:r>
      <w:r>
        <w:t xml:space="preserve"> </w:t>
      </w:r>
      <w:r>
        <w:t xml:space="preserve">CAPACITY_FLOOR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HC-3</w:t>
      </w:r>
      <w:r>
        <w:t xml:space="preserve"> </w:t>
      </w:r>
      <w:r>
        <w:t xml:space="preserve">QUOTA_FLOOR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HC-4</w:t>
      </w:r>
      <w:r>
        <w:t xml:space="preserve"> </w:t>
      </w:r>
      <w:r>
        <w:t xml:space="preserve">DR_SEPARATION_CLASS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HC-5</w:t>
      </w:r>
      <w:r>
        <w:t xml:space="preserve"> </w:t>
      </w:r>
      <w:r>
        <w:t xml:space="preserve">ZONE_AVAILABILITY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HC-6</w:t>
      </w:r>
      <w:r>
        <w:t xml:space="preserve"> </w:t>
      </w:r>
      <w:r>
        <w:t xml:space="preserve">DR_COVERAGE_FLOOR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HC-7</w:t>
      </w:r>
      <w:r>
        <w:t xml:space="preserve"> </w:t>
      </w:r>
      <w:r>
        <w:t xml:space="preserve">DR_FLOOR_INTEGRITY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HC-10</w:t>
      </w:r>
      <w:r>
        <w:t xml:space="preserve"> </w:t>
      </w:r>
      <w:r>
        <w:t xml:space="preserve">CROSS_GEO_EXTENSION_PATH_APPROVED</w:t>
      </w:r>
    </w:p>
    <w:p>
      <w:pPr>
        <w:pStyle w:val="BodyText"/>
      </w:pPr>
      <w:r>
        <w:t xml:space="preserve">Regions surviving both stages enter the</w:t>
      </w:r>
      <w:r>
        <w:t xml:space="preserve"> </w:t>
      </w:r>
      <w:r>
        <w:rPr>
          <w:bCs/>
          <w:b/>
        </w:rPr>
        <w:t xml:space="preserve">scoring pipeline</w:t>
      </w:r>
      <w:r>
        <w:t xml:space="preserve"> </w:t>
      </w:r>
      <w:r>
        <w:t xml:space="preserve">where soft objectives (</w:t>
      </w:r>
      <w:r>
        <w:rPr>
          <w:rStyle w:val="VerbatimChar"/>
        </w:rPr>
        <w:t xml:space="preserve">PS_Prod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PS_DR</w:t>
      </w:r>
      <w:r>
        <w:t xml:space="preserve">) rank them.</w:t>
      </w:r>
    </w:p>
    <w:bookmarkEnd w:id="20"/>
    <w:bookmarkStart w:id="21" w:name="source-documents"/>
    <w:p>
      <w:pPr>
        <w:pStyle w:val="Heading3"/>
      </w:pPr>
      <w:r>
        <w:t xml:space="preserve">Source Documents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HC-1 through HC-7: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§27 (Hard Constraints)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HC-8, HC-9, HC-10: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§27 (Production-Ready Region Selection)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rationale: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(Decisions D1–D9)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96" w:name="part-1-hard-constraint-definitions"/>
    <w:p>
      <w:pPr>
        <w:pStyle w:val="Heading2"/>
      </w:pPr>
      <w:r>
        <w:t xml:space="preserve">Part 1 — Hard Constraint Definitions</w:t>
      </w:r>
    </w:p>
    <w:bookmarkStart w:id="28" w:name="hc-1-region_separation-updated"/>
    <w:p>
      <w:pPr>
        <w:pStyle w:val="Heading3"/>
      </w:pPr>
      <w:r>
        <w:t xml:space="preserve">HC-1: REGION_SEPARATION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Isolation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NonProd/DR co-location now permitted</w:t>
      </w:r>
    </w:p>
    <w:bookmarkStart w:id="23" w:name="definition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NonProd_region ≠ Prod_region</w:t>
      </w:r>
      <w:r>
        <w:br/>
      </w:r>
      <w:r>
        <w:rPr>
          <w:rStyle w:val="VerbatimChar"/>
        </w:rPr>
        <w:t xml:space="preserve">DR_region      ≠ Prod_region</w:t>
      </w:r>
      <w:r>
        <w:br/>
      </w:r>
      <w:r>
        <w:rPr>
          <w:rStyle w:val="VerbatimChar"/>
        </w:rPr>
        <w:t xml:space="preserve">[Constraint DR_region ≠ NonProd_region REMOVED — NonProd and DR may share a region]</w:t>
      </w:r>
    </w:p>
    <w:bookmarkEnd w:id="23"/>
    <w:bookmarkStart w:id="24" w:name="rationale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NonProd/DR co-location is permitted to allow</w:t>
      </w:r>
      <w:r>
        <w:t xml:space="preserve"> </w:t>
      </w:r>
      <w:r>
        <w:rPr>
          <w:bCs/>
          <w:b/>
        </w:rPr>
        <w:t xml:space="preserve">DR overflow capacity reuse</w:t>
      </w:r>
      <w:r>
        <w:t xml:space="preserve"> </w:t>
      </w:r>
      <w:r>
        <w:t xml:space="preserve">from the NonProd CRG. This change (Decision D8) enables the engine to leverage unused NonProd capacity as a DR buffer, reducing the minimum region count from 4 to 3.</w:t>
      </w:r>
    </w:p>
    <w:p>
      <w:pPr>
        <w:pStyle w:val="BodyText"/>
      </w:pPr>
      <w:r>
        <w:rPr>
          <w:bCs/>
          <w:b/>
        </w:rPr>
        <w:t xml:space="preserve">With 3 regions:</w:t>
      </w:r>
      <w:r>
        <w:br/>
      </w:r>
      <w:r>
        <w:t xml:space="preserve">Prod is isolated; NonProd and DR both draw from the remaining 2 regions (they may land on the same region or on different ones — determined by HC-6 and PS score).</w:t>
      </w:r>
    </w:p>
    <w:p>
      <w:pPr>
        <w:pStyle w:val="BodyText"/>
      </w:pPr>
      <w:r>
        <w:rPr>
          <w:bCs/>
          <w:b/>
        </w:rPr>
        <w:t xml:space="preserve">With 4 regions:</w:t>
      </w:r>
      <w:r>
        <w:br/>
      </w:r>
      <w:r>
        <w:t xml:space="preserve">Prod eliminates 1; NonProd selects from 3; DR may share with NonProd or use the remaining regions — whichever satisfies HC-6 and maximises PS_DR.</w:t>
      </w:r>
    </w:p>
    <w:bookmarkEnd w:id="24"/>
    <w:bookmarkStart w:id="25" w:name="implementation"/>
    <w:p>
      <w:pPr>
        <w:pStyle w:val="Heading4"/>
      </w:pPr>
      <w:r>
        <w:t xml:space="preserve">Implementation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NonProd candidate set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DR candidate set</w:t>
      </w:r>
    </w:p>
    <w:p>
      <w:pPr>
        <w:numPr>
          <w:ilvl w:val="0"/>
          <w:numId w:val="1002"/>
        </w:numPr>
        <w:pStyle w:val="Compact"/>
      </w:pPr>
      <w:r>
        <w:t xml:space="preserve">NonProd region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excluded from DR candidate set (co-location allowed)</w:t>
      </w:r>
    </w:p>
    <w:p>
      <w:pPr>
        <w:numPr>
          <w:ilvl w:val="0"/>
          <w:numId w:val="1002"/>
        </w:numPr>
        <w:pStyle w:val="Compact"/>
      </w:pPr>
      <w:r>
        <w:t xml:space="preserve">CVAL (alias for NonProd) and Prod must not share a region</w:t>
      </w:r>
    </w:p>
    <w:p>
      <w:pPr>
        <w:numPr>
          <w:ilvl w:val="0"/>
          <w:numId w:val="1002"/>
        </w:numPr>
        <w:pStyle w:val="Compact"/>
      </w:pPr>
      <w:r>
        <w:t xml:space="preserve">CVAL and DR may share a region only under the approved policy (HC-1 update per D8)</w:t>
      </w:r>
    </w:p>
    <w:bookmarkEnd w:id="25"/>
    <w:bookmarkStart w:id="26" w:name="validation-rules-vr"/>
    <w:p>
      <w:pPr>
        <w:pStyle w:val="Heading4"/>
      </w:pPr>
      <w:r>
        <w:t xml:space="preserve">Validation Rules (VR)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VR-1:</w:t>
      </w:r>
      <w:r>
        <w:t xml:space="preserve"> </w:t>
      </w:r>
      <w:r>
        <w:t xml:space="preserve">Prod and DR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VR-2:</w:t>
      </w:r>
      <w:r>
        <w:t xml:space="preserve"> </w:t>
      </w:r>
      <w:r>
        <w:t xml:space="preserve">CVAL and Prod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VR-3:</w:t>
      </w:r>
      <w:r>
        <w:t xml:space="preserve"> </w:t>
      </w:r>
      <w:r>
        <w:t xml:space="preserve">CVAL and DR may share a region only under the approved policy</w:t>
      </w:r>
    </w:p>
    <w:bookmarkEnd w:id="26"/>
    <w:bookmarkStart w:id="27" w:name="evidence-tag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Azure Well-Architected Framework (Reliability pillar)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hc-2-capacity_floor"/>
    <w:p>
      <w:pPr>
        <w:pStyle w:val="Heading3"/>
      </w:pPr>
      <w:r>
        <w:t xml:space="preserve">HC-2: CAPACITY_FLOOR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29" w:name="definition-1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CR headroom in candidate region ≥ minimum_reservation_units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minimum_reservation_units = 2 × requested_vm_count × SKU_vCPU_count  (default multiplier: 2)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CR headroom = total_free_slots (in the target CRG type: Prod/NonProd/DR)</w:t>
      </w:r>
    </w:p>
    <w:bookmarkEnd w:id="29"/>
    <w:bookmarkStart w:id="30" w:name="rationale-1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sufficient capacity buffer exists in the region before placement. The</w:t>
      </w:r>
      <w:r>
        <w:t xml:space="preserve"> </w:t>
      </w:r>
      <w:r>
        <w:rPr>
          <w:bCs/>
          <w:b/>
        </w:rPr>
        <w:t xml:space="preserve">2× multiplier</w:t>
      </w:r>
      <w:r>
        <w:t xml:space="preserve"> </w:t>
      </w:r>
      <w:r>
        <w:t xml:space="preserve">provides headroom for growth and prevents placement into near-exhaustion regions.</w:t>
      </w:r>
    </w:p>
    <w:bookmarkEnd w:id="30"/>
    <w:bookmarkStart w:id="31" w:name="implementation-1"/>
    <w:p>
      <w:pPr>
        <w:pStyle w:val="Heading4"/>
      </w:pPr>
      <w:r>
        <w:t xml:space="preserve">Implementation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RegionalSnapshot.prod_crg_free_slots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nonprod_crg_free_slots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dr_crg_free_slots</w:t>
      </w:r>
      <w:r>
        <w:t xml:space="preserve"> </w:t>
      </w:r>
      <w:r>
        <w:t xml:space="preserve">(per environment type)</w:t>
      </w:r>
    </w:p>
    <w:p>
      <w:pPr>
        <w:numPr>
          <w:ilvl w:val="0"/>
          <w:numId w:val="1004"/>
        </w:numPr>
        <w:pStyle w:val="Compact"/>
      </w:pPr>
      <w:r>
        <w:t xml:space="preserve">Compare against</w:t>
      </w:r>
      <w:r>
        <w:t xml:space="preserve"> </w:t>
      </w:r>
      <w:r>
        <w:rPr>
          <w:rStyle w:val="VerbatimChar"/>
        </w:rPr>
        <w:t xml:space="preserve">minimum_reservation_units</w:t>
      </w:r>
      <w:r>
        <w:t xml:space="preserve"> </w:t>
      </w:r>
      <w:r>
        <w:t xml:space="preserve">(configurable per PlacementPolicy)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Regions at capacity floor are excluded from scoring entirely</w:t>
      </w:r>
    </w:p>
    <w:bookmarkEnd w:id="31"/>
    <w:bookmarkStart w:id="32" w:name="configuration"/>
    <w:p>
      <w:pPr>
        <w:pStyle w:val="Heading4"/>
      </w:pPr>
      <w: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multiplier:</w:t>
      </w:r>
      <w:r>
        <w:t xml:space="preserve"> </w:t>
      </w:r>
      <w:r>
        <w:t xml:space="preserve">2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Configurable via:</w:t>
      </w:r>
      <w:r>
        <w:t xml:space="preserve"> </w:t>
      </w:r>
      <w:r>
        <w:rPr>
          <w:rStyle w:val="VerbatimChar"/>
        </w:rPr>
        <w:t xml:space="preserve">PlacementPolicy.capacity_floor_multiplier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Overridable per geography or SKU class</w:t>
      </w:r>
    </w:p>
    <w:bookmarkEnd w:id="32"/>
    <w:bookmarkStart w:id="33" w:name="evidence-tag-1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hc-3-quota_floor-updated"/>
    <w:p>
      <w:pPr>
        <w:pStyle w:val="Heading3"/>
      </w:pPr>
      <w:r>
        <w:t xml:space="preserve">HC-3: QUOTA_FLOOR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Design Change Summary QG-3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now reads from Quota Groups, not per-subscription QuotaRecord</w:t>
      </w:r>
    </w:p>
    <w:bookmarkStart w:id="35" w:name="definition-2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For Prod placement in region R:</w:t>
      </w:r>
      <w:r>
        <w:br/>
      </w:r>
      <w:r>
        <w:rPr>
          <w:rStyle w:val="VerbatimChar"/>
        </w:rPr>
        <w:t xml:space="preserve">  REJECT if: Prod_Group_headroom(R) &lt; requested_vm_count × vCPU_per_instance</w:t>
      </w:r>
      <w:r>
        <w:br/>
      </w:r>
      <w:r>
        <w:br/>
      </w:r>
      <w:r>
        <w:rPr>
          <w:rStyle w:val="VerbatimChar"/>
        </w:rPr>
        <w:t xml:space="preserve">For NonProd placement in region R:</w:t>
      </w:r>
      <w:r>
        <w:br/>
      </w:r>
      <w:r>
        <w:rPr>
          <w:rStyle w:val="VerbatimChar"/>
        </w:rPr>
        <w:t xml:space="preserve">  REJECT if: nonprod_headroom(R) &lt; requested_vm_count × vCPU_per_instance</w:t>
      </w:r>
      <w:r>
        <w:br/>
      </w:r>
      <w:r>
        <w:rPr>
          <w:rStyle w:val="VerbatimChar"/>
        </w:rPr>
        <w:t xml:space="preserve">             (nonprod_headroom uses effective_nonprod_ceiling — floor-adjusted, not raw group_limit)</w:t>
      </w:r>
      <w:r>
        <w:br/>
      </w:r>
      <w:r>
        <w:br/>
      </w:r>
      <w:r>
        <w:rPr>
          <w:rStyle w:val="VerbatimChar"/>
        </w:rPr>
        <w:t xml:space="preserve">For DR placement in region R:</w:t>
      </w:r>
      <w:r>
        <w:br/>
      </w:r>
      <w:r>
        <w:rPr>
          <w:rStyle w:val="VerbatimChar"/>
        </w:rPr>
        <w:t xml:space="preserve">  REJECT if: dr_headroom(R) &lt; target_dr_qty × vCPU_per_instance</w:t>
      </w:r>
      <w:r>
        <w:br/>
      </w:r>
      <w:r>
        <w:rPr>
          <w:rStyle w:val="VerbatimChar"/>
        </w:rPr>
        <w:t xml:space="preserve">             (target_dr_qty = customer_prod_vm_count × dr_ratio)</w:t>
      </w:r>
    </w:p>
    <w:bookmarkEnd w:id="35"/>
    <w:bookmarkStart w:id="36" w:name="data-source"/>
    <w:p>
      <w:pPr>
        <w:pStyle w:val="Heading4"/>
      </w:pPr>
      <w:r>
        <w:t xml:space="preserve">Data Source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 (Cosmos DB), synced to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(Redis)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Prod_Group_headroom(R)</w:t>
      </w:r>
      <w:r>
        <w:t xml:space="preserve"> </w:t>
      </w:r>
      <w:r>
        <w:t xml:space="preserve">= Prod group available quota in region R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nonprod_headroom(R)</w:t>
      </w:r>
      <w:r>
        <w:t xml:space="preserve"> </w:t>
      </w:r>
      <w:r>
        <w:t xml:space="preserve">= NonProd+DR group available quota</w:t>
      </w:r>
      <w:r>
        <w:t xml:space="preserve"> </w:t>
      </w:r>
      <w:r>
        <w:rPr>
          <w:bCs/>
          <w:b/>
        </w:rPr>
        <w:t xml:space="preserve">minus DR floor</w:t>
      </w:r>
      <w:r>
        <w:t xml:space="preserve"> </w:t>
      </w:r>
      <w:r>
        <w:t xml:space="preserve">(see HC-7)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dr_headroom(R)</w:t>
      </w:r>
      <w:r>
        <w:t xml:space="preserve"> </w:t>
      </w:r>
      <w:r>
        <w:t xml:space="preserve">= DR portion of NonProd+DR group quota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Legacy field:</w:t>
      </w:r>
      <w:r>
        <w:t xml:space="preserve"> </w:t>
      </w:r>
      <w:r>
        <w:rPr>
          <w:rStyle w:val="VerbatimChar"/>
        </w:rPr>
        <w:t xml:space="preserve">QuotaRecord.deployment_headroom</w:t>
      </w:r>
      <w:r>
        <w:t xml:space="preserve"> </w:t>
      </w:r>
      <w:r>
        <w:t xml:space="preserve">is superseded for placement checks; retained for per-subscription quota monitoring only</w:t>
      </w:r>
    </w:p>
    <w:bookmarkEnd w:id="36"/>
    <w:bookmarkStart w:id="37" w:name="formulas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Prod Group Headroom:</w:t>
      </w:r>
    </w:p>
    <w:p>
      <w:pPr>
        <w:pStyle w:val="SourceCode"/>
      </w:pPr>
      <w:r>
        <w:rPr>
          <w:rStyle w:val="VerbatimChar"/>
        </w:rPr>
        <w:t xml:space="preserve">Prod_Group_headroom(R) = Prod_Group_Limit(R) - Prod_Group_Used(R)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Prod_Group_Limit(R) = base_subscription_quota_limit × (1 + emergency_transfer_headroom_vcpu / base_limit)</w:t>
      </w:r>
      <w:r>
        <w:br/>
      </w:r>
      <w:r>
        <w:rPr>
          <w:rStyle w:val="VerbatimChar"/>
        </w:rPr>
        <w:t xml:space="preserve">  Prod_Group_Used(R)  = Σ (prod_crg.quantity × vCPU) for all Prod CRGs in region R</w:t>
      </w:r>
    </w:p>
    <w:p>
      <w:pPr>
        <w:pStyle w:val="FirstParagraph"/>
      </w:pPr>
      <w:r>
        <w:rPr>
          <w:bCs/>
          <w:b/>
        </w:rPr>
        <w:t xml:space="preserve">NonProd Headroom (effective ceiling):</w:t>
      </w:r>
    </w:p>
    <w:p>
      <w:pPr>
        <w:pStyle w:val="SourceCode"/>
      </w:pPr>
      <w:r>
        <w:rPr>
          <w:rStyle w:val="VerbatimChar"/>
        </w:rPr>
        <w:t xml:space="preserve">nonprod_headroom(R) = effective_nonprod_ceiling(R) - nonprod_quota_used(R)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  <w:r>
        <w:br/>
      </w:r>
      <w:r>
        <w:rPr>
          <w:rStyle w:val="VerbatimChar"/>
        </w:rPr>
        <w:t xml:space="preserve">  NonProd_DR_Group_Limit(R)    = base_subscription_quota_limit × (1 + emergency_transfer_headroom_vcpu / base_limit)</w:t>
      </w:r>
      <w:r>
        <w:br/>
      </w:r>
      <w:r>
        <w:rPr>
          <w:rStyle w:val="VerbatimChar"/>
        </w:rPr>
        <w:t xml:space="preserve">  DR_Floor_vCPU(R)              = potential_dr_demand(R) × vCPU × dr_ratio_max</w:t>
      </w:r>
      <w:r>
        <w:br/>
      </w:r>
      <w:r>
        <w:rPr>
          <w:rStyle w:val="VerbatimChar"/>
        </w:rPr>
        <w:t xml:space="preserve">  nonprod_quota_used(R)         = Σ (nonprod_crg.quantity × vCPU) for all NonProd CRGs in region R</w:t>
      </w:r>
    </w:p>
    <w:p>
      <w:pPr>
        <w:pStyle w:val="FirstParagraph"/>
      </w:pPr>
      <w:r>
        <w:rPr>
          <w:bCs/>
          <w:b/>
        </w:rPr>
        <w:t xml:space="preserve">DR Headroom:</w:t>
      </w:r>
    </w:p>
    <w:p>
      <w:pPr>
        <w:pStyle w:val="SourceCode"/>
      </w:pPr>
      <w:r>
        <w:rPr>
          <w:rStyle w:val="VerbatimChar"/>
        </w:rPr>
        <w:t xml:space="preserve">dr_headroom(R) = DR_Floor_vCPU(R) - dr_quota_used(R)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dr_quota_used(R) = Σ (dr_crg.quantity × vCPU) for all DR CRGs in region R</w:t>
      </w:r>
    </w:p>
    <w:bookmarkEnd w:id="37"/>
    <w:bookmarkStart w:id="38" w:name="validation-sequence"/>
    <w:p>
      <w:pPr>
        <w:pStyle w:val="Heading4"/>
      </w:pPr>
      <w:r>
        <w:t xml:space="preserve">Validation Sequence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availability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(applies only to NonProd placements)</w:t>
      </w:r>
    </w:p>
    <w:bookmarkEnd w:id="38"/>
    <w:bookmarkStart w:id="39" w:name="poc-blocker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B-1:</w:t>
      </w:r>
      <w:r>
        <w:t xml:space="preserve"> </w:t>
      </w:r>
      <w:r>
        <w:t xml:space="preserve">Azure Quota Groups functionality must be GA-available in target tenant/region. If</w:t>
      </w:r>
      <w:r>
        <w:t xml:space="preserve"> </w:t>
      </w:r>
      <w:r>
        <w:rPr>
          <w:rStyle w:val="VerbatimChar"/>
        </w:rPr>
        <w:t xml:space="preserve">Microsoft.Capacity/resourceProviders/.../groupQuotas</w:t>
      </w:r>
      <w:r>
        <w:t xml:space="preserve"> </w:t>
      </w:r>
      <w:r>
        <w:t xml:space="preserve">returns 404, escalate to Azure Support.</w:t>
      </w:r>
      <w:r>
        <w:t xml:space="preserve"> </w:t>
      </w:r>
      <w:r>
        <w:rPr>
          <w:bCs/>
          <w:b/>
        </w:rPr>
        <w:t xml:space="preserve">POC-30</w:t>
      </w:r>
      <w:r>
        <w:t xml:space="preserve"> </w:t>
      </w:r>
      <w:r>
        <w:t xml:space="preserve">gates this.</w:t>
      </w:r>
    </w:p>
    <w:bookmarkEnd w:id="39"/>
    <w:bookmarkStart w:id="40" w:name="evidence-tag-2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Azure Quota Groups Preview API documentation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hc-4-dr_separation_class"/>
    <w:p>
      <w:pPr>
        <w:pStyle w:val="Heading3"/>
      </w:pPr>
      <w:r>
        <w:t xml:space="preserve">HC-4: DR_SEPARATION_CLASS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 (non-paired regions only)</w:t>
      </w:r>
    </w:p>
    <w:bookmarkStart w:id="42" w:name="definition-3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DR_region must have Separation_Class(DR_region, Prod_region) = HIGH</w:t>
      </w:r>
    </w:p>
    <w:bookmarkEnd w:id="42"/>
    <w:bookmarkStart w:id="43" w:name="rationale-2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non-correlated failure domains between Prod and DR regions. This constraint applies</w:t>
      </w:r>
      <w:r>
        <w:t xml:space="preserve"> </w:t>
      </w:r>
      <w:r>
        <w:rPr>
          <w:bCs/>
          <w:b/>
        </w:rPr>
        <w:t xml:space="preserve">only to non-paired regions</w:t>
      </w:r>
      <w:r>
        <w:t xml:space="preserve"> </w:t>
      </w:r>
      <w:r>
        <w:t xml:space="preserve">(e.g., standalone configuration with 3-4 explicitly chosen regions). Paired regions (e.g., East US / West US) are assumed to have HIGH separation by Azure design.</w:t>
      </w:r>
    </w:p>
    <w:bookmarkEnd w:id="43"/>
    <w:bookmarkStart w:id="44" w:name="separation-class-matrix"/>
    <w:p>
      <w:pPr>
        <w:pStyle w:val="Heading4"/>
      </w:pPr>
      <w:r>
        <w:t xml:space="preserve">Separation Class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(paired)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(cross-geo)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(same geography)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(cross-geo extension)</w:t>
            </w:r>
          </w:p>
        </w:tc>
      </w:tr>
    </w:tbl>
    <w:bookmarkEnd w:id="44"/>
    <w:bookmarkStart w:id="45" w:name="implementation-2"/>
    <w:p>
      <w:pPr>
        <w:pStyle w:val="Heading4"/>
      </w:pPr>
      <w:r>
        <w:t xml:space="preserve">Implementation</w:t>
      </w:r>
    </w:p>
    <w:p>
      <w:pPr>
        <w:numPr>
          <w:ilvl w:val="0"/>
          <w:numId w:val="1009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SeparationClassRegistry</w:t>
      </w:r>
      <w:r>
        <w:t xml:space="preserve"> </w:t>
      </w:r>
      <w:r>
        <w:t xml:space="preserve">(static config or Azure metadata service)</w:t>
      </w:r>
    </w:p>
    <w:p>
      <w:pPr>
        <w:numPr>
          <w:ilvl w:val="0"/>
          <w:numId w:val="1009"/>
        </w:numPr>
        <w:pStyle w:val="Compact"/>
      </w:pPr>
      <w:r>
        <w:t xml:space="preserve">For non-paired regions, validate</w:t>
      </w:r>
      <w:r>
        <w:t xml:space="preserve"> </w:t>
      </w:r>
      <w:r>
        <w:rPr>
          <w:rStyle w:val="VerbatimChar"/>
        </w:rPr>
        <w:t xml:space="preserve">Separation_Class(DR, Prod) = HIGH</w:t>
      </w:r>
    </w:p>
    <w:p>
      <w:pPr>
        <w:numPr>
          <w:ilvl w:val="0"/>
          <w:numId w:val="1009"/>
        </w:numPr>
        <w:pStyle w:val="Compact"/>
      </w:pPr>
      <w:r>
        <w:t xml:space="preserve">Paired regions bypass this check (assumed HIGH by default)</w:t>
      </w:r>
    </w:p>
    <w:bookmarkEnd w:id="45"/>
    <w:bookmarkStart w:id="46" w:name="evidence-tag-3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hc-5-zone_availability"/>
    <w:p>
      <w:pPr>
        <w:pStyle w:val="Heading3"/>
      </w:pPr>
      <w:r>
        <w:t xml:space="preserve">HC-5: ZONE_AVAILABILITY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48" w:name="definition-4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Candidate region must have ≥ 2 physical Availability Zones</w:t>
      </w:r>
    </w:p>
    <w:bookmarkEnd w:id="48"/>
    <w:bookmarkStart w:id="49" w:name="rationale-3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Single-zone regions are excluded for all non-dev environments. Multi-zone deployment is a</w:t>
      </w:r>
      <w:r>
        <w:t xml:space="preserve"> </w:t>
      </w:r>
      <w:r>
        <w:rPr>
          <w:bCs/>
          <w:b/>
        </w:rPr>
        <w:t xml:space="preserve">Well-Architected Framework Reliability pillar</w:t>
      </w:r>
      <w:r>
        <w:t xml:space="preserve"> </w:t>
      </w:r>
      <w:r>
        <w:t xml:space="preserve">requirement.</w:t>
      </w:r>
    </w:p>
    <w:bookmarkEnd w:id="49"/>
    <w:bookmarkStart w:id="50" w:name="implementation-3"/>
    <w:p>
      <w:pPr>
        <w:pStyle w:val="Heading4"/>
      </w:pPr>
      <w:r>
        <w:t xml:space="preserve">Implementation</w:t>
      </w:r>
    </w:p>
    <w:p>
      <w:pPr>
        <w:numPr>
          <w:ilvl w:val="0"/>
          <w:numId w:val="1010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RegionalSnapshot.zone_count</w:t>
      </w:r>
      <w:r>
        <w:t xml:space="preserve"> </w:t>
      </w:r>
      <w:r>
        <w:t xml:space="preserve">(populated from Azure metadata)</w:t>
      </w:r>
    </w:p>
    <w:p>
      <w:pPr>
        <w:numPr>
          <w:ilvl w:val="0"/>
          <w:numId w:val="1010"/>
        </w:numPr>
        <w:pStyle w:val="Compact"/>
      </w:pPr>
      <w:r>
        <w:t xml:space="preserve">Reject regions where</w:t>
      </w:r>
      <w:r>
        <w:t xml:space="preserve"> </w:t>
      </w:r>
      <w:r>
        <w:rPr>
          <w:rStyle w:val="VerbatimChar"/>
        </w:rPr>
        <w:t xml:space="preserve">zone_count &lt; 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Applies to:</w:t>
      </w:r>
      <w:r>
        <w:t xml:space="preserve"> </w:t>
      </w:r>
      <w:r>
        <w:t xml:space="preserve">Prod, CVAL, DR placements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Exemption:</w:t>
      </w:r>
      <w:r>
        <w:t xml:space="preserve"> </w:t>
      </w:r>
      <w:r>
        <w:t xml:space="preserve">Dev environments may bypass this constraint (configurable via</w:t>
      </w:r>
      <w:r>
        <w:t xml:space="preserve"> </w:t>
      </w:r>
      <w:r>
        <w:rPr>
          <w:rStyle w:val="VerbatimChar"/>
        </w:rPr>
        <w:t xml:space="preserve">PlacementPolicy.allow_single_zone_dev</w:t>
      </w:r>
      <w:r>
        <w:t xml:space="preserve">)</w:t>
      </w:r>
    </w:p>
    <w:bookmarkEnd w:id="50"/>
    <w:bookmarkStart w:id="51" w:name="examples"/>
    <w:p>
      <w:pPr>
        <w:pStyle w:val="Heading4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 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</w:tbl>
    <w:bookmarkEnd w:id="51"/>
    <w:bookmarkStart w:id="52" w:name="evidence-tag-4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hc-6-dr_coverage_floor-new"/>
    <w:p>
      <w:pPr>
        <w:pStyle w:val="Heading3"/>
      </w:pPr>
      <w:r>
        <w:t xml:space="preserve">HC-6: DR_COVERAGE_FLOOR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DR 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Design Change Summary CR/CRG-1;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operationalises NonProd/DR co-location</w:t>
      </w:r>
    </w:p>
    <w:bookmarkStart w:id="54" w:name="definition-5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DR placement in region R if combined DR + NonProd overflow capacity</w:t>
      </w:r>
      <w:r>
        <w:br/>
      </w:r>
      <w:r>
        <w:rPr>
          <w:rStyle w:val="VerbatimChar"/>
        </w:rPr>
        <w:t xml:space="preserve">is insufficient to absorb the new customer's DR demand: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= prod_vm_count × dr_ratio_max</w:t>
      </w:r>
      <w:r>
        <w:br/>
      </w:r>
      <w:r>
        <w:rPr>
          <w:rStyle w:val="VerbatimChar"/>
        </w:rPr>
        <w:t xml:space="preserve">  nonprod_crg_effective_free  = nonprod_crg_free_slots - nonprod_crg_dr_overflow_reserve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dr_ratio_max = 0.40  (policy constant — upper bound for DR-to-Prod ratio)</w:t>
      </w:r>
    </w:p>
    <w:bookmarkEnd w:id="54"/>
    <w:bookmarkStart w:id="55" w:name="rationale-4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Since DR and NonProd may share a region (HC-1 constraint removed per D8), the engine must verify that the</w:t>
      </w:r>
      <w:r>
        <w:t xml:space="preserve"> </w:t>
      </w:r>
      <w:r>
        <w:rPr>
          <w:bCs/>
          <w:b/>
        </w:rPr>
        <w:t xml:space="preserve">combined capacity pool</w:t>
      </w:r>
      <w:r>
        <w:t xml:space="preserve"> </w:t>
      </w:r>
      <w:r>
        <w:t xml:space="preserve">can absorb the customer’s DR need — either from the DR CRG directly, or from the NonProd CRG’s reserved overflow headroom.</w:t>
      </w:r>
    </w:p>
    <w:p>
      <w:pPr>
        <w:pStyle w:val="BodyText"/>
      </w:pPr>
      <w:r>
        <w:t xml:space="preserve">This constraint operationalises HC-1 co-location at the capacity selection level.</w:t>
      </w:r>
    </w:p>
    <w:bookmarkEnd w:id="55"/>
    <w:bookmarkStart w:id="56" w:name="data-requirements"/>
    <w:p>
      <w:pPr>
        <w:pStyle w:val="Heading4"/>
      </w:pPr>
      <w:r>
        <w:t xml:space="preserve">Data Requirements</w:t>
      </w:r>
    </w:p>
    <w:p>
      <w:pPr>
        <w:pStyle w:val="FirstParagraph"/>
      </w:pPr>
      <w:r>
        <w:t xml:space="preserve">Per-CRG-type snapshot fields (added in Pass 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nonprod_crg_free_slots(R)</w:t>
      </w:r>
      <w:r>
        <w:t xml:space="preserve"> </w:t>
      </w:r>
      <w:r>
        <w:t xml:space="preserve">— available NonProd CR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nonprod_crg_effective_free(R)</w:t>
      </w:r>
      <w:r>
        <w:t xml:space="preserve"> </w:t>
      </w:r>
      <w:r>
        <w:t xml:space="preserve">— NonProd capacity minus DR overflow reserve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nonprod_crg_dr_overflow_reserve(R)</w:t>
      </w:r>
      <w:r>
        <w:t xml:space="preserve"> </w:t>
      </w:r>
      <w:r>
        <w:t xml:space="preserve">— capacity earmarked for DR failover absorption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dr_crg_free_slots(R)</w:t>
      </w:r>
      <w:r>
        <w:t xml:space="preserve"> </w:t>
      </w:r>
      <w:r>
        <w:t xml:space="preserve">— available DR CR capacity</w:t>
      </w:r>
    </w:p>
    <w:bookmarkEnd w:id="56"/>
    <w:bookmarkStart w:id="57" w:name="implementation-pseudocode"/>
    <w:p>
      <w:pPr>
        <w:pStyle w:val="Heading4"/>
      </w:pPr>
      <w:r>
        <w:t xml:space="preserve">Implementation Pseudocode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validate_HC6_DR_coverage_floor(region, customer_prod_vm_count):</w:t>
      </w:r>
      <w:r>
        <w:br/>
      </w:r>
      <w:r>
        <w:rPr>
          <w:rStyle w:val="NormalTok"/>
        </w:rPr>
        <w:t xml:space="preserve">   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get_regional_snapshot(region)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customer_requested_dr_slots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customer_prod_vm_count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DR_RATIO_MAX  </w:t>
      </w:r>
      <w:r>
        <w:rPr>
          <w:rStyle w:val="CommentTok"/>
        </w:rPr>
        <w:t xml:space="preserve"># 0.40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combined_dr_capacity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(snapshot.dr_crg_free_slots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snapshot.nonprod_crg_effective_free)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combined_dr_capacity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customer_requested_dr_slots: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DR_COVERAGE_FLOOR: Insufficient combined DR+NonProd overflow capacity"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57"/>
    <w:bookmarkStart w:id="58" w:name="policy-constants"/>
    <w:p>
      <w:pPr>
        <w:pStyle w:val="Heading4"/>
      </w:pPr>
      <w:r>
        <w:t xml:space="preserve">Policy Constants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dr_ratio_min:</w:t>
      </w:r>
      <w:r>
        <w:t xml:space="preserve"> </w:t>
      </w:r>
      <w:r>
        <w:t xml:space="preserve">0.30 (minimum DR-to-Prod ratio)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dr_ratio_max:</w:t>
      </w:r>
      <w:r>
        <w:t xml:space="preserve"> </w:t>
      </w:r>
      <w:r>
        <w:t xml:space="preserve">0.40 (maximum DR-to-Prod ratio, used in HC-6 floor calculation)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dr_ratio_target:</w:t>
      </w:r>
      <w:r>
        <w:t xml:space="preserve"> </w:t>
      </w:r>
      <w:r>
        <w:t xml:space="preserve">0.35 (recommended ratio)</w:t>
      </w:r>
    </w:p>
    <w:bookmarkEnd w:id="58"/>
    <w:bookmarkStart w:id="59" w:name="evidence-tag-5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Decision D8 (NonProd/DR co-location)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hc-7-dr_floor_integrity-new"/>
    <w:p>
      <w:pPr>
        <w:pStyle w:val="Heading3"/>
      </w:pPr>
      <w:r>
        <w:t xml:space="preserve">HC-7: DR_FLOOR_INTEGRITY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 Protection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§27; Design Change Summary QG-4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enforces DR floor within Two-Group Quota Architecture</w:t>
      </w:r>
    </w:p>
    <w:bookmarkStart w:id="61" w:name="definition-6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NonProd placement in region R if placing the requested quantity</w:t>
      </w:r>
      <w:r>
        <w:br/>
      </w:r>
      <w:r>
        <w:rPr>
          <w:rStyle w:val="VerbatimChar"/>
        </w:rPr>
        <w:t xml:space="preserve">would push nonprod_quota_used above effective_nonprod_ceiling: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</w:p>
    <w:bookmarkEnd w:id="61"/>
    <w:bookmarkStart w:id="62" w:name="rationale-5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Prevents NonProd allocation from</w:t>
      </w:r>
      <w:r>
        <w:t xml:space="preserve"> </w:t>
      </w:r>
      <w:r>
        <w:rPr>
          <w:bCs/>
          <w:b/>
        </w:rPr>
        <w:t xml:space="preserve">encroaching on the protected DR quota floor</w:t>
      </w:r>
      <w:r>
        <w:t xml:space="preserve">. Within the Two-Group Quota Architecture, the NonProd+DR group has a shared limit; the DR floor reserves a portion for DR use only.</w:t>
      </w:r>
    </w:p>
    <w:bookmarkEnd w:id="62"/>
    <w:bookmarkStart w:id="63" w:name="evaluation-order"/>
    <w:p>
      <w:pPr>
        <w:pStyle w:val="Heading4"/>
      </w:pPr>
      <w:r>
        <w:t xml:space="preserve">Evaluation Order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(</w:t>
      </w:r>
      <w:r>
        <w:rPr>
          <w:rStyle w:val="VerbatimChar"/>
        </w:rPr>
        <w:t xml:space="preserve">nonprod_headroom ≥ requested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</w:t>
      </w:r>
      <w:r>
        <w:rPr>
          <w:rStyle w:val="VerbatimChar"/>
        </w:rPr>
        <w:t xml:space="preserve">used + requested ≤ effective_ceiling</w:t>
      </w:r>
      <w:r>
        <w:t xml:space="preserve">)</w:t>
      </w:r>
    </w:p>
    <w:p>
      <w:pPr>
        <w:pStyle w:val="FirstParagraph"/>
      </w:pPr>
      <w:r>
        <w:t xml:space="preserve">HC-3 checks availability; HC-7 checks compliance.</w:t>
      </w:r>
    </w:p>
    <w:bookmarkEnd w:id="63"/>
    <w:bookmarkStart w:id="64" w:name="formulas-1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effective_nonprod_ceiling(R) = NonProd_DR_Group_Limit(R) - DR_Floor_vCPU(R)</w:t>
      </w:r>
    </w:p>
    <w:p>
      <w:pPr>
        <w:pStyle w:val="FirstParagraph"/>
      </w:pPr>
      <w:r>
        <w:rPr>
          <w:bCs/>
          <w:b/>
        </w:rPr>
        <w:t xml:space="preserve">DR Floor (per region):</w:t>
      </w:r>
    </w:p>
    <w:p>
      <w:pPr>
        <w:pStyle w:val="SourceCode"/>
      </w:pPr>
      <w:r>
        <w:rPr>
          <w:rStyle w:val="VerbatimChar"/>
        </w:rPr>
        <w:t xml:space="preserve">DR_Floor_vCPU(R) = potential_dr_demand(R) × vCPU_per_instance × dr_ratio_max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potential_dr_demand(R) = Σ prod_crg.quantity for all Prod CRGs that could fail over to region R</w:t>
      </w:r>
      <w:r>
        <w:br/>
      </w:r>
      <w:r>
        <w:rPr>
          <w:rStyle w:val="VerbatimChar"/>
        </w:rPr>
        <w:t xml:space="preserve">  dr_ratio_max           = 0.40</w:t>
      </w:r>
    </w:p>
    <w:bookmarkEnd w:id="64"/>
    <w:bookmarkStart w:id="65" w:name="poc-example-gp-06-topology"/>
    <w:p>
      <w:pPr>
        <w:pStyle w:val="Heading4"/>
      </w:pPr>
      <w:r>
        <w:t xml:space="preserve">POC Example (GP-06 Topology)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Prod demand: 80 VMs × 2 vCPU = 160 vCPU</w:t>
      </w:r>
      <w:r>
        <w:t xml:space="preserve"> </w:t>
      </w:r>
      <w:r>
        <w:t xml:space="preserve">- Base subscription quota limit: 200 vCPU</w:t>
      </w:r>
    </w:p>
    <w:p>
      <w:pPr>
        <w:pStyle w:val="BodyText"/>
      </w:pPr>
      <w:r>
        <w:rPr>
          <w:bCs/>
          <w:b/>
        </w:rPr>
        <w:t xml:space="preserve">Group Limits: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Group:</w:t>
      </w:r>
      <w:r>
        <w:t xml:space="preserve"> </w:t>
      </w:r>
      <w:r>
        <w:t xml:space="preserve">200 × 1.28 = 256 vCPU (28% emergency headroom)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NonProd+DR Group:</w:t>
      </w:r>
      <w:r>
        <w:t xml:space="preserve"> </w:t>
      </w:r>
      <w:r>
        <w:t xml:space="preserve">200 × 1.28 = 256 vCPU</w:t>
      </w:r>
    </w:p>
    <w:p>
      <w:pPr>
        <w:pStyle w:val="BodyText"/>
      </w:pPr>
      <w:r>
        <w:rPr>
          <w:bCs/>
          <w:b/>
        </w:rPr>
        <w:t xml:space="preserve">DR Floor Calculation:</w:t>
      </w:r>
    </w:p>
    <w:p>
      <w:pPr>
        <w:pStyle w:val="SourceCode"/>
      </w:pPr>
      <w:r>
        <w:rPr>
          <w:rStyle w:val="VerbatimChar"/>
        </w:rPr>
        <w:t xml:space="preserve">DR_Floor_vCPU = 80 VMs × 2 vCPU × 0.40 = 64 vCPU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 = 256 - 64 = 192 vCPU</w:t>
      </w:r>
    </w:p>
    <w:p>
      <w:pPr>
        <w:pStyle w:val="FirstParagraph"/>
      </w:pPr>
      <w:r>
        <w:rPr>
          <w:bCs/>
          <w:b/>
        </w:rPr>
        <w:t xml:space="preserve">Enforcement:</w:t>
      </w:r>
    </w:p>
    <w:p>
      <w:pPr>
        <w:pStyle w:val="SourceCode"/>
      </w:pPr>
      <w:r>
        <w:rPr>
          <w:rStyle w:val="VerbatimChar"/>
        </w:rPr>
        <w:t xml:space="preserve">If nonprod_quota_used = 150 vCPU:</w:t>
      </w:r>
      <w:r>
        <w:br/>
      </w:r>
      <w:r>
        <w:rPr>
          <w:rStyle w:val="VerbatimChar"/>
        </w:rPr>
        <w:t xml:space="preserve">  New NonProd request for 60 vCPU × 2 = 120 vCPU</w:t>
      </w:r>
      <w:r>
        <w:br/>
      </w:r>
      <w:r>
        <w:rPr>
          <w:rStyle w:val="VerbatimChar"/>
        </w:rPr>
        <w:t xml:space="preserve">  150 + 120 = 270 &gt; 192  ❌ REJECT (HC-7 violation)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If nonprod_quota_used = 100 vCPU:</w:t>
      </w:r>
      <w:r>
        <w:br/>
      </w:r>
      <w:r>
        <w:rPr>
          <w:rStyle w:val="VerbatimChar"/>
        </w:rPr>
        <w:t xml:space="preserve">  New NonProd request for 40 vCPU × 2 = 80 vCPU</w:t>
      </w:r>
      <w:r>
        <w:br/>
      </w:r>
      <w:r>
        <w:rPr>
          <w:rStyle w:val="VerbatimChar"/>
        </w:rPr>
        <w:t xml:space="preserve">  100 + 80 = 180 ≤ 192  ✅ PASS</w:t>
      </w:r>
    </w:p>
    <w:bookmarkEnd w:id="65"/>
    <w:bookmarkStart w:id="66" w:name="poc-blocker-1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B-2:</w:t>
      </w:r>
      <w:r>
        <w:t xml:space="preserve"> </w:t>
      </w:r>
      <w:r>
        <w:t xml:space="preserve">Quota pool release behavior on CR reduction (Tier 2/3 quota-neutral claim) must be validated.</w:t>
      </w:r>
      <w:r>
        <w:t xml:space="preserve"> </w:t>
      </w:r>
      <w:r>
        <w:rPr>
          <w:bCs/>
          <w:b/>
        </w:rPr>
        <w:t xml:space="preserve">POC-31</w:t>
      </w:r>
      <w:r>
        <w:t xml:space="preserve"> </w:t>
      </w:r>
      <w:r>
        <w:t xml:space="preserve">measures release latency; confirm &lt; 5 min for Tier RTO compliance.</w:t>
      </w:r>
    </w:p>
    <w:bookmarkEnd w:id="66"/>
    <w:bookmarkStart w:id="67" w:name="evidence-tag-6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Two-Group Quota Architecture design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hc-8-geography_containment-implied"/>
    <w:p>
      <w:pPr>
        <w:pStyle w:val="Heading3"/>
      </w:pPr>
      <w:r>
        <w:t xml:space="preserve">HC-8: GEOGRAPHY_CONTAINMENT [IMPLIED]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Geography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Implied constraint (no standalone definition block)</w:t>
      </w:r>
    </w:p>
    <w:bookmarkStart w:id="69" w:name="definition-7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In Scenario 1 (geography-based placement), derived Prod region must be within</w:t>
      </w:r>
      <w:r>
        <w:br/>
      </w:r>
      <w:r>
        <w:rPr>
          <w:rStyle w:val="VerbatimChar"/>
        </w:rPr>
        <w:t xml:space="preserve">the Standard Capacity Regions for the customer's chosen geography.</w:t>
      </w:r>
    </w:p>
    <w:bookmarkEnd w:id="69"/>
    <w:bookmarkStart w:id="70" w:name="rationale-6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When a customer supplies an Azure geography (e.g.,</w:t>
      </w:r>
      <w:r>
        <w:t xml:space="preserve"> 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 rather than a specific region, the engine derives the Prod anchor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within that geography only</w:t>
      </w:r>
      <w:r>
        <w:t xml:space="preserve">. This constraint ensures the derived Prod region respects the customer’s geographic preference.</w:t>
      </w:r>
    </w:p>
    <w:bookmarkEnd w:id="70"/>
    <w:bookmarkStart w:id="71" w:name="enforcement-stage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71"/>
    <w:bookmarkStart w:id="72" w:name="validation-rules-vr-1"/>
    <w:p>
      <w:pPr>
        <w:pStyle w:val="Heading4"/>
      </w:pPr>
      <w:r>
        <w:t xml:space="preserve">Validation Rules (VR)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VR-4:</w:t>
      </w:r>
      <w:r>
        <w:t xml:space="preserve"> </w:t>
      </w:r>
      <w:r>
        <w:t xml:space="preserve">Derived Prod region must be within the Standard Capacity Regions for the customer’s chosen geography</w:t>
      </w:r>
    </w:p>
    <w:bookmarkEnd w:id="72"/>
    <w:bookmarkStart w:id="73" w:name="implementation-4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get_prod_candidates(geography):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1: Geography containment (HC-8)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2: Apply HC-1..HC-7, HC-10</w:t>
      </w:r>
      <w:r>
        <w:br/>
      </w:r>
      <w:r>
        <w:rPr>
          <w:rStyle w:val="NormalTok"/>
        </w:rPr>
        <w:t xml:space="preserve">    hc_filtered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apply_hard_constraints(geo_filtered)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3: Score and rank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argmax(hc_filtered,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r: PS_Prod(r))</w:t>
      </w:r>
    </w:p>
    <w:bookmarkEnd w:id="73"/>
    <w:bookmarkStart w:id="74" w:name="examples-1"/>
    <w:p>
      <w:pPr>
        <w:pStyle w:val="Heading4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Ineligible (HC-8)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West US, Central US,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Europe, UK South,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Europe, North Europe, UK South,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Australia East,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North,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Belgium Central*</w:t>
            </w:r>
          </w:p>
        </w:tc>
      </w:tr>
    </w:tbl>
    <w:p>
      <w:pPr>
        <w:pStyle w:val="BodyText"/>
      </w:pPr>
      <w:r>
        <w:t xml:space="preserve">*Belgium Central becomes eligible only via</w:t>
      </w:r>
      <w:r>
        <w:t xml:space="preserve"> </w:t>
      </w:r>
      <w:r>
        <w:rPr>
          <w:bCs/>
          <w:b/>
        </w:rPr>
        <w:t xml:space="preserve">HC-10 Cross-Geo Extension Path</w:t>
      </w:r>
      <w:r>
        <w:t xml:space="preserve"> </w:t>
      </w:r>
      <w:r>
        <w:t xml:space="preserve">for DR, not for Prod.</w:t>
      </w:r>
    </w:p>
    <w:bookmarkEnd w:id="74"/>
    <w:bookmarkStart w:id="75" w:name="evidence-tag-7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5" w:name="hc-9-standard_region_only-new"/>
    <w:p>
      <w:pPr>
        <w:pStyle w:val="Heading3"/>
      </w:pPr>
      <w:r>
        <w:t xml:space="preserve">HC-9: STANDARD_REGION_ONLY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Region Class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gate for production-ready region classification</w:t>
      </w:r>
    </w:p>
    <w:bookmarkStart w:id="77" w:name="definition-8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Automated placement, scoring, recommendation, and all environment assignments</w:t>
      </w:r>
      <w:r>
        <w:br/>
      </w:r>
      <w:r>
        <w:rPr>
          <w:rStyle w:val="VerbatimChar"/>
        </w:rPr>
        <w:t xml:space="preserve">(Prod, CVAL, DR) must use Standard Capacity Regions only.</w:t>
      </w:r>
    </w:p>
    <w:bookmarkEnd w:id="77"/>
    <w:bookmarkStart w:id="78" w:name="rationale-7"/>
    <w:p>
      <w:pPr>
        <w:pStyle w:val="Heading4"/>
      </w:pPr>
      <w:r>
        <w:t xml:space="preserve">Rationale</w:t>
      </w:r>
    </w:p>
    <w:p>
      <w:pPr>
        <w:pStyle w:val="FirstParagraph"/>
      </w:pP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government regions, regions with SKU limitations) are excluded from automated placement. Their exclusion is enforced at</w:t>
      </w:r>
      <w:r>
        <w:t xml:space="preserve"> </w:t>
      </w:r>
      <w:r>
        <w:rPr>
          <w:bCs/>
          <w:b/>
        </w:rPr>
        <w:t xml:space="preserve">Stage 1 of the eligibility decision tree</w:t>
      </w:r>
      <w:r>
        <w:t xml:space="preserve">, not as a scoring penalty.</w:t>
      </w:r>
    </w:p>
    <w:p>
      <w:pPr>
        <w:pStyle w:val="BodyText"/>
      </w:pPr>
      <w:r>
        <w:t xml:space="preserve">Exception deployments (customer explicitly requests a Restricted region) proceed via the</w:t>
      </w:r>
      <w:r>
        <w:t xml:space="preserve"> </w:t>
      </w:r>
      <w:r>
        <w:rPr>
          <w:bCs/>
          <w:b/>
        </w:rPr>
        <w:t xml:space="preserve">Scenario 2 exception path</w:t>
      </w:r>
      <w:r>
        <w:t xml:space="preserve"> </w:t>
      </w:r>
      <w:r>
        <w:t xml:space="preserve">only, requiring operator approval.</w:t>
      </w:r>
    </w:p>
    <w:bookmarkEnd w:id="78"/>
    <w:bookmarkStart w:id="79" w:name="region-classification"/>
    <w:p>
      <w:pPr>
        <w:pStyle w:val="Heading4"/>
      </w:pPr>
      <w:r>
        <w:t xml:space="preserve">Region Classification</w:t>
      </w:r>
    </w:p>
    <w:p>
      <w:pPr>
        <w:pStyle w:val="FirstParagraph"/>
      </w:pPr>
      <w:r>
        <w:rPr>
          <w:bCs/>
          <w:b/>
        </w:rPr>
        <w:t xml:space="preserve">Standard Capacity Regions:</w:t>
      </w:r>
      <w:r>
        <w:t xml:space="preserve"> </w:t>
      </w:r>
      <w:r>
        <w:t xml:space="preserve">- Commercial Azure public cloud regions with full SKU availability</w:t>
      </w:r>
      <w:r>
        <w:t xml:space="preserve"> </w:t>
      </w:r>
      <w:r>
        <w:t xml:space="preserve">- No sovereign cloud restrictions</w:t>
      </w:r>
      <w:r>
        <w:t xml:space="preserve"> </w:t>
      </w:r>
      <w:r>
        <w:t xml:space="preserve">- No special approval required for CRG creation</w:t>
      </w:r>
      <w:r>
        <w:t xml:space="preserve"> </w:t>
      </w:r>
      <w:r>
        <w:t xml:space="preserve">- Examples: East US, West Europe, Australia East, Japan East, Brazil South</w:t>
      </w:r>
    </w:p>
    <w:p>
      <w:pPr>
        <w:pStyle w:val="BodyText"/>
      </w:pPr>
      <w:r>
        <w:rPr>
          <w:bCs/>
          <w:b/>
        </w:rPr>
        <w:t xml:space="preserve">Restricted Capacity Regions:</w:t>
      </w:r>
      <w:r>
        <w:t xml:space="preserve"> </w:t>
      </w:r>
      <w:r>
        <w:t xml:space="preserve">- Azure Government (US DoD, US Gov)</w:t>
      </w:r>
      <w:r>
        <w:t xml:space="preserve"> </w:t>
      </w:r>
      <w:r>
        <w:t xml:space="preserve">- Azure China (21Vianet)</w:t>
      </w:r>
      <w:r>
        <w:t xml:space="preserve"> </w:t>
      </w:r>
      <w:r>
        <w:t xml:space="preserve">- Regions with limited SKU availability (flagged in Azure metadata)</w:t>
      </w:r>
      <w:r>
        <w:t xml:space="preserve"> </w:t>
      </w:r>
      <w:r>
        <w:t xml:space="preserve">- Regions requiring special tenant approval (sovereign cloud onboarding)</w:t>
      </w:r>
    </w:p>
    <w:bookmarkEnd w:id="79"/>
    <w:bookmarkStart w:id="80" w:name="enforcement-stage-1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80"/>
    <w:bookmarkStart w:id="81" w:name="validation-rules-vr-2"/>
    <w:p>
      <w:pPr>
        <w:pStyle w:val="Heading4"/>
      </w:pPr>
      <w:r>
        <w:t xml:space="preserve">Validation Rules (VR)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VR-5:</w:t>
      </w:r>
      <w:r>
        <w:t xml:space="preserve"> </w:t>
      </w:r>
      <w:r>
        <w:t xml:space="preserve">All automated placement paths (Scenario 1 geography-based, Prod derivation, NonProd/DR selection) must use Standard Capacity Regions only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VR-6:</w:t>
      </w:r>
      <w:r>
        <w:t xml:space="preserve"> </w:t>
      </w:r>
      <w:r>
        <w:t xml:space="preserve">CVAL and DR must not use Restricted Capacity Regions under any condition, including exception deployments</w:t>
      </w:r>
    </w:p>
    <w:bookmarkEnd w:id="81"/>
    <w:bookmarkStart w:id="82" w:name="implementation-5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get_eligible_regions_stage1(geography, customer_request):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HC-9: Standard regions only (Stage 1 pre-filter)</w:t>
      </w:r>
      <w:r>
        <w:br/>
      </w:r>
      <w:r>
        <w:rPr>
          <w:rStyle w:val="NormalTok"/>
        </w:rPr>
        <w:t xml:space="preserve">    standard_regions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customer explicitly requests a Restricted region → Scenario 2 exception 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customer_request.region_override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customer_request.region_override.region_class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handle_exception_deployment(customer_request)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HC-8: Geography containment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standard_regions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geo_filtered</w:t>
      </w:r>
    </w:p>
    <w:bookmarkEnd w:id="82"/>
    <w:bookmarkStart w:id="83" w:name="exception-deployment-workflow-scenario-2"/>
    <w:p>
      <w:pPr>
        <w:pStyle w:val="Heading4"/>
      </w:pPr>
      <w:r>
        <w:t xml:space="preserve">Exception Deployment Workflow (Scenario 2)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explicitly requests a Restricted Capacity Region</w:t>
      </w:r>
    </w:p>
    <w:p>
      <w:pPr>
        <w:pStyle w:val="BodyText"/>
      </w:pPr>
      <w:r>
        <w:rPr>
          <w:bCs/>
          <w:b/>
        </w:rPr>
        <w:t xml:space="preserve">Workflow:</w:t>
      </w:r>
      <w:r>
        <w:t xml:space="preserve"> </w:t>
      </w:r>
      <w:r>
        <w:t xml:space="preserve">1. Operator receives request via exception deployment queue</w:t>
      </w:r>
      <w:r>
        <w:t xml:space="preserve"> </w:t>
      </w:r>
      <w:r>
        <w:t xml:space="preserve">2. Validate customer has required tenant permissions (sovereign cloud registration)</w:t>
      </w:r>
      <w:r>
        <w:t xml:space="preserve"> </w:t>
      </w:r>
      <w:r>
        <w:t xml:space="preserve">3. Validate SKU availability in target Restricted region</w:t>
      </w:r>
      <w:r>
        <w:t xml:space="preserve"> </w:t>
      </w:r>
      <w:r>
        <w:t xml:space="preserve">4. Manual approval gate (ops team review)</w:t>
      </w:r>
      <w:r>
        <w:t xml:space="preserve"> </w:t>
      </w:r>
      <w:r>
        <w:t xml:space="preserve">5. If approved: Create Prod CRG in Restricted region;</w:t>
      </w:r>
      <w:r>
        <w:t xml:space="preserve"> </w:t>
      </w:r>
      <w:r>
        <w:rPr>
          <w:bCs/>
          <w:b/>
        </w:rPr>
        <w:t xml:space="preserve">CVAL and DR must still use Standard regions</w:t>
      </w:r>
      <w:r>
        <w:t xml:space="preserve"> </w:t>
      </w:r>
      <w:r>
        <w:t xml:space="preserve">(VR-6)</w:t>
      </w:r>
      <w:r>
        <w:t xml:space="preserve"> </w:t>
      </w:r>
      <w:r>
        <w:t xml:space="preserve">6. Record exception in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approval metadata</w:t>
      </w:r>
    </w:p>
    <w:bookmarkEnd w:id="83"/>
    <w:bookmarkStart w:id="84" w:name="evidence-tag-8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X68fc772668646b6b4fe4c79222bdd3cb44f45e4"/>
    <w:p>
      <w:pPr>
        <w:pStyle w:val="Heading3"/>
      </w:pPr>
      <w:r>
        <w:t xml:space="preserve">HC-10: CROSS_GEO_EXTENSION_PATH_APPROVED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Cross-Geo DR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§27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governance control for cross-geography DR assignments</w:t>
      </w:r>
    </w:p>
    <w:bookmarkStart w:id="86" w:name="definition-9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Any DR assignment to a region outside the customer's chosen geography must match</w:t>
      </w:r>
      <w:r>
        <w:br/>
      </w:r>
      <w:r>
        <w:rPr>
          <w:rStyle w:val="VerbatimChar"/>
        </w:rPr>
        <w:t xml:space="preserve">an explicitly enumerated Cross-Geo Extension path in the active PlacementPolicy.</w:t>
      </w:r>
    </w:p>
    <w:bookmarkEnd w:id="86"/>
    <w:bookmarkStart w:id="87" w:name="rationale-8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Cross-geography DR introduces data residency, compliance, and latency considerations that require explicit approval. The engine does not autonomously select cross-geo DR regions; it only accepts pre-approved extension paths defined in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.</w:t>
      </w:r>
    </w:p>
    <w:bookmarkEnd w:id="87"/>
    <w:bookmarkStart w:id="88" w:name="enforcement"/>
    <w:p>
      <w:pPr>
        <w:pStyle w:val="Heading4"/>
      </w:pPr>
      <w:r>
        <w:t xml:space="preserve">Enforcement</w:t>
      </w:r>
    </w:p>
    <w:p>
      <w:pPr>
        <w:pStyle w:val="FirstParagraph"/>
      </w:pPr>
      <w:r>
        <w:t xml:space="preserve">DR assignments to Standard Capacity Regions in a</w:t>
      </w:r>
      <w:r>
        <w:t xml:space="preserve"> </w:t>
      </w:r>
      <w:r>
        <w:rPr>
          <w:bCs/>
          <w:b/>
        </w:rPr>
        <w:t xml:space="preserve">different geography</w:t>
      </w:r>
      <w:r>
        <w:t xml:space="preserve"> </w:t>
      </w:r>
      <w:r>
        <w:t xml:space="preserve">are rejected if no approved extension path exists for the source geography.</w:t>
      </w:r>
    </w:p>
    <w:bookmarkEnd w:id="88"/>
    <w:bookmarkStart w:id="89" w:name="Xe6b9436eca49b7821c6becbecefe925a62cb109"/>
    <w:p>
      <w:pPr>
        <w:pStyle w:val="Heading4"/>
      </w:pPr>
      <w:r>
        <w:t xml:space="preserve">Approved Cross-Geo Extension Paths (Example)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DR Geographies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has only 2 regions (UAE North, Saudi Arabia); insufficient for 3-region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</w:tbl>
    <w:bookmarkEnd w:id="89"/>
    <w:bookmarkStart w:id="90" w:name="X6218dba3f098d48f66e81f78d6b4869df43a6dd"/>
    <w:p>
      <w:pPr>
        <w:pStyle w:val="Heading4"/>
      </w:pPr>
      <w:r>
        <w:t xml:space="preserve">Middle East Three-Region Placement (Canonical Example)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Customer geography: Middle East</w:t>
      </w:r>
      <w:r>
        <w:t xml:space="preserve"> </w:t>
      </w:r>
      <w:r>
        <w:t xml:space="preserve">- Available Middle East Standard regions: UAE North, Saudi Arabia Central (2 only)</w:t>
      </w:r>
    </w:p>
    <w:p>
      <w:pPr>
        <w:pStyle w:val="BodyText"/>
      </w:pPr>
      <w:r>
        <w:rPr>
          <w:bCs/>
          <w:b/>
        </w:rPr>
        <w:t xml:space="preserve">Placement: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CVAL/NonProd:</w:t>
      </w:r>
      <w:r>
        <w:t xml:space="preserve"> </w:t>
      </w:r>
      <w:r>
        <w:t xml:space="preserve">Remaining Middle East region → Saudi Arabia Central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t xml:space="preserve">Cross-Geo Extension to</w:t>
      </w:r>
      <w:r>
        <w:t xml:space="preserve"> </w:t>
      </w:r>
      <w:r>
        <w:rPr>
          <w:bCs/>
          <w:b/>
        </w:rPr>
        <w:t xml:space="preserve">Belgium Central</w:t>
      </w:r>
      <w:r>
        <w:t xml:space="preserve"> </w:t>
      </w:r>
      <w:r>
        <w:t xml:space="preserve">(approved path)</w:t>
      </w:r>
    </w:p>
    <w:p>
      <w:pPr>
        <w:pStyle w:val="BodyText"/>
      </w:pPr>
      <w:r>
        <w:rPr>
          <w:bCs/>
          <w:b/>
        </w:rPr>
        <w:t xml:space="preserve">Validation:</w:t>
      </w:r>
      <w:r>
        <w:t xml:space="preserve"> </w:t>
      </w:r>
      <w:r>
        <w:t xml:space="preserve">- Belgium Central must pass</w:t>
      </w:r>
      <w:r>
        <w:t xml:space="preserve"> </w:t>
      </w:r>
      <w:r>
        <w:rPr>
          <w:bCs/>
          <w:b/>
        </w:rPr>
        <w:t xml:space="preserve">HC-1 through HC-10</w:t>
      </w:r>
      <w:r>
        <w:t xml:space="preserve"> </w:t>
      </w:r>
      <w:r>
        <w:t xml:space="preserve">including DR coverage floor (HC-6)</w:t>
      </w:r>
      <w:r>
        <w:t xml:space="preserve"> </w:t>
      </w:r>
      <w:r>
        <w:t xml:space="preserve">- If Belgium Central fails any HC, the placement is</w:t>
      </w:r>
      <w:r>
        <w:t xml:space="preserve"> </w:t>
      </w:r>
      <w:r>
        <w:rPr>
          <w:bCs/>
          <w:b/>
        </w:rPr>
        <w:t xml:space="preserve">rejected with an ops alert</w:t>
      </w:r>
      <w:r>
        <w:t xml:space="preserve"> </w:t>
      </w:r>
      <w:r>
        <w:t xml:space="preserve">- The engine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silently select any alternative outside the approved extension paths</w:t>
      </w:r>
    </w:p>
    <w:bookmarkEnd w:id="90"/>
    <w:bookmarkStart w:id="91" w:name="validation-rules-vr-3"/>
    <w:p>
      <w:pPr>
        <w:pStyle w:val="Heading4"/>
      </w:pPr>
      <w:r>
        <w:t xml:space="preserve">Validation Rules (VR)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VR-6:</w:t>
      </w:r>
      <w:r>
        <w:t xml:space="preserve"> </w:t>
      </w:r>
      <w:r>
        <w:t xml:space="preserve">For Middle East geography, DR region must be Belgium Central via approved Cross-Geo Extension path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VR-11:</w:t>
      </w:r>
      <w:r>
        <w:t xml:space="preserve"> </w:t>
      </w:r>
      <w:r>
        <w:t xml:space="preserve">Cross-Geo Extension DR path must be explicitly approved in active</w:t>
      </w:r>
      <w:r>
        <w:t xml:space="preserve"> </w:t>
      </w:r>
      <w:r>
        <w:rPr>
          <w:rStyle w:val="VerbatimChar"/>
        </w:rPr>
        <w:t xml:space="preserve">PlacementPolicy</w:t>
      </w:r>
    </w:p>
    <w:bookmarkEnd w:id="91"/>
    <w:bookmarkStart w:id="92" w:name="implementation-6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validate_HC10_cross_geo_extension(customer_geography, 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DR region is in same geography as customer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customer_geography: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Same-geo DR, HC-10 does not apply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Cross-geo DR → validate against approved extension paths</w:t>
      </w:r>
      <w:r>
        <w:br/>
      </w:r>
      <w:r>
        <w:rPr>
          <w:rStyle w:val="NormalTok"/>
        </w:rPr>
        <w:t xml:space="preserve">    approved_paths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policy.cross_geo_extension_paths.get(customer_geography, [])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approved_paths: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pecialStringTok"/>
        </w:rPr>
        <w:t xml:space="preserve">f"HC-10 CROSS_GEO_EXTENSION_PATH_APPROVED: DR region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dr_region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approved extension paths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customer_geography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92"/>
    <w:bookmarkStart w:id="93" w:name="placementpolicy-configuration-example"/>
    <w:p>
      <w:pPr>
        <w:pStyle w:val="Heading4"/>
      </w:pPr>
      <w:r>
        <w:t xml:space="preserve">PlacementPolicy Configuration (Example)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"Belgium Central"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 has only 2 Standard regions; 3-region model requires cross-geo DR"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"Australia"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"Singapore"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"Japan East"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"Regional pair fallback for Australia East / Australia Southeast"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93"/>
    <w:bookmarkStart w:id="94" w:name="evidence-tag-9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97" w:name="part-2-hard-constraint-summary-table"/>
    <w:p>
      <w:pPr>
        <w:pStyle w:val="Heading2"/>
      </w:pPr>
      <w:r>
        <w:t xml:space="preserve">Part 2 — Hard Constraint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in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REGION_SEPARATION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isolated from NonProd/DR; NonProd=DR co-location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CR headroom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quota headroom per environment type (Prod/NonProd/DR)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DR_SEPARATION_CLASS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must have HIGH separation class from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ZONE_AVAILABILITY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2 availability zones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DR_COVERAGE_FLOOR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DR+NonProd capacity must absorb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DR_FLOOR_INTEGRITY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placement cannot encroach on DR quota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GEOGRAPHY_CONTAINMENT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must be within customer’s chosen geography (Scenario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STANDARD_REGION_ONLY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Standard Capacity Regions eligible for automated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CROSS_GEO_EXTENSION_PATH_APPROVED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Cross-geography DR requires explicit approval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§27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101" w:name="part-3-enforcement-pipeline"/>
    <w:p>
      <w:pPr>
        <w:pStyle w:val="Heading2"/>
      </w:pPr>
      <w:r>
        <w:t xml:space="preserve">Part 3 — Enforcement Pipeline</w:t>
      </w:r>
    </w:p>
    <w:bookmarkStart w:id="98" w:name="X15d895f7579caa6caa0fb8ce818141addc02b14"/>
    <w:p>
      <w:pPr>
        <w:pStyle w:val="Heading3"/>
      </w:pPr>
      <w:r>
        <w:t xml:space="preserve">Stage 1 — Pre-filtering (Eligibility Decision Tree)</w:t>
      </w:r>
    </w:p>
    <w:p>
      <w:pPr>
        <w:pStyle w:val="FirstParagraph"/>
      </w:pPr>
      <w:r>
        <w:rPr>
          <w:bCs/>
          <w:b/>
        </w:rPr>
        <w:t xml:space="preserve">Applied before candidate set formation:</w:t>
      </w:r>
    </w:p>
    <w:p>
      <w:pPr>
        <w:pStyle w:val="SourceCode"/>
      </w:pPr>
      <w:r>
        <w:rPr>
          <w:rStyle w:val="VerbatimChar"/>
        </w:rPr>
        <w:t xml:space="preserve">All Azure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[HC-9: STANDARD_REGION_ONLY filter]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Capacity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[HC-8: GEOGRAPHY_CONTAINMENT filter] (if Scenario 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Regions in Customer Geography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Candidate Set for Stage 2</w:t>
      </w:r>
    </w:p>
    <w:bookmarkEnd w:id="98"/>
    <w:bookmarkStart w:id="99" w:name="stage-2-hard-constraint-gate"/>
    <w:p>
      <w:pPr>
        <w:pStyle w:val="Heading3"/>
      </w:pPr>
      <w:r>
        <w:t xml:space="preserve">Stage 2 — Hard Constraint Gate</w:t>
      </w:r>
    </w:p>
    <w:p>
      <w:pPr>
        <w:pStyle w:val="FirstParagraph"/>
      </w:pPr>
      <w:r>
        <w:rPr>
          <w:bCs/>
          <w:b/>
        </w:rPr>
        <w:t xml:space="preserve">Applied to each candidate region before scoring: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apply_hard_constraints_stage2(region, environment_type, customer_context):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Returns: (PASS, None) or (REJECT, reason)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HC-1: Region separation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validate_HC1_region_separation(region,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 REGION_SEPARATION"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HC-2: Capacity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validate_HC2_capacity_floor(region, environment_type):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"HC-2 CAPACITY_FLOOR"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HC-3: Quota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validate_HC3_quota_floor(region,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"HC-3 QUOTA_FLOOR"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HC-4: DR separation class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validate_HC4_dr_separation_class(region, customer_context.prod_region):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"HC-4 DR_SEPARATION_CLASS"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HC-5: Zone availability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validate_HC5_zone_availability(region):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"HC-5 ZONE_AVAILABILITY"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HC-6: DR coverage floor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validate_HC6_dr_coverage_floor(region,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HC-7: DR floor integrity (NonProd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"NonProd"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validate_HC7_dr_floor_integrity(region,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"HC-7 DR_FLOOR_INTEGRITY"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HC-10: Cross-geo extension path (cross-geo 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region.geography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customer_context.geography: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validate_HC10_cross_geo_extension(customer_context.geography, region):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CROSS_GEO_EXTENSION_PATH_APPROVED"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PASS, </w:t>
      </w:r>
      <w:r>
        <w:rPr>
          <w:rStyle w:val="VariableTok"/>
        </w:rPr>
        <w:t xml:space="preserve">None</w:t>
      </w:r>
    </w:p>
    <w:bookmarkEnd w:id="99"/>
    <w:bookmarkStart w:id="100" w:name="stage-3-scoring-pipeline"/>
    <w:p>
      <w:pPr>
        <w:pStyle w:val="Heading3"/>
      </w:pPr>
      <w:r>
        <w:t xml:space="preserve">Stage 3 — Scoring Pipeline</w:t>
      </w:r>
    </w:p>
    <w:p>
      <w:pPr>
        <w:pStyle w:val="FirstParagraph"/>
      </w:pPr>
      <w:r>
        <w:t xml:space="preserve">Regions surviving HC-1..HC-10 enter scoring: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PS_Prod(r)</w:t>
      </w:r>
      <w:r>
        <w:t xml:space="preserve"> </w:t>
      </w:r>
      <w:r>
        <w:t xml:space="preserve">= argmax over survivors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NonProd: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PS_NonProd(r)</w:t>
      </w:r>
      <w:r>
        <w:t xml:space="preserve"> </w:t>
      </w:r>
      <w:r>
        <w:t xml:space="preserve">= argmax over survivors (excluding Prod region)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PS_DR(r)</w:t>
      </w:r>
      <w:r>
        <w:t xml:space="preserve"> </w:t>
      </w:r>
      <w:r>
        <w:t xml:space="preserve">= argmax over survivors (excluding Prod region; may include NonProd region per HC-1)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X16bfbef3bf2b5383f94a65da7d1eff470082b28"/>
    <w:p>
      <w:pPr>
        <w:pStyle w:val="Heading2"/>
      </w:pPr>
      <w:r>
        <w:t xml:space="preserve">Part 4 — Validation Rules (VR) Cross-Reference</w:t>
      </w:r>
    </w:p>
    <w:p>
      <w:pPr>
        <w:pStyle w:val="FirstParagraph"/>
      </w:pPr>
      <w:r>
        <w:t xml:space="preserve">The Production Readiness Review defines</w:t>
      </w:r>
      <w:r>
        <w:t xml:space="preserve"> </w:t>
      </w:r>
      <w:r>
        <w:rPr>
          <w:bCs/>
          <w:b/>
        </w:rPr>
        <w:t xml:space="preserve">11 Validation Rules (VR-1..VR-11)</w:t>
      </w:r>
      <w:r>
        <w:t xml:space="preserve"> </w:t>
      </w:r>
      <w:r>
        <w:t xml:space="preserve">that enforce hard constraints: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and DR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Prod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 share a region only under approved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 (D8 update)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Prod region must be within customer’s chosen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automated placement paths must use Standard Capacity Regions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must not use Restricted Capacity Regions under any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 through HC-10 → if all excluded, exhaustion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Middle East geography, DR region must be Belgium Central via approved cross-geo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Belgium Central fails HC-1..HC-10, block placement with ops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requested by customer → Scenario 2 exception path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Extension DR path must be explicitly approved in active PlacementPolicy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5" w:name="part-5-poc-blockers-testing"/>
    <w:p>
      <w:pPr>
        <w:pStyle w:val="Heading2"/>
      </w:pPr>
      <w:r>
        <w:t xml:space="preserve">Part 5 — POC Blockers &amp; Testing</w:t>
      </w:r>
    </w:p>
    <w:bookmarkStart w:id="103" w:name="critical-poc-blockers"/>
    <w:p>
      <w:pPr>
        <w:pStyle w:val="Heading3"/>
      </w:pPr>
      <w:r>
        <w:t xml:space="preserve">Critical POC Blockers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HCs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Quota Groups functionality in target tenant/region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availability check; if 404 → escalate to Azure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pool release behavior on CR reduction (Tier 2/3 quota-neutral claim)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release latency; confirm &lt; 5 min for Tier RTO</w:t>
            </w:r>
          </w:p>
        </w:tc>
      </w:tr>
    </w:tbl>
    <w:bookmarkEnd w:id="103"/>
    <w:bookmarkStart w:id="104" w:name="poc-test-coverage"/>
    <w:p>
      <w:pPr>
        <w:pStyle w:val="Heading3"/>
      </w:pPr>
      <w:r>
        <w:t xml:space="preserve">POC Test Coverage</w:t>
      </w:r>
    </w:p>
    <w:p>
      <w:pPr>
        <w:pStyle w:val="FirstParagraph"/>
      </w:pPr>
      <w:r>
        <w:rPr>
          <w:bCs/>
          <w:b/>
        </w:rPr>
        <w:t xml:space="preserve">POC-01 through POC-10:</w:t>
      </w:r>
      <w:r>
        <w:t xml:space="preserve"> </w:t>
      </w:r>
      <w:r>
        <w:t xml:space="preserve">Hard constraint validation (HC-1..HC-10)</w:t>
      </w:r>
      <w:r>
        <w:br/>
      </w:r>
      <w:r>
        <w:rPr>
          <w:bCs/>
          <w:b/>
        </w:rPr>
        <w:t xml:space="preserve">POC-11:</w:t>
      </w:r>
      <w:r>
        <w:t xml:space="preserve"> </w:t>
      </w:r>
      <w:r>
        <w:t xml:space="preserve">Middle East cross-geo DR (HC-10)</w:t>
      </w:r>
      <w:r>
        <w:br/>
      </w:r>
      <w:r>
        <w:rPr>
          <w:bCs/>
          <w:b/>
        </w:rPr>
        <w:t xml:space="preserve">POC-30:</w:t>
      </w:r>
      <w:r>
        <w:t xml:space="preserve"> </w:t>
      </w:r>
      <w:r>
        <w:t xml:space="preserve">Quota Groups API integration (HC-3, HC-7)</w:t>
      </w:r>
      <w:r>
        <w:br/>
      </w:r>
      <w:r>
        <w:rPr>
          <w:bCs/>
          <w:b/>
        </w:rPr>
        <w:t xml:space="preserve">POC-31:</w:t>
      </w:r>
      <w:r>
        <w:t xml:space="preserve"> </w:t>
      </w:r>
      <w:r>
        <w:t xml:space="preserve">Quota pool release latency (HC-7 emergency transfer dependency)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part-6-configuration-policy"/>
    <w:p>
      <w:pPr>
        <w:pStyle w:val="Heading2"/>
      </w:pPr>
      <w:r>
        <w:t xml:space="preserve">Part 6 — Configuration &amp; Policy</w:t>
      </w:r>
    </w:p>
    <w:bookmarkStart w:id="106" w:name="X4be3307512e7f52d64cb89aabc3920545a45b86"/>
    <w:p>
      <w:pPr>
        <w:pStyle w:val="Heading3"/>
      </w:pPr>
      <w:r>
        <w:t xml:space="preserve">PlacementPolicy Schema (Hard Constraint Section)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"hard_constraints"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"capacity_floor_multiplier"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"allow_single_zone_dev"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"Belgium Central"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 has only 2 Standard regions; 3-region model requires cross-geo DR"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"separation_class_overrides"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06"/>
    <w:bookmarkStart w:id="107" w:name="policy-constants-1"/>
    <w:p>
      <w:pPr>
        <w:pStyle w:val="Heading3"/>
      </w:pPr>
      <w:r>
        <w:t xml:space="preserve">Policy Constants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capacity_floor_multiplier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(per geography/SKU)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(not HC)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min_zone_count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allow_single_zone_dev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cross_geo_extension_paths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part-7-implementation-checklist"/>
    <w:p>
      <w:pPr>
        <w:pStyle w:val="Heading2"/>
      </w:pPr>
      <w:r>
        <w:t xml:space="preserve">Part 7 — Implementation Checklist</w:t>
      </w:r>
    </w:p>
    <w:bookmarkStart w:id="109" w:name="engineering-backlog-cross-reference"/>
    <w:p>
      <w:pPr>
        <w:pStyle w:val="Heading3"/>
      </w:pPr>
      <w:r>
        <w:t xml:space="preserve">Engineering Backlog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HC-1..HC-8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S0702, S0703, S0704, S0705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HC-7 (Quota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EPIC-03 (Quota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S0310, S0311, S0314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T031001..T031006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 (DR 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EPIC-06 (DR Management),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S0601, S0704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T060101, T070401</w:t>
            </w:r>
          </w:p>
        </w:tc>
      </w:tr>
    </w:tbl>
    <w:bookmarkEnd w:id="109"/>
    <w:bookmarkStart w:id="110" w:name="pre-deployment-validation"/>
    <w:p>
      <w:pPr>
        <w:pStyle w:val="Heading3"/>
      </w:pPr>
      <w:r>
        <w:t xml:space="preserve">Pre-Deployment Validation</w:t>
      </w:r>
    </w:p>
    <w:p>
      <w:pPr>
        <w:numPr>
          <w:ilvl w:val="0"/>
          <w:numId w:val="1017"/>
        </w:numPr>
        <w:pStyle w:val="Compact"/>
      </w:pPr>
      <w:r>
        <w:t xml:space="preserve">☐ HC-1..HC-10 validation functions implemented (unit tested)</w:t>
      </w:r>
    </w:p>
    <w:p>
      <w:pPr>
        <w:numPr>
          <w:ilvl w:val="0"/>
          <w:numId w:val="1017"/>
        </w:numPr>
        <w:pStyle w:val="Compact"/>
      </w:pPr>
      <w:r>
        <w:t xml:space="preserve">☐ Stage 1 pre-filtering logic (HC-8, HC-9) validated</w:t>
      </w:r>
    </w:p>
    <w:p>
      <w:pPr>
        <w:numPr>
          <w:ilvl w:val="0"/>
          <w:numId w:val="1017"/>
        </w:numPr>
        <w:pStyle w:val="Compact"/>
      </w:pPr>
      <w:r>
        <w:t xml:space="preserve">☐ Stage 2 hard constraint gate logic (HC-1..HC-7, HC-10) validated</w:t>
      </w:r>
    </w:p>
    <w:p>
      <w:pPr>
        <w:numPr>
          <w:ilvl w:val="0"/>
          <w:numId w:val="1017"/>
        </w:numPr>
        <w:pStyle w:val="Compact"/>
      </w:pPr>
      <w:r>
        <w:t xml:space="preserve">☐ RegionalSnapshot schema extended with HC-6 fields (nonprod_crg_effective_free, dr_crg_free_slots)</w:t>
      </w:r>
    </w:p>
    <w:p>
      <w:pPr>
        <w:numPr>
          <w:ilvl w:val="0"/>
          <w:numId w:val="1017"/>
        </w:numPr>
        <w:pStyle w:val="Compact"/>
      </w:pPr>
      <w:r>
        <w:t xml:space="preserve">☐ QuotaGroup integration (HC-3, HC-7) validated via POC-30</w:t>
      </w:r>
    </w:p>
    <w:p>
      <w:pPr>
        <w:numPr>
          <w:ilvl w:val="0"/>
          <w:numId w:val="1017"/>
        </w:numPr>
        <w:pStyle w:val="Compact"/>
      </w:pPr>
      <w:r>
        <w:t xml:space="preserve">☐ Cross-Geo Extension paths configured in PlacementPolicy</w:t>
      </w:r>
    </w:p>
    <w:p>
      <w:pPr>
        <w:numPr>
          <w:ilvl w:val="0"/>
          <w:numId w:val="1017"/>
        </w:numPr>
        <w:pStyle w:val="Compact"/>
      </w:pPr>
      <w:r>
        <w:t xml:space="preserve">☐ Middle East three-region placement validated (HC-10)</w:t>
      </w:r>
    </w:p>
    <w:p>
      <w:pPr>
        <w:numPr>
          <w:ilvl w:val="0"/>
          <w:numId w:val="1017"/>
        </w:numPr>
        <w:pStyle w:val="Compact"/>
      </w:pPr>
      <w:r>
        <w:t xml:space="preserve">☐ Exception deployment workflow (HC-9 Restricted region override) tested</w:t>
      </w:r>
    </w:p>
    <w:p>
      <w:pPr>
        <w:numPr>
          <w:ilvl w:val="0"/>
          <w:numId w:val="1017"/>
        </w:numPr>
        <w:pStyle w:val="Compact"/>
      </w:pPr>
      <w:r>
        <w:t xml:space="preserve">☐ HC rejection reasons logged to OperationRecord for audit</w:t>
      </w:r>
    </w:p>
    <w:p>
      <w:pPr>
        <w:numPr>
          <w:ilvl w:val="0"/>
          <w:numId w:val="1017"/>
        </w:numPr>
        <w:pStyle w:val="Compact"/>
      </w:pPr>
      <w:r>
        <w:t xml:space="preserve">☐ Validation Rules VR-1..VR-11 traced to HC enforcement points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appendix-a-decision-log-cross-reference"/>
    <w:p>
      <w:pPr>
        <w:pStyle w:val="Heading2"/>
      </w:pPr>
      <w:r>
        <w:t xml:space="preserve">Appendix A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HCs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</w:t>
            </w:r>
            <w:r>
              <w:t xml:space="preserve"> </w:t>
            </w:r>
            <w:r>
              <w:rPr>
                <w:rStyle w:val="VerbatimChar"/>
              </w:rPr>
              <w:t xml:space="preserve">DR_region ≠ NonProd_region</w:t>
            </w:r>
            <w:r>
              <w:t xml:space="preserve"> </w:t>
            </w:r>
            <w:r>
              <w:t xml:space="preserve">constraint; added HC-6 to operationalise co-location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D1,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Two-Group Quota Architecture; HC-3 now reads from Quota Groups; HC-7 enforces DR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Standard/Restricted region classification; added HC-9 and HC-10 governance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ppendix-b-evidence-tags"/>
    <w:p>
      <w:pPr>
        <w:pStyle w:val="Heading2"/>
      </w:pPr>
      <w:r>
        <w:t xml:space="preserve">Appendix B — Evidence Tags</w:t>
      </w:r>
    </w:p>
    <w:p>
      <w:pPr>
        <w:pStyle w:val="FirstParagraph"/>
      </w:pPr>
      <w:r>
        <w:t xml:space="preserve">All hard constraints carry one of four evidence tags: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[Documented]</w:t>
      </w:r>
      <w:r>
        <w:t xml:space="preserve"> </w:t>
      </w:r>
      <w:r>
        <w:t xml:space="preserve">— Derived from Azure platform documentation (e.g., Quota Groups API)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[Derived]</w:t>
      </w:r>
      <w:r>
        <w:t xml:space="preserve"> </w:t>
      </w:r>
      <w:r>
        <w:t xml:space="preserve">— Logical consequence of a documented constraint or design decision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[Decided]</w:t>
      </w:r>
      <w:r>
        <w:t xml:space="preserve"> </w:t>
      </w:r>
      <w:r>
        <w:t xml:space="preserve">— Explicit design choice (traceable to Decision Log D1–D9)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[Undocumented — architectural judgement]</w:t>
      </w:r>
      <w:r>
        <w:t xml:space="preserve"> </w:t>
      </w:r>
      <w:r>
        <w:t xml:space="preserve">— Azure Well-Architected Framework best practice, not explicitly documented by Microsoft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Production Ready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and POC-31 completion (Quota Groups GA validation)</w:t>
      </w:r>
    </w:p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2026-08-25T11:10:54Z</dcterms:created>
  <dcterms:modified xsi:type="dcterms:W3CDTF">2026-08-25T11:10:54Z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