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1.2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— one of four standalone, self-contained records.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single significant architectural decision, the context that forced it, the options considered, the choice made, and its consequences. ADRs are immutable once accepted — a superseding decision is recorded as a new ADR rather than editing the original. This record is self-contained: it can be read without any companion document.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(see Appendix).</w:t>
      </w:r>
    </w:p>
    <w:p>
      <w:r>
        <w:pict>
          <v:rect style="width:0;height:1.5pt" o:hralign="center" o:hrstd="t" o:hr="t"/>
        </w:pict>
      </w:r>
    </w:p>
    <w:bookmarkStart w:id="34" w:name="adr-002-quota-and-capacity-management"/>
    <w:p>
      <w:pPr>
        <w:pStyle w:val="Heading1"/>
      </w:pPr>
      <w:r>
        <w:t xml:space="preserve">ADR-002 — Quota and Capacity Management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</w:t>
      </w:r>
      <w:r>
        <w:br/>
      </w:r>
      <w:r>
        <w:rPr>
          <w:bCs/>
          <w:b/>
        </w:rPr>
        <w:t xml:space="preserve">Related constraints:</w:t>
      </w:r>
      <w:r>
        <w:t xml:space="preserve"> </w:t>
      </w:r>
      <w:r>
        <w:t xml:space="preserve">HC-2, HC-3, HC-7 (hard constraints)</w:t>
      </w:r>
    </w:p>
    <w:bookmarkStart w:id="2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Each customer needs three CRGs per region (Prod, NonProd, DR). Azure tracks compute quota per subscription per region per SKU family; quota exhaustion silently blocks CR creation and VM deployment. The engine must:</w:t>
      </w:r>
    </w:p>
    <w:p>
      <w:pPr>
        <w:numPr>
          <w:ilvl w:val="0"/>
          <w:numId w:val="1001"/>
        </w:numPr>
        <w:pStyle w:val="Compact"/>
      </w:pPr>
      <w:r>
        <w:t xml:space="preserve">Prevent a NonProd surge from consuming quota that Prod CR creation needs (isolation).</w:t>
      </w:r>
    </w:p>
    <w:p>
      <w:pPr>
        <w:numPr>
          <w:ilvl w:val="0"/>
          <w:numId w:val="1001"/>
        </w:numPr>
        <w:pStyle w:val="Compact"/>
      </w:pPr>
      <w:r>
        <w:t xml:space="preserve">Make emergency capacity transfer (see ADR-003)</w:t>
      </w:r>
      <w:r>
        <w:t xml:space="preserve"> </w:t>
      </w:r>
      <w:r>
        <w:rPr>
          <w:bCs/>
          <w:b/>
        </w:rPr>
        <w:t xml:space="preserve">quota-neutral</w:t>
      </w:r>
      <w:r>
        <w:t xml:space="preserve"> </w:t>
      </w:r>
      <w:r>
        <w:t xml:space="preserve">where possible — i.e. reshuffle capacity without waiting hours for an Azure quota-increase approval during a crisis.</w:t>
      </w:r>
    </w:p>
    <w:p>
      <w:pPr>
        <w:numPr>
          <w:ilvl w:val="0"/>
          <w:numId w:val="1001"/>
        </w:numPr>
        <w:pStyle w:val="Compact"/>
      </w:pPr>
      <w:r>
        <w:t xml:space="preserve">Provide clean per-environment cost attribution for chargeback.</w:t>
      </w:r>
    </w:p>
    <w:p>
      <w:pPr>
        <w:numPr>
          <w:ilvl w:val="0"/>
          <w:numId w:val="1001"/>
        </w:numPr>
        <w:pStyle w:val="Compact"/>
      </w:pPr>
      <w:r>
        <w:t xml:space="preserve">Enforce a protected DR reservation that NonProd growth can never erode.</w:t>
      </w:r>
    </w:p>
    <w:p>
      <w:pPr>
        <w:pStyle w:val="FirstParagraph"/>
      </w:pPr>
      <w:r>
        <w:t xml:space="preserve">Azure</w:t>
      </w:r>
      <w:r>
        <w:t xml:space="preserve"> </w:t>
      </w:r>
      <w:r>
        <w:rPr>
          <w:bCs/>
          <w:b/>
        </w:rPr>
        <w:t xml:space="preserve">Quota Groups</w:t>
      </w:r>
      <w:r>
        <w:t xml:space="preserve"> </w:t>
      </w:r>
      <w:r>
        <w:t xml:space="preserve">(Preview) allow multiple subscriptions/CRGs to share a group-level quota pool, but Azure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natively support intra-group sub-reservations — so any sub-partition of a group pool must be enforced by the engine.</w:t>
      </w:r>
    </w:p>
    <w:bookmarkEnd w:id="20"/>
    <w:bookmarkStart w:id="27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Two-Quota-Group-per-region model with an engine-enforced DR floor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Two groups per region: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Prod-only</w:t>
      </w:r>
      <w:r>
        <w:t xml:space="preserve"> </w:t>
      </w:r>
      <w:r>
        <w:t xml:space="preserve">group and one</w:t>
      </w:r>
      <w:r>
        <w:t xml:space="preserve"> </w:t>
      </w:r>
      <w:r>
        <w:rPr>
          <w:bCs/>
          <w:b/>
        </w:rPr>
        <w:t xml:space="preserve">shared NonProd+DR</w:t>
      </w:r>
      <w:r>
        <w:t xml:space="preserve"> </w:t>
      </w:r>
      <w:r>
        <w:t xml:space="preserve">group.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Prod_Group_Limit(R)        = base_subscription_quota_limit × (1 + emergency_transfer_headroom_vcpu / base_limit)</w:t>
      </w:r>
      <w:r>
        <w:br/>
      </w:r>
      <w:r>
        <w:rPr>
          <w:rStyle w:val="VerbatimChar"/>
        </w:rPr>
        <w:t xml:space="preserve">NonProd_DR_Group_Limit(R)  = base_subscription_quota_limit × (1 + emergency_transfer_headroom_vcpu / base_limit)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Engine-enforced DR floor</w:t>
      </w:r>
      <w:r>
        <w:t xml:space="preserve"> </w:t>
      </w:r>
      <w:r>
        <w:t xml:space="preserve">inside the NonProd+DR group (Azure has no native sub-reservation):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DR_Floor_vCPU(R)               = potential_dr_demand(R) × vCPU_per_instance × dr_ratio_max</w:t>
      </w:r>
      <w:r>
        <w:br/>
      </w:r>
      <w:r>
        <w:rPr>
          <w:rStyle w:val="VerbatimChar"/>
        </w:rPr>
        <w:t xml:space="preserve">Effective_NonProd_Ceiling(R)   = NonProd_DR_Group_Limit(R) − DR_Floor_vCPU(R)</w:t>
      </w:r>
    </w:p>
    <w:p>
      <w:pPr>
        <w:numPr>
          <w:ilvl w:val="0"/>
          <w:numId w:val="1000"/>
        </w:numPr>
      </w:pPr>
      <w:r>
        <w:t xml:space="preserve">The floor is always sized at</w:t>
      </w:r>
      <w:r>
        <w:t xml:space="preserve"> </w:t>
      </w:r>
      <w:r>
        <w:rPr>
          <w:rStyle w:val="VerbatimChar"/>
          <w:bCs/>
          <w:b/>
        </w:rPr>
        <w:t xml:space="preserve">dr_ratio_max</w:t>
      </w:r>
      <w:r>
        <w:rPr>
          <w:bCs/>
          <w:b/>
        </w:rPr>
        <w:t xml:space="preserve"> </w:t>
      </w:r>
      <w:r>
        <w:rPr>
          <w:bCs/>
          <w:b/>
        </w:rPr>
        <w:t xml:space="preserve">(0.40)</w:t>
      </w:r>
      <w:r>
        <w:t xml:space="preserve"> </w:t>
      </w:r>
      <w:r>
        <w:t xml:space="preserve">— the upper bound of the DR ratio range — so it never needs to grow if the operating ratio is later raised (0.30 → 0.40). Only actual Prod demand growth expands the floor.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Hard-constraint enforcement at placement: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HC-2 CAPACITY_FLOOR</w:t>
      </w:r>
      <w:r>
        <w:t xml:space="preserve"> </w:t>
      </w:r>
      <w:r>
        <w:t xml:space="preserve">— CR headroom ≥</w:t>
      </w:r>
      <w:r>
        <w:t xml:space="preserve"> </w:t>
      </w:r>
      <w:r>
        <w:rPr>
          <w:rStyle w:val="VerbatimChar"/>
        </w:rPr>
        <w:t xml:space="preserve">2 × requested_vm_count × SKU_vCPU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HC-3 QUOTA_FLOOR</w:t>
      </w:r>
      <w:r>
        <w:t xml:space="preserve"> </w:t>
      </w:r>
      <w:r>
        <w:t xml:space="preserve">— env-type-aware group headroom check (Prod group / effective NonProd ceiling / DR headroom). Reads from the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entity, not legacy per-subscription</w:t>
      </w:r>
      <w:r>
        <w:t xml:space="preserve"> </w:t>
      </w:r>
      <w:r>
        <w:rPr>
          <w:rStyle w:val="VerbatimChar"/>
        </w:rPr>
        <w:t xml:space="preserve">QuotaRecord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HC-7 DR_FLOOR_INTEGRITY</w:t>
      </w:r>
      <w:r>
        <w:t xml:space="preserve"> </w:t>
      </w:r>
      <w:r>
        <w:t xml:space="preserve">— rejects NonProd placement that would push</w:t>
      </w:r>
      <w:r>
        <w:t xml:space="preserve"> </w:t>
      </w:r>
      <w:r>
        <w:rPr>
          <w:rStyle w:val="VerbatimChar"/>
        </w:rPr>
        <w:t xml:space="preserve">nonprod_quota_used</w:t>
      </w:r>
      <w:r>
        <w:t xml:space="preserve"> </w:t>
      </w:r>
      <w:r>
        <w:t xml:space="preserve">above the effective ceiling, evaluated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HC-3.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Legacy per-subscription quota tracking is retained for monitoring/audit only</w:t>
      </w:r>
      <w:r>
        <w:t xml:space="preserve"> </w:t>
      </w:r>
      <w:r>
        <w:t xml:space="preserve">and superseded for all placement and scoring checks by group-level fields.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Continuous protection:</w:t>
      </w:r>
      <w:r>
        <w:t xml:space="preserve"> </w:t>
      </w:r>
      <w:r>
        <w:t xml:space="preserve">the reconciliation loop watches for floor violations and emits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; NonProd CRG scale operations that approach the ceiling are operator-gated.</w:t>
      </w:r>
    </w:p>
    <w:p>
      <w:pPr>
        <w:pStyle w:val="FirstParagraph"/>
      </w:pPr>
      <w:r>
        <w:rPr>
          <w:bCs/>
          <w:b/>
        </w:rPr>
        <w:t xml:space="preserve">Worked topology example:</w:t>
      </w:r>
      <w:r>
        <w:t xml:space="preserve"> </w:t>
      </w:r>
      <w:r>
        <w:t xml:space="preserve">Prod group 128 vCPU; NonProd+DR group 80 vCPU; DR floor 32 vCPU → effective NonProd ceiling 48 vCPU.</w:t>
      </w:r>
    </w:p>
    <w:p>
      <w:pPr>
        <w:pStyle w:val="CaptionedFigure"/>
      </w:pPr>
      <w:r>
        <w:drawing>
          <wp:inline>
            <wp:extent cx="5334000" cy="4769303"/>
            <wp:effectExtent b="0" l="0" r="0" t="0"/>
            <wp:docPr descr="Figure 1. Two-quota-group-per-region model — an isolated Prod-only group and a shared NonProd+DR group with the engine-enforced DR floor and the effective NonProd ceiling." title="" id="22" name="Picture"/>
            <a:graphic>
              <a:graphicData uri="http://schemas.openxmlformats.org/drawingml/2006/picture">
                <pic:pic>
                  <pic:nvPicPr>
                    <pic:cNvPr descr="diagrams/adr002_quota_group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69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Two-quota-group-per-region model — an isolated Prod-only group and a shared NonProd+DR group with the engine-enforced DR floor and the effective NonProd ceiling.</w:t>
      </w:r>
    </w:p>
    <w:bookmarkStart w:id="24" w:name="group-accounting-formulas-normative"/>
    <w:p>
      <w:pPr>
        <w:pStyle w:val="Heading4"/>
      </w:pPr>
      <w:r>
        <w:t xml:space="preserve">Group Accounting Formulas (normative)</w:t>
      </w:r>
    </w:p>
    <w:p>
      <w:pPr>
        <w:pStyle w:val="FirstParagraph"/>
      </w:pPr>
      <w:r>
        <w:t xml:space="preserve">All four are</w:t>
      </w:r>
      <w:r>
        <w:t xml:space="preserve"> </w:t>
      </w:r>
      <w:r>
        <w:rPr>
          <w:bCs/>
          <w:b/>
        </w:rPr>
        <w:t xml:space="preserve">engine accounting controls</w:t>
      </w:r>
      <w:r>
        <w:t xml:space="preserve"> </w:t>
      </w:r>
      <w:r>
        <w:t xml:space="preserve">— they do not create a native Azure sub-reservation: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SourceCode"/>
      </w:pPr>
      <w:r>
        <w:rPr>
          <w:rStyle w:val="VerbatimChar"/>
        </w:rPr>
        <w:t xml:space="preserve">DR_Floor_vCPU             = Potential_DR_Demand × vCPU_Per_Instance × DR_Ratio_Max</w:t>
      </w:r>
      <w:r>
        <w:br/>
      </w:r>
      <w:r>
        <w:rPr>
          <w:rStyle w:val="VerbatimChar"/>
        </w:rPr>
        <w:t xml:space="preserve">Effective_NonProd_Ceiling = NonProd_DR_Group_Limit − DR_Floor_vCPU</w:t>
      </w:r>
      <w:r>
        <w:br/>
      </w:r>
      <w:r>
        <w:rPr>
          <w:rStyle w:val="VerbatimChar"/>
        </w:rPr>
        <w:t xml:space="preserve">NonProd_Headroom          = Effective_NonProd_Ceiling − NonProd_Used_vCPU</w:t>
      </w:r>
      <w:r>
        <w:br/>
      </w:r>
      <w:r>
        <w:rPr>
          <w:rStyle w:val="VerbatimChar"/>
        </w:rPr>
        <w:t xml:space="preserve">Group_Headroom            = Group_Limit − Group_Used</w:t>
      </w:r>
    </w:p>
    <w:bookmarkEnd w:id="24"/>
    <w:bookmarkStart w:id="25" w:name="exact-enforcement-controls"/>
    <w:p>
      <w:pPr>
        <w:pStyle w:val="Heading4"/>
      </w:pPr>
      <w:r>
        <w:t xml:space="preserve">Exact Enforcement Controls</w:t>
      </w:r>
    </w:p>
    <w:p>
      <w:pPr>
        <w:numPr>
          <w:ilvl w:val="0"/>
          <w:numId w:val="100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NonProd</w:t>
      </w:r>
      <w:r>
        <w:t xml:space="preserve"> </w:t>
      </w:r>
      <w:r>
        <w:t xml:space="preserve">increase performs a group check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 subscription check.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increase performs a group check, subscription check, SKU check, capacity check,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active-incident check.</w:t>
      </w:r>
    </w:p>
    <w:p>
      <w:pPr>
        <w:numPr>
          <w:ilvl w:val="0"/>
          <w:numId w:val="100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separate detector</w:t>
      </w:r>
      <w:r>
        <w:t xml:space="preserve"> </w:t>
      </w:r>
      <w:r>
        <w:t xml:space="preserve">recalculates the DR floor from authoritative assignment/allocation data. Any disagreement between the command-time and detector calculations</w:t>
      </w:r>
      <w:r>
        <w:t xml:space="preserve"> </w:t>
      </w:r>
      <w:r>
        <w:rPr>
          <w:bCs/>
          <w:b/>
        </w:rPr>
        <w:t xml:space="preserve">disables automatic NonProd expansion</w:t>
      </w:r>
      <w:r>
        <w:t xml:space="preserve"> </w:t>
      </w:r>
      <w:r>
        <w:t xml:space="preserve">(fail-safe) and raises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Group propagation is</w:t>
      </w:r>
      <w:r>
        <w:t xml:space="preserve"> </w:t>
      </w:r>
      <w:r>
        <w:rPr>
          <w:bCs/>
          <w:b/>
        </w:rPr>
        <w:t xml:space="preserve">polled</w:t>
      </w:r>
      <w:r>
        <w:t xml:space="preserve"> </w:t>
      </w:r>
      <w:r>
        <w:t xml:space="preserve">— no fixed propagation SLA is assumed.</w:t>
      </w:r>
    </w:p>
    <w:bookmarkEnd w:id="25"/>
    <w:bookmarkStart w:id="26" w:name="grouptype-preview-dependency"/>
    <w:p>
      <w:pPr>
        <w:pStyle w:val="Heading4"/>
      </w:pPr>
      <w:r>
        <w:rPr>
          <w:rStyle w:val="VerbatimChar"/>
        </w:rPr>
        <w:t xml:space="preserve">groupType</w:t>
      </w:r>
      <w:r>
        <w:t xml:space="preserve"> </w:t>
      </w:r>
      <w:r>
        <w:t xml:space="preserve">Preview Dependency</w:t>
      </w:r>
    </w:p>
    <w:p>
      <w:pPr>
        <w:pStyle w:val="FirstParagraph"/>
      </w:pPr>
      <w:r>
        <w:t xml:space="preserve">The Quota-Group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property (</w:t>
      </w:r>
      <w:r>
        <w:rPr>
          <w:rStyle w:val="VerbatimChar"/>
        </w:rPr>
        <w:t xml:space="preserve">AllocationGroup</w:t>
      </w:r>
      <w:r>
        <w:t xml:space="preserve"> </w:t>
      </w:r>
      <w:r>
        <w:t xml:space="preserve">= advisory vs</w:t>
      </w:r>
      <w:r>
        <w:t xml:space="preserve"> </w:t>
      </w:r>
      <w:r>
        <w:rPr>
          <w:rStyle w:val="VerbatimChar"/>
        </w:rPr>
        <w:t xml:space="preserve">EnforcedGroup</w:t>
      </w:r>
      <w:r>
        <w:t xml:space="preserve"> </w:t>
      </w:r>
      <w:r>
        <w:t xml:space="preserve">= enforced) is</w:t>
      </w:r>
      <w:r>
        <w:t xml:space="preserve"> </w:t>
      </w:r>
      <w:r>
        <w:rPr>
          <w:bCs/>
          <w:b/>
        </w:rPr>
        <w:t xml:space="preserve">preview-only</w:t>
      </w:r>
      <w:r>
        <w:t xml:space="preserve"> </w:t>
      </w:r>
      <w:r>
        <w:t xml:space="preserve">in the Azure Quota REST API and is not GA.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The engine’s accounting controls are deliberately</w:t>
      </w:r>
      <w:r>
        <w:t xml:space="preserve"> </w:t>
      </w:r>
      <w:r>
        <w:rPr>
          <w:bCs/>
          <w:b/>
        </w:rPr>
        <w:t xml:space="preserve">engine-level and do not depend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groupType</w:t>
      </w:r>
      <w:r>
        <w:rPr>
          <w:bCs/>
          <w:b/>
        </w:rPr>
        <w:t xml:space="preserve"> </w:t>
      </w:r>
      <w:r>
        <w:rPr>
          <w:bCs/>
          <w:b/>
        </w:rPr>
        <w:t xml:space="preserve">enforcement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EnforcedGroup</w:t>
      </w:r>
      <w:r>
        <w:t xml:space="preserve"> </w:t>
      </w:r>
      <w:r>
        <w:t xml:space="preserve">is ever relied upon to drop the engine’s own subscription-level check, that dependency must pass a preview-acceptance proof-of-concept and a recorded decision first. Engineering constraint: pin the exact preview API version in all quota-group calls and add version-drift detection to the platform health check.</w:t>
      </w:r>
    </w:p>
    <w:bookmarkEnd w:id="26"/>
    <w:bookmarkEnd w:id="27"/>
    <w:bookmarkStart w:id="28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Prod isolation is enforced at the Azure control-plane level — a NonProd surge cannot starve Prod.</w:t>
      </w:r>
      <w:r>
        <w:t xml:space="preserve"> </w:t>
      </w:r>
      <w:r>
        <w:t xml:space="preserve">- Tier 2 Emergency Capacity Transfer becomes</w:t>
      </w:r>
      <w:r>
        <w:t xml:space="preserve"> </w:t>
      </w:r>
      <w:r>
        <w:rPr>
          <w:bCs/>
          <w:b/>
        </w:rPr>
        <w:t xml:space="preserve">truly quota-neutral</w:t>
      </w:r>
      <w:r>
        <w:t xml:space="preserve"> </w:t>
      </w:r>
      <w:r>
        <w:t xml:space="preserve">(ARM operations only, no Azure approval gate) because NonProd and DR draw from the same group pool (see ADR-003).</w:t>
      </w:r>
      <w:r>
        <w:t xml:space="preserve"> </w:t>
      </w:r>
      <w:r>
        <w:t xml:space="preserve">- Clean chargeback: one Azure billing record per group per region.</w:t>
      </w:r>
      <w:r>
        <w:t xml:space="preserve"> </w:t>
      </w:r>
      <w:r>
        <w:t xml:space="preserve">- The DR floor guarantees a protected reservation NonProd can never erode.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The DR floor is a</w:t>
      </w:r>
      <w:r>
        <w:t xml:space="preserve"> </w:t>
      </w:r>
      <w:r>
        <w:rPr>
          <w:bCs/>
          <w:b/>
        </w:rPr>
        <w:t xml:space="preserve">soft ceiling the engine must maintain continuously</w:t>
      </w:r>
      <w:r>
        <w:t xml:space="preserve"> </w:t>
      </w:r>
      <w:r>
        <w:t xml:space="preserve">— Azure won’t enforce it. A bug could allow NonProd to breach the floor; mitigated by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alerting and operator gates.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- Sizing the floor at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over-reserves quota slightly at lower operating ratios — a deliberate reliability-over-cost trade, reviewed quarterly.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and HC-3 must be environment-type-aware (three code paths).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Hard dependency on Azure Quota Groups GA</w:t>
      </w:r>
      <w:r>
        <w:t xml:space="preserve"> </w:t>
      </w:r>
      <w:r>
        <w:t xml:space="preserve">— validated by proof-of-concept before rollout; if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returns 404 in the target tenant/region, escalate to Azure Support.</w:t>
      </w:r>
    </w:p>
    <w:bookmarkEnd w:id="28"/>
    <w:bookmarkStart w:id="29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shared quota pool</w:t>
            </w:r>
            <w:r>
              <w:t xml:space="preserve"> </w:t>
            </w:r>
            <w:r>
              <w:t xml:space="preserve">(all three CRGs)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Breaks Prod isolation — a NonProd surge can consume Prod’s quota.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Three separate groups</w:t>
            </w:r>
            <w:r>
              <w:t xml:space="preserve"> </w:t>
            </w:r>
            <w:r>
              <w:t xml:space="preserve">(one per CRG)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isolation but makes Tier 3 transfer non-atomic — releasing NonProd quota lands in the wrong group, forcing an Azure quota request mid-crisis (hours of RTO impact).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Per-subscription quota only</w:t>
            </w:r>
            <w:r>
              <w:t xml:space="preserve"> </w:t>
            </w:r>
            <w:r>
              <w:t xml:space="preserve">(legacy)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make emergency transfer quota-neutral without risky cross-subscription coordination.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floor sized at current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Undersizes the floor if the ratio is later increased, blocking DR expansion.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appendix-adr-summary"/>
    <w:p>
      <w:pPr>
        <w:pStyle w:val="Heading2"/>
      </w:pPr>
      <w:r>
        <w:t xml:space="preserve">Appendix — ADR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Open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 Quota &amp;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HC-2, 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Quota Groups GA validated by proof-of-concept before rollout</w:t>
            </w:r>
          </w:p>
        </w:tc>
      </w:tr>
    </w:tbl>
    <w:bookmarkEnd w:id="30"/>
    <w:bookmarkStart w:id="31" w:name="appendix-status-legend"/>
    <w:p>
      <w:pPr>
        <w:pStyle w:val="Heading2"/>
      </w:pPr>
      <w:r>
        <w:t xml:space="preserve">Appendix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</w:t>
            </w:r>
          </w:p>
        </w:tc>
      </w:tr>
    </w:tbl>
    <w:bookmarkEnd w:id="31"/>
    <w:bookmarkStart w:id="32" w:name="appendix-evidence-tag-taxonomy"/>
    <w:p>
      <w:pPr>
        <w:pStyle w:val="Heading2"/>
      </w:pPr>
      <w:r>
        <w:t xml:space="preserve">Appendix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behaviour or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explicit ACRME design choice recorded in this ADR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proof-of-concept validation</w:t>
            </w:r>
          </w:p>
        </w:tc>
      </w:tr>
    </w:tbl>
    <w:bookmarkEnd w:id="32"/>
    <w:bookmarkStart w:id="33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ADR-001 — Region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acrme_adr_001_region_selection.md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ADR-003 — Capacity Management during Disaster Recovery (DR)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acrme_adr_003_capacity_management_during_dr.md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ADR-004 — Forecast and Increase of Capacity and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acrme_adr_004_forecast_and_increase_of_capacity_and_quota.md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proof-of-concept validation of Azure Quota Groups GA and quota-release latency, and on resolution of the consumer-credential model and engine-mode state-machine items.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2026-08-27T11:37:42Z</dcterms:created>
  <dcterms:modified xsi:type="dcterms:W3CDTF">2026-08-27T11:37:42Z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