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Azure Capacity Reservation Management Engine (ACRME)</w:t>
      </w:r>
      <w:r>
        <w:br/>
      </w:r>
      <w:r>
        <w:rPr>
          <w:bCs/>
          <w:b/>
        </w:rPr>
        <w:t xml:space="preserve">Classification:</w:t>
      </w:r>
      <w:r>
        <w:t xml:space="preserve"> </w:t>
      </w:r>
      <w:r>
        <w:t xml:space="preserve">Principal Cloud Architect — Architecture Governance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1.2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August 2026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Accepted</w:t>
      </w:r>
      <w:r>
        <w:br/>
      </w:r>
      <w:r>
        <w:rPr>
          <w:bCs/>
          <w:b/>
        </w:rPr>
        <w:t xml:space="preserve">Part of:</w:t>
      </w:r>
      <w:r>
        <w:t xml:space="preserve"> </w:t>
      </w:r>
      <w:r>
        <w:t xml:space="preserve">ACRME Architecture Decision Records — one of four standalone, self-contained records.</w:t>
      </w:r>
    </w:p>
    <w:p>
      <w:pPr>
        <w:pStyle w:val="BlockText"/>
      </w:pPr>
      <w:r>
        <w:rPr>
          <w:bCs/>
          <w:b/>
        </w:rPr>
        <w:t xml:space="preserve">About ADRs.</w:t>
      </w:r>
      <w:r>
        <w:t xml:space="preserve"> </w:t>
      </w:r>
      <w:r>
        <w:t xml:space="preserve">An Architecture Decision Record captures a single significant architectural decision, the context that forced it, the options considered, the choice made, and its consequences. ADRs are immutable once accepted — a superseding decision is recorded as a new ADR rather than editing the original. This record is self-contained: it can be read without any companion document. Evidence tags:</w:t>
      </w:r>
      <w:r>
        <w:t xml:space="preserve"> </w:t>
      </w:r>
      <w:r>
        <w:rPr>
          <w:rStyle w:val="VerbatimChar"/>
        </w:rPr>
        <w:t xml:space="preserve">[Documented]</w:t>
      </w:r>
      <w:r>
        <w:t xml:space="preserve">,</w:t>
      </w:r>
      <w:r>
        <w:t xml:space="preserve"> </w:t>
      </w:r>
      <w:r>
        <w:rPr>
          <w:rStyle w:val="VerbatimChar"/>
        </w:rPr>
        <w:t xml:space="preserve">[Decided]</w:t>
      </w:r>
      <w:r>
        <w:t xml:space="preserve">,</w:t>
      </w:r>
      <w:r>
        <w:t xml:space="preserve"> </w:t>
      </w:r>
      <w:r>
        <w:rPr>
          <w:rStyle w:val="VerbatimChar"/>
        </w:rPr>
        <w:t xml:space="preserve">[Derived]</w:t>
      </w:r>
      <w:r>
        <w:t xml:space="preserve">,</w:t>
      </w:r>
      <w:r>
        <w:t xml:space="preserve"> </w:t>
      </w:r>
      <w:r>
        <w:rPr>
          <w:rStyle w:val="VerbatimChar"/>
        </w:rPr>
        <w:t xml:space="preserve">[Assumed]</w:t>
      </w:r>
      <w:r>
        <w:t xml:space="preserve"> </w:t>
      </w:r>
      <w:r>
        <w:t xml:space="preserve">(see Appendix).</w:t>
      </w:r>
    </w:p>
    <w:p>
      <w:r>
        <w:pict>
          <v:rect style="width:0;height:1.5pt" o:hralign="center" o:hrstd="t" o:hr="t"/>
        </w:pict>
      </w:r>
    </w:p>
    <w:bookmarkStart w:id="34" w:name="X26bb2dd1e6ed50cfaa8bfd7d8d9521ec21700a3"/>
    <w:p>
      <w:pPr>
        <w:pStyle w:val="Heading1"/>
      </w:pPr>
      <w:r>
        <w:t xml:space="preserve">ADR-004 — Forecast and Increase of Capacity and Quota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Accepted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August 2026</w:t>
      </w:r>
      <w:r>
        <w:br/>
      </w:r>
      <w:r>
        <w:rPr>
          <w:bCs/>
          <w:b/>
        </w:rPr>
        <w:t xml:space="preserve">Deciders:</w:t>
      </w:r>
      <w:r>
        <w:t xml:space="preserve"> </w:t>
      </w:r>
      <w:r>
        <w:t xml:space="preserve">Principal Cloud Architect, Platform Engineering, FinOps, Capacity Planning</w:t>
      </w:r>
      <w:r>
        <w:br/>
      </w:r>
      <w:r>
        <w:rPr>
          <w:bCs/>
          <w:b/>
        </w:rPr>
        <w:t xml:space="preserve">Related constraints:</w:t>
      </w:r>
      <w:r>
        <w:t xml:space="preserve"> </w:t>
      </w:r>
      <w:r>
        <w:t xml:space="preserve">HC-3 (applied at increase-execution time)</w:t>
      </w:r>
    </w:p>
    <w:bookmarkStart w:id="20" w:name="context"/>
    <w:p>
      <w:pPr>
        <w:pStyle w:val="Heading3"/>
      </w:pPr>
      <w:r>
        <w:t xml:space="preserve">Context</w:t>
      </w:r>
    </w:p>
    <w:p>
      <w:pPr>
        <w:pStyle w:val="FirstParagraph"/>
      </w:pPr>
      <w:r>
        <w:t xml:space="preserve">Reserved capacity must grow ahead of demand — but Azure quota increases take time to approve, and over-reservation wastes money. The engine needs to forecast demand, recommend right-sized capacity, and drive quota/CR increases with enough lead time,</w:t>
      </w:r>
      <w:r>
        <w:t xml:space="preserve"> </w:t>
      </w:r>
      <w:r>
        <w:rPr>
          <w:bCs/>
          <w:b/>
        </w:rPr>
        <w:t xml:space="preserve">without</w:t>
      </w:r>
      <w:r>
        <w:t xml:space="preserve"> </w:t>
      </w:r>
      <w:r>
        <w:t xml:space="preserve">ever autonomously performing material or destructive changes in Phase 1. This growth path must be architecturally distinct from crisis operations (see ADR-003).</w:t>
      </w:r>
    </w:p>
    <w:bookmarkEnd w:id="20"/>
    <w:bookmarkStart w:id="27" w:name="decision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Adopt</w:t>
      </w:r>
      <w:r>
        <w:t xml:space="preserve"> </w:t>
      </w:r>
      <w:r>
        <w:rPr>
          <w:bCs/>
          <w:b/>
        </w:rPr>
        <w:t xml:space="preserve">forecast-driven, approval-gated capacity growth</w:t>
      </w:r>
      <w:r>
        <w:t xml:space="preserve"> </w:t>
      </w:r>
      <w:r>
        <w:t xml:space="preserve">operating exclusively in</w:t>
      </w:r>
      <w:r>
        <w:t xml:space="preserve"> </w:t>
      </w:r>
      <w:r>
        <w:rPr>
          <w:rStyle w:val="VerbatimChar"/>
        </w:rPr>
        <w:t xml:space="preserve">STEADY_STATE</w:t>
      </w:r>
      <w:r>
        <w:t xml:space="preserve">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Forecasting</w:t>
      </w:r>
      <w:r>
        <w:t xml:space="preserve"> </w:t>
      </w:r>
      <w:r>
        <w:t xml:space="preserve">analyses historical CR allocation and projects demand over a configurable window (default 30/60/90 days), exposing raw time series and derived recommendations via API.</w:t>
      </w:r>
      <w:r>
        <w:t xml:space="preserve"> </w:t>
      </w:r>
      <w:r>
        <w:rPr>
          <w:rStyle w:val="VerbatimChar"/>
        </w:rPr>
        <w:t xml:space="preserve">[Documented]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Capacity sizing formula:</w:t>
      </w:r>
      <w:r>
        <w:t xml:space="preserve"> </w:t>
      </w:r>
      <w:r>
        <w:rPr>
          <w:rStyle w:val="VerbatimChar"/>
        </w:rPr>
        <w:t xml:space="preserve">[Documented]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Forecast_Quantity = ceil(Forecast_Peak × (1 + Growth_Buffer) + DR_Buffer)</w:t>
      </w:r>
    </w:p>
    <w:p>
      <w:pPr>
        <w:numPr>
          <w:ilvl w:val="0"/>
          <w:numId w:val="1000"/>
        </w:numPr>
      </w:pPr>
      <w:r>
        <w:t xml:space="preserve">Increase when forecast demand exceeds current reserved quantity within the window; right-size down when demand is consistently below current, honouring a configurable buffer.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Lead-time alerting:</w:t>
      </w:r>
      <w:r>
        <w:t xml:space="preserve"> </w:t>
      </w:r>
      <w:r>
        <w:t xml:space="preserve">when forecast demand approaches a quota limit (default</w:t>
      </w:r>
      <w:r>
        <w:t xml:space="preserve"> </w:t>
      </w:r>
      <w:r>
        <w:rPr>
          <w:bCs/>
          <w:b/>
        </w:rPr>
        <w:t xml:space="preserve">80%</w:t>
      </w:r>
      <w:r>
        <w:t xml:space="preserve">), emit</w:t>
      </w:r>
      <w:r>
        <w:t xml:space="preserve"> </w:t>
      </w:r>
      <w:r>
        <w:rPr>
          <w:rStyle w:val="VerbatimChar"/>
        </w:rPr>
        <w:t xml:space="preserve">ForecastApproachingQuotaLimit</w:t>
      </w:r>
      <w:r>
        <w:t xml:space="preserve"> </w:t>
      </w:r>
      <w:r>
        <w:t xml:space="preserve">with a</w:t>
      </w:r>
      <w:r>
        <w:t xml:space="preserve"> </w:t>
      </w:r>
      <w:r>
        <w:rPr>
          <w:bCs/>
          <w:b/>
        </w:rPr>
        <w:t xml:space="preserve">14-day lead time</w:t>
      </w:r>
      <w:r>
        <w:t xml:space="preserve"> </w:t>
      </w:r>
      <w:r>
        <w:t xml:space="preserve">— enough for quota-increase processing.</w:t>
      </w:r>
      <w:r>
        <w:t xml:space="preserve"> </w:t>
      </w:r>
      <w:r>
        <w:rPr>
          <w:rStyle w:val="VerbatimChar"/>
        </w:rPr>
        <w:t xml:space="preserve">[Documented]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Auto-increase is approval-gated in Phase 1.</w:t>
      </w:r>
      <w:r>
        <w:t xml:space="preserve"> </w:t>
      </w:r>
      <w:r>
        <w:t xml:space="preserve">The trigger uses utilisation thresholds with</w:t>
      </w:r>
      <w:r>
        <w:t xml:space="preserve"> </w:t>
      </w:r>
      <w:r>
        <w:rPr>
          <w:bCs/>
          <w:b/>
        </w:rPr>
        <w:t xml:space="preserve">debounce/cooldown</w:t>
      </w:r>
      <w:r>
        <w:t xml:space="preserve"> </w:t>
      </w:r>
      <w:r>
        <w:t xml:space="preserve">to avoid thrashing; a</w:t>
      </w:r>
      <w:r>
        <w:t xml:space="preserve"> </w:t>
      </w:r>
      <w:r>
        <w:rPr>
          <w:rStyle w:val="VerbatimChar"/>
        </w:rPr>
        <w:t xml:space="preserve">CapacityIncreaseRequest</w:t>
      </w:r>
      <w:r>
        <w:t xml:space="preserve"> </w:t>
      </w:r>
      <w:r>
        <w:t xml:space="preserve">entity carries the full lifecycle (create → approve → execute → retry → cancel), and Phase 1 requires</w:t>
      </w:r>
      <w:r>
        <w:t xml:space="preserve"> </w:t>
      </w:r>
      <w:r>
        <w:rPr>
          <w:bCs/>
          <w:b/>
        </w:rPr>
        <w:t xml:space="preserve">operator approval</w:t>
      </w:r>
      <w:r>
        <w:t xml:space="preserve"> </w:t>
      </w:r>
      <w:r>
        <w:t xml:space="preserve">before execution.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Quota increases</w:t>
      </w:r>
      <w:r>
        <w:t xml:space="preserve"> </w:t>
      </w:r>
      <w:r>
        <w:t xml:space="preserve">are initiated via the Azure Support REST API (</w:t>
      </w:r>
      <w:r>
        <w:rPr>
          <w:rStyle w:val="VerbatimChar"/>
        </w:rPr>
        <w:t xml:space="preserve">Microsoft.Capacity/.../serviceLimits</w:t>
      </w:r>
      <w:r>
        <w:t xml:space="preserve">) — at group level where Quota Groups apply (see ADR-002) — subject to the same operator-approval gate.</w:t>
      </w:r>
      <w:r>
        <w:t xml:space="preserve"> </w:t>
      </w:r>
      <w:r>
        <w:rPr>
          <w:rStyle w:val="VerbatimChar"/>
        </w:rPr>
        <w:t xml:space="preserve">[Documented]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Mode isolation.</w:t>
      </w:r>
      <w:r>
        <w:t xml:space="preserve"> </w:t>
      </w:r>
      <w:r>
        <w:t xml:space="preserve">Auto-increase runs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STEADY_STATE</w:t>
      </w:r>
      <w:r>
        <w:t xml:space="preserve"> </w:t>
      </w:r>
      <w:r>
        <w:t xml:space="preserve">and is</w:t>
      </w:r>
      <w:r>
        <w:t xml:space="preserve"> </w:t>
      </w:r>
      <w:r>
        <w:rPr>
          <w:bCs/>
          <w:b/>
        </w:rPr>
        <w:t xml:space="preserve">suppressed during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DR_EVENT_ACTIVE</w:t>
      </w:r>
      <w:r>
        <w:t xml:space="preserve">, keeping organic growth strictly separate from crisis transfer (see ADR-003).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Non-destructive guarantee.</w:t>
      </w:r>
      <w:r>
        <w:t xml:space="preserve"> </w:t>
      </w:r>
      <w:r>
        <w:t xml:space="preserve">Increases only ever raise CR quantity or request more quota; guarded reduction (right-sizing) never drops a CR below its allocated count (the platform floor) and is itself approval-gated.</w:t>
      </w:r>
    </w:p>
    <w:bookmarkStart w:id="24" w:name="Xf1426b79a09c525d9ee2bfb22640520d79a16bd"/>
    <w:p>
      <w:pPr>
        <w:pStyle w:val="Heading4"/>
      </w:pPr>
      <w:r>
        <w:t xml:space="preserve">Steady-State Capacity Lifecycle (normative 10-step policy)</w:t>
      </w:r>
    </w:p>
    <w:p>
      <w:pPr>
        <w:pStyle w:val="FirstParagraph"/>
      </w:pPr>
      <w:r>
        <w:t xml:space="preserve">The steady-state increase runs strictly separate from DR crisis operations and follows a fixed sequence, with</w:t>
      </w:r>
      <w:r>
        <w:t xml:space="preserve"> </w:t>
      </w:r>
      <w:r>
        <w:rPr>
          <w:bCs/>
          <w:b/>
        </w:rPr>
        <w:t xml:space="preserve">no assumed quota-propagation SLA</w:t>
      </w:r>
      <w:r>
        <w:t xml:space="preserve">:</w:t>
      </w:r>
      <w:r>
        <w:t xml:space="preserve"> </w:t>
      </w:r>
      <w:r>
        <w:rPr>
          <w:rStyle w:val="VerbatimChar"/>
        </w:rPr>
        <w:t xml:space="preserve">[Documented]</w:t>
      </w:r>
    </w:p>
    <w:p>
      <w:pPr>
        <w:numPr>
          <w:ilvl w:val="0"/>
          <w:numId w:val="1002"/>
        </w:numPr>
        <w:pStyle w:val="Compact"/>
      </w:pPr>
      <w:r>
        <w:t xml:space="preserve">Detect threshold crossing.</w:t>
      </w:r>
    </w:p>
    <w:p>
      <w:pPr>
        <w:numPr>
          <w:ilvl w:val="0"/>
          <w:numId w:val="1002"/>
        </w:numPr>
        <w:pStyle w:val="Compact"/>
      </w:pPr>
      <w:r>
        <w:t xml:space="preserve">Re-read current CR, quota, sharing, and assignment state.</w:t>
      </w:r>
    </w:p>
    <w:p>
      <w:pPr>
        <w:numPr>
          <w:ilvl w:val="0"/>
          <w:numId w:val="1002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CapacityIncreaseRequest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Calculate target quantity (</w:t>
      </w:r>
      <w:r>
        <w:rPr>
          <w:rStyle w:val="VerbatimChar"/>
        </w:rPr>
        <w:t xml:space="preserve">Forecast_Quantity</w:t>
      </w:r>
      <w:r>
        <w:t xml:space="preserve"> </w:t>
      </w:r>
      <w:r>
        <w:t xml:space="preserve">formula above).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Require operator approval (Phase 1).</w:t>
      </w:r>
    </w:p>
    <w:p>
      <w:pPr>
        <w:numPr>
          <w:ilvl w:val="0"/>
          <w:numId w:val="1002"/>
        </w:numPr>
        <w:pStyle w:val="Compact"/>
      </w:pPr>
      <w:r>
        <w:t xml:space="preserve">Submit the quota action only if validated as required.</w:t>
      </w:r>
    </w:p>
    <w:p>
      <w:pPr>
        <w:numPr>
          <w:ilvl w:val="0"/>
          <w:numId w:val="1002"/>
        </w:numPr>
        <w:pStyle w:val="Compact"/>
      </w:pPr>
      <w:r>
        <w:t xml:space="preserve">Wait for confirmed quota state</w:t>
      </w:r>
      <w:r>
        <w:t xml:space="preserve"> </w:t>
      </w:r>
      <w:r>
        <w:rPr>
          <w:bCs/>
          <w:b/>
        </w:rPr>
        <w:t xml:space="preserve">without assuming a propagation SLA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Update CR quantity.</w:t>
      </w:r>
    </w:p>
    <w:p>
      <w:pPr>
        <w:numPr>
          <w:ilvl w:val="0"/>
          <w:numId w:val="1002"/>
        </w:numPr>
        <w:pStyle w:val="Compact"/>
      </w:pPr>
      <w:r>
        <w:t xml:space="preserve">Confirm the actual quantity.</w:t>
      </w:r>
    </w:p>
    <w:p>
      <w:pPr>
        <w:numPr>
          <w:ilvl w:val="0"/>
          <w:numId w:val="1002"/>
        </w:numPr>
        <w:pStyle w:val="Compact"/>
      </w:pPr>
      <w:r>
        <w:t xml:space="preserve">Refresh the snapshot and close the request.</w:t>
      </w:r>
    </w:p>
    <w:p>
      <w:pPr>
        <w:pStyle w:val="CaptionedFigure"/>
      </w:pPr>
      <w:r>
        <w:drawing>
          <wp:inline>
            <wp:extent cx="5334000" cy="24080304"/>
            <wp:effectExtent b="0" l="0" r="0" t="0"/>
            <wp:docPr descr="Figure 1. Ten-step steady-state capacity-increase lifecycle, running only in STEADY_STATE behind an operator-approval gate." title="" id="22" name="Picture"/>
            <a:graphic>
              <a:graphicData uri="http://schemas.openxmlformats.org/drawingml/2006/picture">
                <pic:pic>
                  <pic:nvPicPr>
                    <pic:cNvPr descr="diagrams/adr004_lifecycl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80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1.</w:t>
      </w:r>
      <w:r>
        <w:t xml:space="preserve"> </w:t>
      </w:r>
      <w:r>
        <w:t xml:space="preserve">Ten-step steady-state capacity-increase lifecycle, running only in STEADY_STATE behind an operator-approval gate.</w:t>
      </w:r>
    </w:p>
    <w:bookmarkEnd w:id="24"/>
    <w:bookmarkStart w:id="25" w:name="auto-decrease-exclusion"/>
    <w:p>
      <w:pPr>
        <w:pStyle w:val="Heading4"/>
      </w:pPr>
      <w:r>
        <w:t xml:space="preserve">Auto-Decrease Exclusion</w:t>
      </w:r>
    </w:p>
    <w:p>
      <w:pPr>
        <w:pStyle w:val="FirstParagraph"/>
      </w:pPr>
      <w:r>
        <w:t xml:space="preserve">Auto-decrease is</w:t>
      </w:r>
      <w:r>
        <w:t xml:space="preserve"> </w:t>
      </w:r>
      <w:r>
        <w:rPr>
          <w:bCs/>
          <w:b/>
        </w:rPr>
        <w:t xml:space="preserve">excluded from Phase 1</w:t>
      </w:r>
      <w:r>
        <w:t xml:space="preserve">: it can remove future capacity and interact with running VMs. Right-sizing down remains operator-driven and guarded by the platform floor (never below allocated count).</w:t>
      </w:r>
      <w:r>
        <w:t xml:space="preserve"> </w:t>
      </w:r>
      <w:r>
        <w:rPr>
          <w:rStyle w:val="VerbatimChar"/>
        </w:rPr>
        <w:t xml:space="preserve">[Documented]</w:t>
      </w:r>
    </w:p>
    <w:bookmarkEnd w:id="25"/>
    <w:bookmarkStart w:id="26" w:name="forecast-advisory-posture"/>
    <w:p>
      <w:pPr>
        <w:pStyle w:val="Heading4"/>
      </w:pPr>
      <w:r>
        <w:t xml:space="preserve">Forecast Advisory Posture</w:t>
      </w:r>
    </w:p>
    <w:p>
      <w:pPr>
        <w:pStyle w:val="FirstParagraph"/>
      </w:pPr>
      <w:r>
        <w:t xml:space="preserve">Forecast recommendations stay</w:t>
      </w:r>
      <w:r>
        <w:t xml:space="preserve"> </w:t>
      </w:r>
      <w:r>
        <w:rPr>
          <w:bCs/>
          <w:b/>
        </w:rPr>
        <w:t xml:space="preserve">advisory until model accuracy and false-positive rates are measured</w:t>
      </w:r>
      <w:r>
        <w:t xml:space="preserve">; the horizon is 30/60/90 days and</w:t>
      </w:r>
      <w:r>
        <w:t xml:space="preserve"> </w:t>
      </w:r>
      <w:r>
        <w:rPr>
          <w:rStyle w:val="VerbatimChar"/>
        </w:rPr>
        <w:t xml:space="preserve">Growth_Buffer</w:t>
      </w:r>
      <w:r>
        <w:t xml:space="preserve">/</w:t>
      </w:r>
      <w:r>
        <w:rPr>
          <w:rStyle w:val="VerbatimChar"/>
        </w:rPr>
        <w:t xml:space="preserve">DR_Buffer</w:t>
      </w:r>
      <w:r>
        <w:t xml:space="preserve"> </w:t>
      </w:r>
      <w:r>
        <w:t xml:space="preserve">are policy percentages, not fixed constants.</w:t>
      </w:r>
      <w:r>
        <w:t xml:space="preserve"> </w:t>
      </w:r>
      <w:r>
        <w:rPr>
          <w:rStyle w:val="VerbatimChar"/>
        </w:rPr>
        <w:t xml:space="preserve">[Documented]</w:t>
      </w:r>
    </w:p>
    <w:bookmarkEnd w:id="26"/>
    <w:bookmarkEnd w:id="27"/>
    <w:bookmarkStart w:id="28" w:name="consequences"/>
    <w:p>
      <w:pPr>
        <w:pStyle w:val="Heading3"/>
      </w:pPr>
      <w:r>
        <w:t xml:space="preserve">Consequences</w:t>
      </w:r>
    </w:p>
    <w:p>
      <w:pPr>
        <w:pStyle w:val="FirstParagraph"/>
      </w:pPr>
      <w:r>
        <w:rPr>
          <w:bCs/>
          <w:b/>
        </w:rPr>
        <w:t xml:space="preserve">Positive:</w:t>
      </w:r>
      <w:r>
        <w:t xml:space="preserve"> </w:t>
      </w:r>
      <w:r>
        <w:t xml:space="preserve">- Capacity grows ahead of demand with sufficient lead time for quota approvals — reducing capacity-exhaustion incidents.</w:t>
      </w:r>
      <w:r>
        <w:t xml:space="preserve"> </w:t>
      </w:r>
      <w:r>
        <w:t xml:space="preserve">- The debounce/cooldown and approval gate prevent runaway or thrashing increases.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CapacityIncreaseRequest</w:t>
      </w:r>
      <w:r>
        <w:t xml:space="preserve"> </w:t>
      </w:r>
      <w:r>
        <w:t xml:space="preserve">gives a fully auditable, retryable, cancellable growth workflow.</w:t>
      </w:r>
      <w:r>
        <w:t xml:space="preserve"> </w:t>
      </w:r>
      <w:r>
        <w:t xml:space="preserve">- Right-sizing recovers cost from over-reserved CRs without risking allocated VMs.</w:t>
      </w:r>
    </w:p>
    <w:p>
      <w:pPr>
        <w:pStyle w:val="BodyText"/>
      </w:pPr>
      <w:r>
        <w:rPr>
          <w:bCs/>
          <w:b/>
        </w:rPr>
        <w:t xml:space="preserve">Negative / trade-offs:</w:t>
      </w:r>
      <w:r>
        <w:t xml:space="preserve"> </w:t>
      </w:r>
      <w:r>
        <w:t xml:space="preserve">- Approval-gated in Phase 1 means growth is not instantaneous — acceptable because Emergency Transfer (see ADR-003) covers crisis speed.</w:t>
      </w:r>
      <w:r>
        <w:t xml:space="preserve"> </w:t>
      </w:r>
      <w:r>
        <w:t xml:space="preserve">- Forecast accuracy depends on history; workload-tagged per-workload forecasts are only partially covered.</w:t>
      </w:r>
      <w:r>
        <w:t xml:space="preserve"> </w:t>
      </w:r>
      <w:r>
        <w:t xml:space="preserve">- Threshold, buffer, and cooldown values are empirical and require tuning during the pilot; SLA/propagation times are measured, not invented.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CapacityIncreaseRequest</w:t>
      </w:r>
      <w:r>
        <w:t xml:space="preserve"> </w:t>
      </w:r>
      <w:r>
        <w:t xml:space="preserve">lifecycle (entity, approval, retry, cancellation) is still a backlog item requiring an end-to-end approved-increase test.</w:t>
      </w:r>
    </w:p>
    <w:bookmarkEnd w:id="28"/>
    <w:bookmarkStart w:id="29" w:name="alternatives-considered"/>
    <w:p>
      <w:pPr>
        <w:pStyle w:val="Heading3"/>
      </w:pPr>
      <w:r>
        <w:t xml:space="preserve">Alternatives Considered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Fully autonomous auto-increase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 human control over material cost/quota changes; unacceptable in Phase 1.</w:t>
            </w:r>
            <w:r>
              <w:t xml:space="preserve"> </w:t>
            </w:r>
            <w:r>
              <w:rPr>
                <w:rStyle w:val="VerbatimChar"/>
              </w:rPr>
              <w:t xml:space="preserve">[Documented]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Auto-increase escalating into emergency 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Conflates growth with crisis response; could run emergency ops without a DR declaration.</w:t>
            </w:r>
            <w:r>
              <w:t xml:space="preserve"> </w:t>
            </w:r>
            <w:r>
              <w:rPr>
                <w:rStyle w:val="VerbatimChar"/>
              </w:rPr>
              <w:t xml:space="preserve">[Decided]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Fixed-timer cooldown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 adaptive than recovering the budget incrementally using observed success rates.</w:t>
            </w:r>
            <w:r>
              <w:t xml:space="preserve"> </w:t>
            </w:r>
            <w:r>
              <w:rPr>
                <w:rStyle w:val="VerbatimChar"/>
              </w:rPr>
              <w:t xml:space="preserve">[Assumed]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lead-time alerting (react on exhaustion)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approvals take too long; reacting at exhaustion guarantees deployment failures.</w:t>
            </w:r>
            <w:r>
              <w:t xml:space="preserve"> </w:t>
            </w:r>
            <w:r>
              <w:rPr>
                <w:rStyle w:val="VerbatimChar"/>
              </w:rPr>
              <w:t xml:space="preserve">[Documented]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Sizing without a DR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Under-reserves relative to DR obligations; the formula includes an explicit</w:t>
            </w:r>
            <w:r>
              <w:t xml:space="preserve"> </w:t>
            </w:r>
            <w:r>
              <w:rPr>
                <w:rStyle w:val="VerbatimChar"/>
              </w:rPr>
              <w:t xml:space="preserve">DR_Buffer</w:t>
            </w:r>
            <w:r>
              <w:t xml:space="preserve"> </w:t>
            </w:r>
            <w:r>
              <w:t xml:space="preserve">term.</w:t>
            </w:r>
            <w:r>
              <w:t xml:space="preserve"> </w:t>
            </w:r>
            <w:r>
              <w:rPr>
                <w:rStyle w:val="VerbatimChar"/>
              </w:rPr>
              <w:t xml:space="preserve">[Documented]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9"/>
    <w:bookmarkStart w:id="30" w:name="appendix-adr-summary"/>
    <w:p>
      <w:pPr>
        <w:pStyle w:val="Heading2"/>
      </w:pPr>
      <w:r>
        <w:t xml:space="preserve">Appendix — ADR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Constraints Applied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Open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ADR-004 Forecast &amp; Increase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HC-3 (at execution)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Workload-tagged forecasts;</w:t>
            </w:r>
            <w:r>
              <w:t xml:space="preserve"> </w:t>
            </w:r>
            <w:r>
              <w:rPr>
                <w:rStyle w:val="VerbatimChar"/>
              </w:rPr>
              <w:t xml:space="preserve">CapacityIncreaseRequest</w:t>
            </w:r>
            <w:r>
              <w:t xml:space="preserve"> </w:t>
            </w:r>
            <w:r>
              <w:t xml:space="preserve">lifecycle end-to-end test</w:t>
            </w:r>
          </w:p>
        </w:tc>
      </w:tr>
    </w:tbl>
    <w:bookmarkEnd w:id="30"/>
    <w:bookmarkStart w:id="31" w:name="appendix-status-legend"/>
    <w:p>
      <w:pPr>
        <w:pStyle w:val="Heading2"/>
      </w:pPr>
      <w:r>
        <w:t xml:space="preserve">Appendix — Status Legend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discussion; not yet ratified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Ratified and in force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Deprecated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longer recommended but not yet replaced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Superseded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 by a later ADR</w:t>
            </w:r>
          </w:p>
        </w:tc>
      </w:tr>
    </w:tbl>
    <w:bookmarkEnd w:id="31"/>
    <w:bookmarkStart w:id="32" w:name="appendix-evidence-tag-taxonomy"/>
    <w:p>
      <w:pPr>
        <w:pStyle w:val="Heading2"/>
      </w:pPr>
      <w:r>
        <w:t xml:space="preserve">Appendix — Evidence Tag Taxonomy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[Documented]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Traceable to Azure platform behaviour or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[Decided]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explicit ACRME design choice recorded in this ADR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[Derived]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logical consequence of a documented constraint or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[Assumed]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Architectural judgement pending proof-of-concept validation</w:t>
            </w:r>
          </w:p>
        </w:tc>
      </w:tr>
    </w:tbl>
    <w:bookmarkEnd w:id="32"/>
    <w:bookmarkStart w:id="33" w:name="related-adrs"/>
    <w:p>
      <w:pPr>
        <w:pStyle w:val="Heading2"/>
      </w:pPr>
      <w:r>
        <w:t xml:space="preserve">Related ADRs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ADR-001 — Region Selection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acrme_adr_001_region_selection.md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ADR-002 — Quota and Capacity Management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acrme_adr_002_quota_and_capacity_management.md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ADR-003 — Capacity Management during Disaster Recovery (DR)</w:t>
      </w:r>
      <w:r>
        <w:t xml:space="preserve"> </w:t>
      </w:r>
      <w:r>
        <w:t xml:space="preserve">(</w:t>
      </w:r>
      <w:r>
        <w:rPr>
          <w:rStyle w:val="VerbatimChar"/>
        </w:rPr>
        <w:t xml:space="preserve">acrme_adr_003_capacity_management_during_dr.md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Status:</w:t>
      </w:r>
      <w:r>
        <w:t xml:space="preserve"> </w:t>
      </w:r>
      <w:r>
        <w:t xml:space="preserve">Accepted</w:t>
      </w:r>
      <w:r>
        <w:br/>
      </w:r>
      <w:r>
        <w:rPr>
          <w:bCs/>
          <w:b/>
        </w:rPr>
        <w:t xml:space="preserve">Next Review:</w:t>
      </w:r>
      <w:r>
        <w:t xml:space="preserve"> </w:t>
      </w:r>
      <w:r>
        <w:t xml:space="preserve">After proof-of-concept validation of Azure Quota Groups GA and quota-release latency, and on resolution of the consumer-credential model and engine-mode state-machine items.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2026-08-27T11:37:47Z</dcterms:created>
  <dcterms:modified xsi:type="dcterms:W3CDTF">2026-08-27T11:37:47Z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