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3b65f5e4429a488015b471a093ad2c39bf14e2d"/>
    <w:p>
      <w:pPr>
        <w:pStyle w:val="Heading1"/>
      </w:pPr>
      <w:r>
        <w:t xml:space="preserve">ACRME Calculation Logic Reference — All Scenarios (v2.2)</w:t>
      </w:r>
    </w:p>
    <w:p>
      <w:pPr>
        <w:pStyle w:val="BlockText"/>
      </w:pPr>
      <w:r>
        <w:rPr>
          <w:bCs/>
          <w:b/>
        </w:rPr>
        <w:t xml:space="preserve">Revision v2.2 — 27 August 2026.</w:t>
      </w:r>
      <w:r>
        <w:t xml:space="preserve"> </w:t>
      </w:r>
      <w:r>
        <w:t xml:space="preserve">This document supersedes the previous calculation logic reference. Key changes in v2.2: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sizing formula replaced</w:t>
      </w:r>
      <w:r>
        <w:t xml:space="preserve">: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percentage approach (v1) is superseded by the</w:t>
      </w:r>
      <w:r>
        <w:t xml:space="preserve"> </w:t>
      </w:r>
      <w:r>
        <w:rPr>
          <w:bCs/>
          <w:b/>
        </w:rPr>
        <w:t xml:space="preserve">max-not-sum distributed-portion formula</w:t>
      </w:r>
      <w:r>
        <w:t xml:space="preserve"> </w:t>
      </w:r>
      <w:r>
        <w:t xml:space="preserve">(Requirements v2.1 Appendix A.6 / Appendix 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Reservation target floor formula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Allocated VM Count + Configured Buffer</w:t>
      </w:r>
      <w:r>
        <w:t xml:space="preserve"> </w:t>
      </w:r>
      <w:r>
        <w:t xml:space="preserve">(CAP-003),</w:t>
      </w:r>
      <w:r>
        <w:t xml:space="preserve"> </w:t>
      </w:r>
      <w:r>
        <w:t xml:space="preserve">distinct from the forecast-based growth formula.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Four new scenarios added</w:t>
      </w:r>
      <w:r>
        <w:t xml:space="preserve">: DR destination requirement (max-not-sum), standby activation,</w:t>
      </w:r>
      <w:r>
        <w:t xml:space="preserve"> </w:t>
      </w:r>
      <w:r>
        <w:t xml:space="preserve">deployment readiness gate, and customer seed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EU cross-geo DR region corrected</w:t>
      </w:r>
      <w:r>
        <w:t xml:space="preserve">: Belgium Central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throughout.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Quota grouping model updated (QUA-004)</w:t>
      </w:r>
      <w:r>
        <w:t xml:space="preserve">: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per region/quota family</w:t>
      </w:r>
      <w:r>
        <w:t xml:space="preserve"> </w:t>
      </w:r>
      <w:r>
        <w:t xml:space="preserve">(Prod + NonProd/CVAL + DR together) is now the</w:t>
      </w:r>
      <w:r>
        <w:t xml:space="preserve"> </w:t>
      </w:r>
      <w:r>
        <w:rPr>
          <w:bCs/>
          <w:b/>
        </w:rPr>
        <w:t xml:space="preserve">primary model</w:t>
      </w:r>
      <w:r>
        <w:t xml:space="preserve">; Prod/DR protected by logical</w:t>
      </w:r>
      <w:r>
        <w:t xml:space="preserve"> </w:t>
      </w:r>
      <w:r>
        <w:t xml:space="preserve">earmarks. The two-group topology is retained only as a narrow governance/Azure-limit exception</w:t>
      </w:r>
      <w:r>
        <w:t xml:space="preserve"> </w:t>
      </w:r>
      <w:r>
        <w:t xml:space="preserve">(Scenario 8/9 updated accordingly).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Scenario 15</w:t>
      </w:r>
      <w:r>
        <w:t xml:space="preserve"> </w:t>
      </w:r>
      <w:r>
        <w:t xml:space="preserve">(fixed DR ratio parameters) retained for reference but marked</w:t>
      </w:r>
      <w:r>
        <w:t xml:space="preserve"> </w:t>
      </w:r>
      <w:r>
        <w:rPr>
          <w:bCs/>
          <w:b/>
        </w:rPr>
        <w:t xml:space="preserve">superseded</w:t>
      </w:r>
      <w:r>
        <w:t xml:space="preserve">.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carries an</w:t>
      </w:r>
      <w:r>
        <w:t xml:space="preserve"> </w:t>
      </w:r>
      <w:r>
        <w:t xml:space="preserve">evidence tag: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ADR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Requirements Baseline v2.1/v2.2 (Appendix A–D); ADR-001 through ADR-004 v1.2;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§26–§32).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exception path</w:t>
            </w:r>
            <w:r>
              <w:t xml:space="preserve">; explicit approval + customer acknowledgement required)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supplies the</w:t>
            </w:r>
            <w:r>
              <w:t xml:space="preserve"> </w:t>
            </w:r>
            <w:r>
              <w:rPr>
                <w:bCs/>
                <w:b/>
              </w:rPr>
              <w:t xml:space="preserve">exact region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default input</w:t>
            </w:r>
            <w:r>
              <w:t xml:space="preserve">; ACRME validates, does not derive)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three-region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in-geo +</w:t>
            </w:r>
            <w:r>
              <w:t xml:space="preserve"> </w:t>
            </w: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 (fixed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 by Scenario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target &amp; reconciliation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VM Count + Buffer</w:t>
            </w:r>
            <w:r>
              <w:t xml:space="preserve"> </w:t>
            </w:r>
            <w:r>
              <w:t xml:space="preserve">(CAP-003)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destination requirement — max-not-sum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 per destination)</w:t>
            </w:r>
            <w:r>
              <w:t xml:space="preserve"> </w:t>
            </w:r>
            <w:r>
              <w:t xml:space="preserve">(A.6)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Standby activation (DR-019)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associated → allocated</w:t>
            </w:r>
            <w:r>
              <w:t xml:space="preserve"> </w:t>
            </w:r>
            <w:r>
              <w:t xml:space="preserve">staged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 / QUOTA_DEFICIT / STALE_STATE / …</w:t>
            </w:r>
            <w:r>
              <w:t xml:space="preserve"> </w:t>
            </w:r>
            <w:r>
              <w:t xml:space="preserve">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placement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First-placement persistence + reuse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p>
      <w:pPr>
        <w:pStyle w:val="FirstParagraph"/>
      </w:pPr>
      <w:r>
        <w:t xml:space="preserve">All five weights are tunable policy constants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</w:t>
      </w:r>
      <w:r>
        <w:t xml:space="preserve"> </w:t>
      </w:r>
      <w:r>
        <w:t xml:space="preserve">They sum to exactly 1.0 and apply across all three environment scoring formulas.</w:t>
      </w:r>
      <w:r>
        <w:t xml:space="preserve"> </w:t>
      </w:r>
      <w:r>
        <w:rPr>
          <w:rStyle w:val="VerbatimChar"/>
        </w:rPr>
        <w:t xml:space="preserve">[Assumed]</w:t>
      </w:r>
    </w:p>
    <w:bookmarkEnd w:id="21"/>
    <w:bookmarkStart w:id="22" w:name="X3cc1aed25001fc65453c48f5cb86688dfb22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2"/>
    <w:bookmarkStart w:id="23" w:name="key-formula-disambiguation"/>
    <w:p>
      <w:pPr>
        <w:pStyle w:val="Heading3"/>
      </w:pPr>
      <w:r>
        <w:t xml:space="preserve">Key formula disambiguation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+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reconciliation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 = ceil(Peak × (1+Growth)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growth ahead of demand (Scenario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 DR Requirement(d) = 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A.6 /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(Scenario 15) — configuration reference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6" w:name="X78430263a8ee2dcc888d57672b709789d776cf0"/>
    <w:p>
      <w:pPr>
        <w:pStyle w:val="Heading2"/>
      </w:pPr>
      <w:r>
        <w:t xml:space="preserve">Scenario 1 — Prod Region Derivation (Customer Chooses a Geography)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</w:t>
      </w:r>
      <w:r>
        <w:br/>
      </w:r>
      <w:r>
        <w:rPr>
          <w:bCs/>
          <w:b/>
        </w:rPr>
        <w:t xml:space="preserve">Status: Exception path — not the default (PLC-002).</w:t>
      </w:r>
      <w:r>
        <w:t xml:space="preserve"> </w:t>
      </w:r>
      <w:r>
        <w:t xml:space="preserve">Requires explicit exception approval and</w:t>
      </w:r>
      <w:r>
        <w:t xml:space="preserve"> </w:t>
      </w:r>
      <w:r>
        <w:t xml:space="preserve">customer acknowledgement that the</w:t>
      </w:r>
      <w:r>
        <w:t xml:space="preserve"> </w:t>
      </w:r>
      <w:r>
        <w:rPr>
          <w:bCs/>
          <w:b/>
        </w:rPr>
        <w:t xml:space="preserve">derived production region becomes fixed until an approved migration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seed</w:t>
      </w:r>
      <w:r>
        <w:t xml:space="preserve">. Cannot be invoked without a recorded exception reference.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Score every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geography; also the cold-start default when no snapshot exists.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Run sequential CVAL → DR selection (Scenarios 5 &amp; 6) on the same Standard region pool.</w:t>
      </w:r>
    </w:p>
    <w:bookmarkStart w:id="25" w:name="ps_prodr-decided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signal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derives the Prod region in Scenario 1 and is reused for post-selection</w:t>
      </w:r>
      <w:r>
        <w:t xml:space="preserve"> </w:t>
      </w:r>
      <w:r>
        <w:t xml:space="preserve">validation in Scenario 2. Every candidate score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136628e22d047b29bae01e0c79707a08338990"/>
    <w:p>
      <w:pPr>
        <w:pStyle w:val="Heading2"/>
      </w:pPr>
      <w:r>
        <w:t xml:space="preserve">Scenario 2 — Prod Region Validation (Customer Supplies a Specific 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input mode (PLC-001).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the supplied region against HC-1..HC-10 and placement-policy rules;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derive a region from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 HC-1..HC-10 (Scenario 7). If eligible, it becomes the</w:t>
      </w:r>
      <w:r>
        <w:t xml:space="preserve"> </w:t>
      </w:r>
      <w:r>
        <w:t xml:space="preserve">Prod anchor directly.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computed for post-selection validation/audit only, not for selection.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 not score — route to the Exception Deployment Workflow (Scenario 3).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here. The customer’s choice is authoritative once it passes the hard constraints.</w:t>
      </w:r>
      <w:r>
        <w:t xml:space="preserve"> </w:t>
      </w:r>
      <w:r>
        <w:t xml:space="preserve">The first approved placement writes the</w:t>
      </w:r>
      <w:r>
        <w:t xml:space="preserve"> </w:t>
      </w:r>
      <w:r>
        <w:rPr>
          <w:bCs/>
          <w:b/>
        </w:rPr>
        <w:t xml:space="preserve">Customer Seed Record</w:t>
      </w:r>
      <w:r>
        <w:t xml:space="preserve"> </w:t>
      </w:r>
      <w:r>
        <w:t xml:space="preserve">(Scenario 20).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7"/>
    <w:bookmarkStart w:id="28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or only feasible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t xml:space="preserve">no scoring formula is evaluated. The request diverts to the manual Exception Deployment</w:t>
      </w:r>
      <w:r>
        <w:t xml:space="preserve"> </w:t>
      </w:r>
      <w:r>
        <w:t xml:space="preserve">Workflow (governance approval, EC-1..EC-4, VR-1..VR-11, HC-9/HC-10 controls). Restricted regions</w:t>
      </w:r>
      <w:r>
        <w:t xml:space="preserve"> </w:t>
      </w:r>
      <w:r>
        <w:t xml:space="preserve">never enter the scoring pipeline.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requires the specific restricted region by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Standard region in the geography can supply sufficient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Data-residency requirement binds to the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 — restricted regions can never be engine-derived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e61e3cacba9a44c6d5084e954b5fced851a3f92"/>
    <w:p>
      <w:pPr>
        <w:pStyle w:val="Heading2"/>
      </w:pPr>
      <w:r>
        <w:t xml:space="preserve">Scenario 4 — Middle East Three-Region Deployment (Updated — Switzerland North)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three environments.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 Central, UAE North }   (both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cross-geo extension region: Switzerland North (Europe)</w:t>
      </w:r>
      <w:r>
        <w:br/>
      </w:r>
      <w:r>
        <w:rPr>
          <w:rStyle w:val="VerbatimChar"/>
        </w:rPr>
        <w:t xml:space="preserve">           because no third in-geo Standard region exists to satisfy region separation.</w:t>
      </w:r>
    </w:p>
    <w:p>
      <w:pPr>
        <w:pStyle w:val="BlockText"/>
      </w:pPr>
      <w:r>
        <w:rPr>
          <w:bCs/>
          <w:b/>
        </w:rPr>
        <w:t xml:space="preserve">v2.2 correction (REG-002):</w:t>
      </w:r>
      <w:r>
        <w:t xml:space="preserve"> </w:t>
      </w:r>
      <w:r>
        <w:t xml:space="preserve">The cross-geo DR extension region was incorrectly cited as</w:t>
      </w:r>
      <w:r>
        <w:t xml:space="preserve"> </w:t>
      </w:r>
      <w:r>
        <w:t xml:space="preserve">“</w:t>
      </w:r>
      <w:r>
        <w:t xml:space="preserve">Belgium Central</w:t>
      </w:r>
      <w:r>
        <w:t xml:space="preserve">”</w:t>
      </w:r>
      <w:r>
        <w:t xml:space="preserve"> </w:t>
      </w:r>
      <w:r>
        <w:t xml:space="preserve">in earlier material. The authoritative placement configuration specifies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cross-geo extension for Middle East. All references to Belgium Central</w:t>
      </w:r>
      <w:r>
        <w:t xml:space="preserve"> </w:t>
      </w:r>
      <w:r>
        <w:t xml:space="preserve">are superseded by Switzerland North.</w:t>
      </w:r>
    </w:p>
    <w:p>
      <w:pPr>
        <w:pStyle w:val="FirstParagraph"/>
      </w:pPr>
      <w:r>
        <w:t xml:space="preserve">Middle East is subject to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policy flag (DR-014) where legal/data-sovereignty</w:t>
      </w:r>
      <w:r>
        <w:t xml:space="preserve"> </w:t>
      </w:r>
      <w:r>
        <w:t xml:space="preserve">prevents an acceptable DR design. When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for the geography, Step 5 above is</w:t>
      </w:r>
      <w:r>
        <w:t xml:space="preserve"> </w:t>
      </w:r>
      <w:r>
        <w:t xml:space="preserve">bypassed and the seed record records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Cross-geo extension constraints from ADR-001 apply to the DR region (Switzerland North).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9"/>
    <w:bookmarkStart w:id="32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</w:t>
      </w:r>
    </w:p>
    <w:bookmarkStart w:id="30" w:name="ps_nonprodr-design-of-record-decided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design-of-record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0"/>
    <w:bookmarkStart w:id="31" w:name="X1e98a112afb717e496ef6072aa82669d221f424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pStyle w:val="FirstParagraph"/>
      </w:pPr>
      <w:r>
        <w:t xml:space="preserve">The design-of-record above duplicates the same signal under α and δ (combined weight 0.45). The PRR’s</w:t>
      </w:r>
      <w:r>
        <w:t xml:space="preserve"> </w:t>
      </w:r>
      <w:r>
        <w:t xml:space="preserve">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× Capacity + 0.25 × Quota + 0.25 × Distribution</w:t>
      </w:r>
      <w:r>
        <w:br/>
      </w:r>
      <w:r>
        <w:rPr>
          <w:rStyle w:val="VerbatimChar"/>
        </w:rPr>
        <w:t xml:space="preserve">           + 0.05 × DR_Overflow_Integrity + 0.10 ×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</w:t>
      </w:r>
    </w:p>
    <w:p>
      <w:pPr>
        <w:pStyle w:val="FirstParagraph"/>
      </w:pPr>
      <w:r>
        <w:t xml:space="preserve">Both variants are recorded. The design-of-record formula is the approved baseline; the pilot variant is</w:t>
      </w:r>
      <w:r>
        <w:t xml:space="preserve"> </w:t>
      </w:r>
      <w:r>
        <w:t xml:space="preserve">the reviewer-recommended refinement. Neither is empirically validated yet.</w:t>
      </w:r>
    </w:p>
    <w:p>
      <w:pPr>
        <w:pStyle w:val="BodyText"/>
      </w:pPr>
      <w:r>
        <w:rPr>
          <w:bCs/>
          <w:b/>
        </w:rPr>
        <w:t xml:space="preserve">CVAL/DR co-location rule (PLC-010):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co-locate in the same destination</w:t>
      </w:r>
      <w:r>
        <w:t xml:space="preserve"> </w:t>
      </w:r>
      <w:r>
        <w:t xml:space="preserve">region. When co-located, CVAL capacity earmarked for DR activation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double-counted as both</w:t>
      </w:r>
      <w:r>
        <w:t xml:space="preserve"> </w:t>
      </w:r>
      <w:r>
        <w:t xml:space="preserve">live CVAL headroom and available DR headroom. 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tracks this.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Middle East).</w:t>
      </w:r>
    </w:p>
    <w:bookmarkStart w:id="33" w:name="ps_drr-decided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Note on δ: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in the PS_DR formula is now a</w:t>
      </w:r>
      <w:r>
        <w:t xml:space="preserve"> </w:t>
      </w:r>
      <w:r>
        <w:rPr>
          <w:bCs/>
          <w:b/>
        </w:rPr>
        <w:t xml:space="preserve">configurable bootstrap reference</w:t>
      </w:r>
      <w:r>
        <w:t xml:space="preserve"> </w:t>
      </w:r>
      <w:r>
        <w:t xml:space="preserve">rather than a fixed 30–40% constant. See Scenario 17 for the authoritative DR sizing formula.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</w:p>
    <w:bookmarkStart w:id="35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5"/>
    <w:bookmarkStart w:id="36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6"/>
    <w:bookmarkStart w:id="37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emit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 severity).</w:t>
      </w:r>
    </w:p>
    <w:bookmarkEnd w:id="37"/>
    <w:bookmarkStart w:id="38" w:name="minimum-headroom-policy-defaults-decided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</w:t>
      </w:r>
      <w:r>
        <w:t xml:space="preserve"> </w:t>
      </w:r>
      <w:r>
        <w:t xml:space="preserve">NonProd/CVAL, and DR together. Prod and DR are protected inside the shared pool by logical earmarks,</w:t>
      </w:r>
      <w:r>
        <w:t xml:space="preserve"> </w:t>
      </w:r>
      <w:r>
        <w:t xml:space="preserve">not by physical group separation.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  Prod_CRG_quantity     × vCPU × (1 + prod_growth_buffer)</w:t>
      </w:r>
      <w:r>
        <w:br/>
      </w:r>
      <w:r>
        <w:rPr>
          <w:rStyle w:val="VerbatimChar"/>
        </w:rPr>
        <w:t xml:space="preserve">    + NonProd_CRG_quantity  × vCPU × (1 + nonprod_growth_buffer)</w:t>
      </w:r>
      <w:r>
        <w:br/>
      </w:r>
      <w:r>
        <w:rPr>
          <w:rStyle w:val="VerbatimChar"/>
        </w:rPr>
        <w:t xml:space="preserve">    + DR_Earmark_vCPU(region)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prod_growth_buffer               = 0.20</w:t>
      </w:r>
      <w:r>
        <w:br/>
      </w:r>
      <w:r>
        <w:rPr>
          <w:rStyle w:val="VerbatimChar"/>
        </w:rPr>
        <w:t xml:space="preserve">nonprod_growth_buffer            = 0.20</w:t>
      </w:r>
      <w:r>
        <w:br/>
      </w:r>
      <w:r>
        <w:rPr>
          <w:rStyle w:val="VerbatimChar"/>
        </w:rPr>
        <w:t xml:space="preserve">DR_Earmark_vCPU(region)          = Destination_DR_Requirement(region) × vCPU   [max-not-sum, Scenario 17]</w:t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</w:t>
      </w:r>
      <w:r>
        <w:br/>
      </w:r>
      <w:r>
        <w:rPr>
          <w:rStyle w:val="VerbatimChar"/>
        </w:rPr>
        <w:t xml:space="preserve">emergency_transfer_pct           = 0.30</w:t>
      </w:r>
    </w:p>
    <w:p>
      <w:pPr>
        <w:pStyle w:val="FirstParagraph"/>
      </w:pPr>
      <w:r>
        <w:t xml:space="preserve">Because Prod, NonProd/CVAL, and DR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:</w:t>
      </w:r>
      <w:r>
        <w:t xml:space="preserve"> </w:t>
      </w:r>
      <w:r>
        <w:t xml:space="preserve">the DR orchestrator consumes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 </w:t>
      </w:r>
      <w:r>
        <w:t xml:space="preserve">first, then reclaimable NonProd above committed demand.</w:t>
      </w:r>
      <w:r>
        <w:t xml:space="preserve"> </w:t>
      </w:r>
      <w:r>
        <w:t xml:space="preserve">This is the manipulation-flexibility gain that motivates the single-pool model (avoids fragmenting quota</w:t>
      </w:r>
      <w:r>
        <w:t xml:space="preserve"> </w:t>
      </w:r>
      <w:r>
        <w:t xml:space="preserve">and cuts quota-increase requests to Microsoft).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(logical earmarks, enforced at allocation/reclamation time):</w:t>
      </w:r>
    </w:p>
    <w:p>
      <w:pPr>
        <w:pStyle w:val="SourceCode"/>
      </w:pPr>
      <w:r>
        <w:rPr>
          <w:rStyle w:val="VerbatimChar"/>
        </w:rPr>
        <w:t xml:space="preserve">Prod_Reserved_Floor  = Prod_Used_vCPU + Prod_Growth_Buffer_vCPU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</w:p>
    <w:p>
      <w:pPr>
        <w:pStyle w:val="FirstParagraph"/>
      </w:pP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</w:t>
      </w:r>
      <w:r>
        <w:t xml:space="preserve"> </w:t>
      </w:r>
      <w:r>
        <w:t xml:space="preserve">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 (only when Azure Quota Group limits or a mandatory Prod-isolation governance</w:t>
      </w:r>
      <w:r>
        <w:rPr>
          <w:bCs/>
          <w:b/>
        </w:rPr>
        <w:t xml:space="preserve"> </w:t>
      </w:r>
      <w:r>
        <w:rPr>
          <w:bCs/>
          <w:b/>
        </w:rPr>
        <w:t xml:space="preserve">boundary make one pool impossible)</w:t>
      </w:r>
      <w:r>
        <w:t xml:space="preserve"> </w:t>
      </w:r>
      <w:r>
        <w:t xml:space="preserve">— two groups per region, recorded in the Decision Log: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</w:p>
    <w:p>
      <w:pPr>
        <w:pStyle w:val="FirstParagraph"/>
      </w:pPr>
      <w:r>
        <w:t xml:space="preserve">In the exception topology 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2 DR expansion</w:t>
      </w:r>
      <w:r>
        <w:t xml:space="preserve"> </w:t>
      </w:r>
      <w:r>
        <w:t xml:space="preserve">quota-neutral within the shared NonProd+DR group. In the single-pool model this term is subsumed by the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Quota-as-governor principle (QUA-005):</w:t>
      </w:r>
      <w:r>
        <w:t xml:space="preserve"> </w:t>
      </w:r>
      <w:r>
        <w:t xml:space="preserve">quota allocation caps deployable capacity per product,</w:t>
      </w:r>
      <w:r>
        <w:t xml:space="preserve"> </w:t>
      </w:r>
      <w:r>
        <w:t xml:space="preserve">environment, subscription, region, and VM family. Teams must justify quota increases — unallocated pooled</w:t>
      </w:r>
      <w:r>
        <w:t xml:space="preserve"> </w:t>
      </w:r>
      <w:r>
        <w:t xml:space="preserve">quota is not automatically 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0"/>
    <w:bookmarkStart w:id="44" w:name="X1987bfd04e95713f8065c9f83024b1da6822277"/>
    <w:p>
      <w:pPr>
        <w:pStyle w:val="Heading2"/>
      </w:pPr>
      <w:r>
        <w:t xml:space="preserve">Scenario 9 — DR Floor Accounting (Engine-Enforced Sub-Limit) — Updated</w:t>
      </w:r>
    </w:p>
    <w:p>
      <w:pPr>
        <w:pStyle w:val="FirstParagraph"/>
      </w:pPr>
      <w:r>
        <w:t xml:space="preserve">Azure quota pools/groups have no native intra-pool sub-reservation; the engine enforces the DR floor by</w:t>
      </w:r>
      <w:r>
        <w:t xml:space="preserve"> </w:t>
      </w:r>
      <w:r>
        <w:t xml:space="preserve">arithmetic (logical earmark) in both the single-pool and exception two-group topologies.</w:t>
      </w:r>
      <w:r>
        <w:t xml:space="preserve"> </w:t>
      </w:r>
      <w:r>
        <w:rPr>
          <w:rStyle w:val="VerbatimChar"/>
        </w:rPr>
        <w:t xml:space="preserve">[Decided]</w:t>
      </w:r>
    </w:p>
    <w:bookmarkStart w:id="41" w:name="accounting-formulas-decided"/>
    <w:p>
      <w:pPr>
        <w:pStyle w:val="Heading3"/>
      </w:pPr>
      <w:r>
        <w:t xml:space="preserve">Accounting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DR_Floor_vCPU(region)     = Destination_DR_Requirement(region) × vCPU</w:t>
      </w:r>
      <w:r>
        <w:br/>
      </w:r>
      <w:r>
        <w:rPr>
          <w:rStyle w:val="VerbatimChar"/>
        </w:rPr>
        <w:t xml:space="preserve">                            [v2.2: uses max-not-sum formula from Scenario 17]</w:t>
      </w:r>
      <w:r>
        <w:br/>
      </w:r>
      <w:r>
        <w:rPr>
          <w:rStyle w:val="VerbatimChar"/>
        </w:rPr>
        <w:t xml:space="preserve">                            [v1: was potential_dr_demand × vCPU × dr_ratio_max — superseded]</w:t>
      </w:r>
      <w:r>
        <w:br/>
      </w:r>
      <w:r>
        <w:br/>
      </w:r>
      <w:r>
        <w:rPr>
          <w:rStyle w:val="VerbatimChar"/>
        </w:rPr>
        <w:t xml:space="preserve"># Single governed pool (primary model, QUA-004):</w:t>
      </w:r>
      <w:r>
        <w:br/>
      </w:r>
      <w:r>
        <w:rPr>
          <w:rStyle w:val="VerbatimChar"/>
        </w:rPr>
        <w:t xml:space="preserve">DR_Earmark_vCPU(region)   = DR_Floor_vCPU(region)      # never allocatable to NonProd</w:t>
      </w:r>
      <w:r>
        <w:br/>
      </w:r>
      <w:r>
        <w:rPr>
          <w:rStyle w:val="VerbatimChar"/>
        </w:rPr>
        <w:t xml:space="preserve">Allocatable_NonProd       = Pool_Limit - Prod_Reserved_Floor - DR_Earmark_vCPU - NonProd_Used_vCPU</w:t>
      </w:r>
      <w:r>
        <w:br/>
      </w:r>
      <w:r>
        <w:rPr>
          <w:rStyle w:val="VerbatimChar"/>
        </w:rPr>
        <w:t xml:space="preserve">Pool_Headroom             = Pool_Limit - Pool_Used</w:t>
      </w:r>
      <w:r>
        <w:br/>
      </w:r>
      <w:r>
        <w:br/>
      </w:r>
      <w:r>
        <w:rPr>
          <w:rStyle w:val="VerbatimChar"/>
        </w:rPr>
        <w:t xml:space="preserve"># Exception two-group topology only:</w:t>
      </w:r>
      <w:r>
        <w:br/>
      </w: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  <w:r>
        <w:br/>
      </w:r>
      <w:r>
        <w:br/>
      </w:r>
      <w:r>
        <w:rPr>
          <w:rStyle w:val="VerbatimChar"/>
        </w:rPr>
        <w:t xml:space="preserve">dr_crg.coverage_ratio     = dr_crg.quantity / Destination_DR_Requirement(region)</w:t>
      </w:r>
    </w:p>
    <w:p>
      <w:pPr>
        <w:pStyle w:val="BlockText"/>
      </w:pPr>
      <w:r>
        <w:rPr>
          <w:bCs/>
          <w:b/>
        </w:rPr>
        <w:t xml:space="preserve">v2.2 change: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is no longer derived from</w:t>
      </w:r>
      <w:r>
        <w:t xml:space="preserve"> </w:t>
      </w:r>
      <w:r>
        <w:rPr>
          <w:rStyle w:val="VerbatimChar"/>
        </w:rPr>
        <w:t xml:space="preserve">potential_dr_demand × dr_ratio_max</w:t>
      </w:r>
      <w:r>
        <w:t xml:space="preserve">.</w:t>
      </w:r>
      <w:r>
        <w:t xml:space="preserve"> </w:t>
      </w:r>
      <w:r>
        <w:t xml:space="preserve">It is now derived from</w:t>
      </w:r>
      <w:r>
        <w:t xml:space="preserve"> </w:t>
      </w:r>
      <w:r>
        <w:rPr>
          <w:rStyle w:val="VerbatimChar"/>
        </w:rPr>
        <w:t xml:space="preserve">Destination_DR_Requirement(region)</w:t>
      </w:r>
      <w:r>
        <w:t xml:space="preserve"> </w:t>
      </w:r>
      <w:r>
        <w:t xml:space="preserve">— the max-not-sum value from Scenario 17.</w:t>
      </w:r>
      <w:r>
        <w:t xml:space="preserve"> </w:t>
      </w:r>
      <w:r>
        <w:t xml:space="preserve">This aligns the floor with the lean bootstrap model (DR-007) and the distributed DR topology (DR-016).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dr_ratio_max = 0.40</w:t>
      </w:r>
      <w:r>
        <w:t xml:space="preserve"> </w:t>
      </w:r>
      <w:r>
        <w:t xml:space="preserve">constant is retained in Scenario 15 for legacy reference only.</w:t>
      </w:r>
    </w:p>
    <w:bookmarkEnd w:id="41"/>
    <w:bookmarkStart w:id="42" w:name="dual-validation-control-decided"/>
    <w:p>
      <w:pPr>
        <w:pStyle w:val="Heading3"/>
      </w:pPr>
      <w:r>
        <w:t xml:space="preserve">Dual-validation control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 separate detector recomputes the DR floor from authoritative assignment data; any disagreement between</w:t>
      </w:r>
      <w:r>
        <w:t xml:space="preserve"> </w:t>
      </w:r>
      <w:r>
        <w:t xml:space="preserve">command-time and detector values disables automatic NonProd expansion until reconciled.</w:t>
      </w:r>
    </w:p>
    <w:bookmarkEnd w:id="42"/>
    <w:bookmarkStart w:id="43" w:name="worked-topology-example-decided"/>
    <w:p>
      <w:pPr>
        <w:pStyle w:val="Heading3"/>
      </w:pPr>
      <w:r>
        <w:t xml:space="preserve">Worked topology example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D4s_v3, 4 vCPU each)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Destination_DR_Requirement for this region)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ca742342fb9d7ba19481af912bb7724261a3e15"/>
    <w:p>
      <w:pPr>
        <w:pStyle w:val="Heading2"/>
      </w:pPr>
      <w:r>
        <w:t xml:space="preserve">Scenario 10 — Environment Quota Scoring (β 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maximum expansion room 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5"/>
    <w:bookmarkStart w:id="46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 — the</w:t>
      </w:r>
      <w:r>
        <w:t xml:space="preserve"> </w:t>
      </w:r>
      <w:r>
        <w:rPr>
          <w:bCs/>
          <w:b/>
        </w:rPr>
        <w:t xml:space="preserve">proactive growth path</w:t>
      </w:r>
      <w:r>
        <w:t xml:space="preserve">, distinct from</w:t>
      </w:r>
      <w:r>
        <w:t xml:space="preserve"> </w:t>
      </w:r>
      <w:r>
        <w:t xml:space="preserve">the continuous reconciliation floor (Scenario 16).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 = predicted peak allocated-VM demand in the horizon          [Derived]</w:t>
      </w:r>
      <w:r>
        <w:br/>
      </w:r>
      <w:r>
        <w:rPr>
          <w:rStyle w:val="VerbatimChar"/>
        </w:rPr>
        <w:t xml:space="preserve">Growth_Buffer    = policy % for forecast uncertainty                          [Assumed]</w:t>
      </w:r>
      <w:r>
        <w:br/>
      </w:r>
      <w:r>
        <w:rPr>
          <w:rStyle w:val="VerbatimChar"/>
        </w:rPr>
        <w:t xml:space="preserve">DR_Buffer        = extra units required by approved recovery policy           [Assumed]</w:t>
      </w:r>
      <w:r>
        <w:br/>
      </w:r>
      <w:r>
        <w:rPr>
          <w:rStyle w:val="VerbatimChar"/>
        </w:rPr>
        <w:t xml:space="preserve">Forecast_Horizon ∈ { 30, 60, 90 } days                                       [Assumed]</w:t>
      </w:r>
    </w:p>
    <w:p>
      <w:pPr>
        <w:pStyle w:val="FirstParagraph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80% of quota limit,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Forecast recommendations remain advisory until model accuracy and false-positive rates are measured.</w:t>
      </w:r>
      <w:r>
        <w:t xml:space="preserve"> </w:t>
      </w:r>
      <w:r>
        <w:t xml:space="preserve">The horizon and buffer values are policy percentages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not fixed constants.</w:t>
      </w:r>
    </w:p>
    <w:p>
      <w:r>
        <w:pict>
          <v:rect style="width:0;height:1.5pt" o:hralign="center" o:hrstd="t" o:hr="t"/>
        </w:pict>
      </w:r>
    </w:p>
    <w:bookmarkEnd w:id="46"/>
    <w:bookmarkStart w:id="48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is raised.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any trigger</w:t>
      </w:r>
    </w:p>
    <w:p>
      <w:pPr>
        <w:pStyle w:val="FirstParagraph"/>
      </w:pPr>
      <w:r>
        <w:t xml:space="preserve">Phase 1 requires operator approval. Auto-decrease excluded from Phase 1. The steady-state lifecycle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engine mode (see ADR-003).</w:t>
      </w:r>
      <w:r>
        <w:t xml:space="preserve"> </w:t>
      </w:r>
      <w:r>
        <w:rPr>
          <w:rStyle w:val="VerbatimChar"/>
        </w:rPr>
        <w:t xml:space="preserve">[Decided]</w:t>
      </w:r>
    </w:p>
    <w:bookmarkStart w:id="47" w:name="X9d309608ea9a2cb35420a8376bdef26fe2928a5"/>
    <w:p>
      <w:pPr>
        <w:pStyle w:val="Heading3"/>
      </w:pPr>
      <w:r>
        <w:t xml:space="preserve">Normative 10-step steady-state capacity lifecycle</w:t>
      </w:r>
    </w:p>
    <w:p>
      <w:pPr>
        <w:numPr>
          <w:ilvl w:val="0"/>
          <w:numId w:val="1004"/>
        </w:numPr>
        <w:pStyle w:val="Compact"/>
      </w:pPr>
      <w:r>
        <w:t xml:space="preserve">Detect threshold crossing.</w:t>
      </w:r>
    </w:p>
    <w:p>
      <w:pPr>
        <w:numPr>
          <w:ilvl w:val="0"/>
          <w:numId w:val="1004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floor, whichever is higher).</w:t>
      </w:r>
    </w:p>
    <w:p>
      <w:pPr>
        <w:numPr>
          <w:ilvl w:val="0"/>
          <w:numId w:val="1004"/>
        </w:numPr>
        <w:pStyle w:val="Compact"/>
      </w:pPr>
      <w:r>
        <w:t xml:space="preserve">Require operator approval (Phase 1).</w:t>
      </w:r>
    </w:p>
    <w:p>
      <w:pPr>
        <w:numPr>
          <w:ilvl w:val="0"/>
          <w:numId w:val="1004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4"/>
        </w:numPr>
        <w:pStyle w:val="Compact"/>
      </w:pPr>
      <w:r>
        <w:t xml:space="preserve">Wait for confirmed quota state — no assumed propagation SLA.</w:t>
      </w:r>
    </w:p>
    <w:p>
      <w:pPr>
        <w:numPr>
          <w:ilvl w:val="0"/>
          <w:numId w:val="1004"/>
        </w:numPr>
        <w:pStyle w:val="Compact"/>
      </w:pPr>
      <w:r>
        <w:t xml:space="preserve">Update CR quantity.</w:t>
      </w:r>
    </w:p>
    <w:p>
      <w:pPr>
        <w:numPr>
          <w:ilvl w:val="0"/>
          <w:numId w:val="1004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4"/>
        </w:numPr>
        <w:pStyle w:val="Compact"/>
      </w:pPr>
      <w:r>
        <w:t xml:space="preserve">Refresh the snapshot and close the request.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 (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engine mode), emergency capacity is obtained by tier.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Tier 1  DirectExpansion       — additive DR expansion using existing headroom. Automated.</w:t>
      </w:r>
      <w:r>
        <w:br/>
      </w:r>
      <w:r>
        <w:rPr>
          <w:rStyle w:val="VerbatimChar"/>
        </w:rPr>
        <w:t xml:space="preserve">Tier 2  QuotaNeutralTransfer  — reduce NonProd CR, expand DR within the SAME quota group.</w:t>
      </w:r>
      <w:r>
        <w:br/>
      </w:r>
      <w:r>
        <w:rPr>
          <w:rStyle w:val="VerbatimChar"/>
        </w:rPr>
        <w:t xml:space="preserve"> 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 — changes VM associations. Dual-approval + elevated RBAC.</w:t>
      </w:r>
      <w:r>
        <w:br/>
      </w:r>
      <w:r>
        <w:rPr>
          <w:rStyle w:val="VerbatimChar"/>
        </w:rPr>
        <w:t xml:space="preserve">                                BLOCKED in Phase 1.</w:t>
      </w:r>
    </w:p>
    <w:bookmarkStart w:id="49" w:name="Xfa330f985a39889c607270b4bbe70500680b6f2"/>
    <w:p>
      <w:pPr>
        <w:pStyle w:val="Heading3"/>
      </w:pPr>
      <w:r>
        <w:t xml:space="preserve">Quota-neutral math for Tier 2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→ releases q × vCPU to the GROUP pool</w:t>
      </w:r>
      <w:r>
        <w:br/>
      </w:r>
      <w:r>
        <w:rPr>
          <w:rStyle w:val="VerbatimChar"/>
        </w:rPr>
        <w:t xml:space="preserve">    DR CR expansion      → consumes q × vCPU from the SAME GROUP pool</w:t>
      </w:r>
      <w:r>
        <w:br/>
      </w:r>
      <w:r>
        <w:rPr>
          <w:rStyle w:val="VerbatimChar"/>
        </w:rPr>
        <w:t xml:space="preserve">    Net group headroom change ≈ 0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(pct = 0.30)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 available? → Tier 2 approved? → Tier 3 allowed? →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CRG_lower_bound = 3 × R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</w:t>
      </w:r>
      <w:r>
        <w:br/>
      </w:r>
      <w:r>
        <w:br/>
      </w:r>
      <w:r>
        <w:rPr>
          <w:rStyle w:val="VerbatimChar"/>
        </w:rPr>
        <w:t xml:space="preserve">Requests_per_cycle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# 5-minute (300 s) cycle</w:t>
      </w:r>
    </w:p>
    <w:bookmarkStart w:id="51" w:name="X276a8714b4fbd220719cfc96fa1f4b7b812ea4e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initialises with these baselines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.</w:t>
      </w:r>
    </w:p>
    <w:bookmarkEnd w:id="51"/>
    <w:bookmarkStart w:id="52" w:name="reconciliation-cadence-assum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Reconciliation loop target       = 6 min (configurable; production interval TBD)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f12826e05eb28d7aa2d24729a6dde3274d42ed7"/>
    <w:p>
      <w:pPr>
        <w:pStyle w:val="Heading2"/>
      </w:pPr>
      <w:r>
        <w:t xml:space="preserve">Scenario 15 — DR Ratio Parameters (Fixed %) —</w:t>
      </w:r>
      <w:r>
        <w:t xml:space="preserve"> </w:t>
      </w:r>
      <w:r>
        <w:rPr>
          <w:bCs/>
          <w:b/>
        </w:rPr>
        <w:t xml:space="preserve">SUPERSEDED</w:t>
      </w:r>
    </w:p>
    <w:p>
      <w:pPr>
        <w:pStyle w:val="BlockText"/>
      </w:pPr>
      <w:r>
        <w:rPr>
          <w:bCs/>
          <w:b/>
        </w:rPr>
        <w:t xml:space="preserve">Status: Superseded by Scenario 17 (max-not-sum).</w:t>
      </w:r>
      <w:r>
        <w:t xml:space="preserve"> </w:t>
      </w:r>
      <w:r>
        <w:t xml:space="preserve">These constants are retained for configuration</w:t>
      </w:r>
      <w:r>
        <w:t xml:space="preserve"> </w:t>
      </w:r>
      <w:r>
        <w:t xml:space="preserve">reference and legacy comparison only. The fixed-percentage DR sizing model (</w:t>
      </w:r>
      <w:r>
        <w:rPr>
          <w:rStyle w:val="VerbatimChar"/>
        </w:rPr>
        <w:t xml:space="preserve">30–40% of Prod</w:t>
      </w:r>
      <w:r>
        <w:t xml:space="preserve">) was</w:t>
      </w:r>
      <w:r>
        <w:t xml:space="preserve"> </w:t>
      </w:r>
      <w:r>
        <w:t xml:space="preserve">rejected in Requirements v2.0/v2.1 because it produces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directly contradicting the cost-reduction mandate. See Appendix D of the</w:t>
      </w:r>
      <w:r>
        <w:t xml:space="preserve"> </w:t>
      </w:r>
      <w:r>
        <w:t xml:space="preserve">Requirements Baseline for the full derivation.</w:t>
      </w:r>
    </w:p>
    <w:p>
      <w:pPr>
        <w:pStyle w:val="SourceCode"/>
      </w:pPr>
      <w:r>
        <w:rPr>
          <w:rStyle w:val="VerbatimChar"/>
        </w:rPr>
        <w:t xml:space="preserve">dr_ratio_min    = 0.30      [superseded — was HC-6 lower bound]</w:t>
      </w:r>
      <w:r>
        <w:br/>
      </w:r>
      <w:r>
        <w:rPr>
          <w:rStyle w:val="VerbatimChar"/>
        </w:rPr>
        <w:t xml:space="preserve">dr_ratio_max    = 0.40      [superseded — was DR_Floor_vCPU multiplier]</w:t>
      </w:r>
      <w:r>
        <w:br/>
      </w:r>
      <w:r>
        <w:rPr>
          <w:rStyle w:val="VerbatimChar"/>
        </w:rPr>
        <w:t xml:space="preserve">dr_ratio_target = [0.30, 0.40]   [superseded — now: configurable bootstrap per product/workload]</w:t>
      </w:r>
      <w:r>
        <w:br/>
      </w:r>
      <w:r>
        <w:rPr>
          <w:rStyle w:val="VerbatimChar"/>
        </w:rPr>
        <w:t xml:space="preserve">emergency_transfer_pct = 0.30    [still current — Scenario 13]</w:t>
      </w:r>
      <w:r>
        <w:br/>
      </w:r>
      <w:r>
        <w:rPr>
          <w:rStyle w:val="VerbatimChar"/>
        </w:rPr>
        <w:t xml:space="preserve">prod_growth_buffer     = 0.20    [still current — Scenario 8]</w:t>
      </w:r>
      <w:r>
        <w:br/>
      </w:r>
      <w:r>
        <w:rPr>
          <w:rStyle w:val="VerbatimChar"/>
        </w:rPr>
        <w:t xml:space="preserve">nonprod_growth_buffer  = 0.20    [still current — Scenario 8]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 in the Configurable Items Register) remains available for specific customers or</w:t>
      </w:r>
      <w:r>
        <w:t xml:space="preserve"> </w:t>
      </w:r>
      <w:r>
        <w:t xml:space="preserve">geographies that contractually require protection against concurrent regional failures. All other scopes</w:t>
      </w:r>
      <w:r>
        <w:t xml:space="preserve"> </w:t>
      </w:r>
      <w:r>
        <w:t xml:space="preserve">use the max-not-sum formula (Scenario 17).</w:t>
      </w:r>
    </w:p>
    <w:p>
      <w:r>
        <w:pict>
          <v:rect style="width:0;height:1.5pt" o:hralign="center" o:hrstd="t" o:hr="t"/>
        </w:pict>
      </w:r>
    </w:p>
    <w:bookmarkEnd w:id="54"/>
    <w:bookmarkStart w:id="60" w:name="Xd5f06ccc6261805ddb917ea51ac3bb90329456a"/>
    <w:p>
      <w:pPr>
        <w:pStyle w:val="Heading2"/>
      </w:pPr>
      <w:r>
        <w:t xml:space="preserve">Scenario 16 — Reservation Target &amp; Reconciliation Floor (CAP-003)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reconciliation cycle compares current reserved quantity against this floor.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continuous floor formula</w:t>
      </w:r>
      <w:r>
        <w:t xml:space="preserve"> </w:t>
      </w:r>
      <w:r>
        <w:t xml:space="preserve">— distinct from the forecast-based growth formula (Scenario 11).</w:t>
      </w:r>
    </w:p>
    <w:bookmarkStart w:id="55" w:name="a.1-reservation-target-cap-003-decided"/>
    <w:p>
      <w:pPr>
        <w:pStyle w:val="Heading3"/>
      </w:pPr>
      <w:r>
        <w:t xml:space="preserve">A.1 Reservation target (CAP-003)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= VMs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 compute capacity.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Configured Buffer</w:t>
      </w:r>
      <w:r>
        <w:t xml:space="preserve"> </w:t>
      </w:r>
      <w:r>
        <w:t xml:space="preserve">= policy-defined headroom above allocated demand. Tunable per</w:t>
      </w:r>
      <w:r>
        <w:t xml:space="preserve"> </w:t>
      </w:r>
      <w:r>
        <w:t xml:space="preserve">product/region/env/SKU. Not hard-coded.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Associated-but-deallocated VMs</w:t>
      </w:r>
      <w:r>
        <w:t xml:space="preserve"> </w:t>
      </w:r>
      <w:r>
        <w:t xml:space="preserve">do not force reservation retention (CAP-004). They are reported</w:t>
      </w:r>
      <w:r>
        <w:t xml:space="preserve"> </w:t>
      </w:r>
      <w:r>
        <w:t xml:space="preserve">separately so teams understand restart risk, but do not add to the target.</w:t>
      </w:r>
    </w:p>
    <w:bookmarkEnd w:id="55"/>
    <w:bookmarkStart w:id="56" w:name="a.2-reservation-headroom"/>
    <w:p>
      <w:pPr>
        <w:pStyle w:val="Heading3"/>
      </w:pPr>
      <w: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bookmarkEnd w:id="56"/>
    <w:bookmarkStart w:id="57" w:name="a.3-reservation-deficit"/>
    <w:p>
      <w:pPr>
        <w:pStyle w:val="Heading3"/>
      </w:pPr>
      <w: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bookmarkEnd w:id="57"/>
    <w:bookmarkStart w:id="58" w:name="reconciliation-decision-logic-decided"/>
    <w:p>
      <w:pPr>
        <w:pStyle w:val="Heading3"/>
      </w:pPr>
      <w:r>
        <w:t xml:space="preserve">Reconciliation decision logic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Reserved Quantity &lt; Target Reserved Capacity:</w:t>
      </w:r>
      <w:r>
        <w:br/>
      </w:r>
      <w:r>
        <w:rPr>
          <w:rStyle w:val="VerbatimChar"/>
        </w:rPr>
        <w:t xml:space="preserve">    RAISE reservation (scale-up) toward target, subject to Azure availability.</w:t>
      </w:r>
      <w:r>
        <w:br/>
      </w:r>
      <w:r>
        <w:rPr>
          <w:rStyle w:val="VerbatimChar"/>
        </w:rPr>
        <w:t xml:space="preserve">    IF Azure cannot supply: hold current state, RAISE alert, expose buffer deficit.</w:t>
      </w:r>
      <w:r>
        <w:br/>
      </w:r>
      <w:r>
        <w:br/>
      </w:r>
      <w:r>
        <w:rPr>
          <w:rStyle w:val="VerbatimChar"/>
        </w:rPr>
        <w:t xml:space="preserve">IF Reserved Quantity &gt; Target Reserved Capacity (consistently, after minimum-hold interval):</w:t>
      </w:r>
      <w:r>
        <w:br/>
      </w:r>
      <w:r>
        <w:rPr>
          <w:rStyle w:val="VerbatimChar"/>
        </w:rPr>
        <w:t xml:space="preserve">    LOWER reservation toward target — ONLY when all guards pass:</w:t>
      </w:r>
      <w:r>
        <w:br/>
      </w:r>
      <w:r>
        <w:rPr>
          <w:rStyle w:val="VerbatimChar"/>
        </w:rPr>
        <w:t xml:space="preserve">        - current_reserved &gt; allocated_count         (never below allocated)</w:t>
      </w:r>
      <w:r>
        <w:br/>
      </w:r>
      <w:r>
        <w:rPr>
          <w:rStyle w:val="VerbatimChar"/>
        </w:rPr>
        <w:t xml:space="preserve">        - not within DR protection window</w:t>
      </w:r>
      <w:r>
        <w:br/>
      </w:r>
      <w:r>
        <w:rPr>
          <w:rStyle w:val="VerbatimChar"/>
        </w:rPr>
        <w:t xml:space="preserve">        - no active maintenance exclusion</w:t>
      </w:r>
      <w:r>
        <w:br/>
      </w:r>
      <w:r>
        <w:rPr>
          <w:rStyle w:val="VerbatimChar"/>
        </w:rPr>
        <w:t xml:space="preserve">        - cost policy permits reduction</w:t>
      </w:r>
    </w:p>
    <w:bookmarkEnd w:id="58"/>
    <w:bookmarkStart w:id="59" w:name="X3849650153cde5689399e17bc1aa2999aedeb41"/>
    <w:p>
      <w:pPr>
        <w:pStyle w:val="Heading3"/>
      </w:pPr>
      <w:r>
        <w:t xml:space="preserve">Zero-capacity and no-auto-delete policy (CAP-009/010)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Reduce an unused managed reservation to ZERO; do NOT delete the reservation object.</w:t>
      </w:r>
      <w:r>
        <w:br/>
      </w:r>
      <w:r>
        <w:rPr>
          <w:rStyle w:val="VerbatimChar"/>
        </w:rPr>
        <w:t xml:space="preserve">Normal reconciliation NEVER deletes CRGs or reservation definitions.</w:t>
      </w:r>
      <w:r>
        <w:br/>
      </w:r>
      <w:r>
        <w:rPr>
          <w:rStyle w:val="VerbatimChar"/>
        </w:rPr>
        <w:t xml:space="preserve">Deletion uses a separate approved decommissioning workflow only.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Xae4192c8a6cfbd93ff9ca53e8e1fe7025e4a53d"/>
    <w:p>
      <w:pPr>
        <w:pStyle w:val="Heading2"/>
      </w:pPr>
      <w:r>
        <w:t xml:space="preserve">Scenario 17 — DR Destination Requirement — Max-Not-Sum (A.6/DR-017) — New</w:t>
      </w:r>
    </w:p>
    <w:p>
      <w:pPr>
        <w:pStyle w:val="FirstParagraph"/>
      </w:pPr>
      <w:r>
        <w:rPr>
          <w:bCs/>
          <w:b/>
        </w:rPr>
        <w:t xml:space="preserve">This scenario replaces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dr_ratio_*</w:t>
      </w:r>
      <w:r>
        <w:rPr>
          <w:bCs/>
          <w:b/>
        </w:rPr>
        <w:t xml:space="preserve"> </w:t>
      </w:r>
      <w:r>
        <w:rPr>
          <w:bCs/>
          <w:b/>
        </w:rPr>
        <w:t xml:space="preserve">sizing in Scenario 15.</w:t>
      </w:r>
    </w:p>
    <w:bookmarkStart w:id="61" w:name="X97f26ea90d0c621afe497b354aca2b5d85c4d27"/>
    <w:p>
      <w:pPr>
        <w:pStyle w:val="Heading3"/>
      </w:pPr>
      <w:r>
        <w:t xml:space="preserve">The single-failure assumption (DR-001)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programme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 at a time. Simultaneous</w:t>
      </w:r>
      <w:r>
        <w:t xml:space="preserve"> </w:t>
      </w:r>
      <w:r>
        <w:t xml:space="preserve">multi-region failure is outside the default guaranteed model.</w:t>
      </w:r>
    </w:p>
    <w:bookmarkEnd w:id="61"/>
    <w:bookmarkStart w:id="62" w:name="X2988676ab8f9c2a2bd14c0482ddc57d3a7a19e4"/>
    <w:p>
      <w:pPr>
        <w:pStyle w:val="Heading3"/>
      </w:pPr>
      <w:r>
        <w:t xml:space="preserve">A.6 DR destination requirement — corrected formula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Workload_Portion(s → d)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destination region hosting DR standby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source region whose production customers have DR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= the quantity of VMs/vCPUs from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that are assigned to land in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 failover (from the source→destination DR index, DR-018)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because only one region fails at a time,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simultaneously hosts</w:t>
      </w:r>
      <w:r>
        <w:t xml:space="preserve"> </w:t>
      </w:r>
      <w:r>
        <w:t xml:space="preserve">failover from more than one source. It therefore needs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</w:t>
      </w:r>
      <w:r>
        <w:t xml:space="preserve"> </w:t>
      </w:r>
      <w:r>
        <w:t xml:space="preserve">source only — never the sum of all sources. The standby slots are</w:t>
      </w:r>
      <w:r>
        <w:t xml:space="preserve"> </w:t>
      </w:r>
      <w:r>
        <w:rPr>
          <w:bCs/>
          <w:b/>
        </w:rPr>
        <w:t xml:space="preserve">shared / overcommitted</w:t>
      </w:r>
      <w:r>
        <w:t xml:space="preserve"> </w:t>
      </w:r>
      <w:r>
        <w:t xml:space="preserve">across</w:t>
      </w:r>
      <w:r>
        <w:t xml:space="preserve"> </w:t>
      </w:r>
      <w:r>
        <w:t xml:space="preserve">mutually exclusive failure events.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a.7-dr-capacity-gap-decided"/>
    <w:p>
      <w:pPr>
        <w:pStyle w:val="Heading3"/>
      </w:pPr>
      <w:r>
        <w:t xml:space="preserve">A.7 DR capacity gap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DR_Capacity_Gap(d) = max(0,</w:t>
      </w:r>
      <w:r>
        <w:br/>
      </w:r>
      <w:r>
        <w:rPr>
          <w:rStyle w:val="VerbatimChar"/>
        </w:rPr>
        <w:t xml:space="preserve">    Destination_DR_Requirement(d) - Usable_Destination_Capacity(d)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</w:t>
      </w:r>
      <w:r>
        <w:t xml:space="preserve"> </w:t>
      </w:r>
      <w:r>
        <w:t xml:space="preserve">releasable CVAL capacity (after earmark check, Scenario 9/PLC-010), and capacity acquired through</w:t>
      </w:r>
      <w:r>
        <w:t xml:space="preserve"> </w:t>
      </w:r>
      <w:r>
        <w:t xml:space="preserve">approved sharing or expansion.</w:t>
      </w:r>
    </w:p>
    <w:bookmarkEnd w:id="63"/>
    <w:bookmarkStart w:id="64" w:name="Xbc42d59f09b90549faa5496221b1ced8e058774"/>
    <w:p>
      <w:pPr>
        <w:pStyle w:val="Heading3"/>
      </w:pPr>
      <w:r>
        <w:t xml:space="preserve">A.8 Shared-DR overcommit ratio (informational)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Overcommit_Ratio(d) = SUM(Workload_Portion(s → d) for all s) / MAX(Workload_Portion(s → d))</w:t>
      </w:r>
    </w:p>
    <w:p>
      <w:pPr>
        <w:pStyle w:val="FirstParagraph"/>
      </w:pPr>
      <w:r>
        <w:t xml:space="preserve">A ratio &gt; 1 quantifies: (a) the capacity and cost saved by max-not-sum sizing, and (b) the exposure if</w:t>
      </w:r>
      <w:r>
        <w:t xml:space="preserve"> </w:t>
      </w:r>
      <w:r>
        <w:t xml:space="preserve">the single-failure assumption is ever violated. Required input for POC-011 risk sign-off.</w:t>
      </w:r>
    </w:p>
    <w:bookmarkEnd w:id="64"/>
    <w:bookmarkStart w:id="65" w:name="X4830a67188c49cad28f305859e15d5c02df0ead"/>
    <w:p>
      <w:pPr>
        <w:pStyle w:val="Heading3"/>
      </w:pPr>
      <w:r>
        <w:t xml:space="preserve">Observability requirement (OBS-002)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Alert when a destination’s usable capacity falls below</w:t>
      </w:r>
      <w:r>
        <w:t xml:space="preserve"> </w:t>
      </w:r>
      <w:r>
        <w:rPr>
          <w:rStyle w:val="VerbatimChar"/>
        </w:rPr>
        <w:t xml:space="preserve">Destination_DR_Requirement(d)</w:t>
      </w:r>
      <w:r>
        <w:t xml:space="preserve"> </w:t>
      </w:r>
      <w:r>
        <w:t xml:space="preserve">— the max</w:t>
      </w:r>
      <w:r>
        <w:t xml:space="preserve"> </w:t>
      </w:r>
      <w:r>
        <w:t xml:space="preserve">protected source — not below the sum. Dashboard must show per-destination max-source coverage (OBS-004).</w:t>
      </w:r>
    </w:p>
    <w:bookmarkEnd w:id="65"/>
    <w:bookmarkStart w:id="66" w:name="conservative-sum-override-c-11-decided"/>
    <w:p>
      <w:pPr>
        <w:pStyle w:val="Heading3"/>
      </w:pPr>
      <w:r>
        <w:t xml:space="preserve">Conservative SUM override (C-11)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Destination_DR_Requirement_Conservative(d) = SUM(Workload_Portion(s → d) for all s)</w:t>
      </w:r>
    </w:p>
    <w:p>
      <w:pPr>
        <w:pStyle w:val="FirstParagraph"/>
      </w:pPr>
      <w:r>
        <w:t xml:space="preserve">Used only where a customer or geography contract explicitly requires protection against concurrent</w:t>
      </w:r>
      <w:r>
        <w:t xml:space="preserve"> </w:t>
      </w:r>
      <w:r>
        <w:t xml:space="preserve">regional failures. Configured per-scope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no code change required.</w:t>
      </w:r>
    </w:p>
    <w:bookmarkEnd w:id="66"/>
    <w:bookmarkStart w:id="67" w:name="X6161ea44e322b6b0d4d101b8fb7f94e9ad7a4a6"/>
    <w:p>
      <w:pPr>
        <w:pStyle w:val="Heading3"/>
      </w:pPr>
      <w:r>
        <w:t xml:space="preserve">Worked example (from Requirements Appendix D)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2 holds DR standby for customers from Region 1 and Region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in 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cores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SUM sizing (old):  Requirement(R2) = 120 + 80 = 200 cores   ← over-provisions; superseded</w:t>
      </w:r>
      <w:r>
        <w:br/>
      </w:r>
      <w:r>
        <w:rPr>
          <w:rStyle w:val="VerbatimChar"/>
        </w:rPr>
        <w:t xml:space="preserve">MAX sizing (new):  Requirement(R2) = max(120, 80) = 120 cores</w:t>
      </w:r>
      <w:r>
        <w:br/>
      </w:r>
      <w:r>
        <w:br/>
      </w:r>
      <w:r>
        <w:rPr>
          <w:rStyle w:val="VerbatimChar"/>
        </w:rPr>
        <w:t xml:space="preserve">Saving at R2: 200 → 120 = 80 cores (40%) removed with no loss of protection.</w:t>
      </w:r>
      <w:r>
        <w:br/>
      </w:r>
      <w:r>
        <w:br/>
      </w:r>
      <w:r>
        <w:rPr>
          <w:rStyle w:val="VerbatimChar"/>
        </w:rPr>
        <w:t xml:space="preserve">Overcommit_Ratio(R2) = 200 / 120 ≈ 1.67</w:t>
      </w:r>
      <w:r>
        <w:br/>
      </w:r>
      <w:r>
        <w:rPr>
          <w:rStyle w:val="VerbatimChar"/>
        </w:rPr>
        <w:t xml:space="preserve">→ R2's shared standby is 1.67× oversubscribed.</w:t>
      </w:r>
      <w:r>
        <w:br/>
      </w:r>
      <w:r>
        <w:rPr>
          <w:rStyle w:val="VerbatimChar"/>
        </w:rPr>
        <w:t xml:space="preserve">→ Platform-wide extrapolation: ~40–50% standby reduction ≈ $0.6M–$2.5M/year saved.</w:t>
      </w:r>
    </w:p>
    <w:bookmarkEnd w:id="67"/>
    <w:bookmarkStart w:id="68" w:name="Xd437d0aa86aa8f15dfb53ce7831ca10b7f00eaf"/>
    <w:p>
      <w:pPr>
        <w:pStyle w:val="Heading3"/>
      </w:pPr>
      <w:r>
        <w:t xml:space="preserve">Source→Destination DR Index entity (DR-018)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max-not-sum formula depends on an authoritative bidirectional mapping — a required state-store entity:</w:t>
      </w:r>
    </w:p>
    <w:p>
      <w:pPr>
        <w:pStyle w:val="SourceCode"/>
      </w:pPr>
      <w:r>
        <w:rPr>
          <w:rStyle w:val="VerbatimChar"/>
        </w:rPr>
        <w:t xml:space="preserve">SourceDestinationDRIndex {</w:t>
      </w:r>
      <w:r>
        <w:br/>
      </w:r>
      <w:r>
        <w:rPr>
          <w:rStyle w:val="VerbatimChar"/>
        </w:rPr>
        <w:t xml:space="preserve">    source_region          : string</w:t>
      </w:r>
      <w:r>
        <w:br/>
      </w:r>
      <w:r>
        <w:rPr>
          <w:rStyle w:val="VerbatimChar"/>
        </w:rPr>
        <w:t xml:space="preserve">    destination_region     : string</w:t>
      </w:r>
      <w:r>
        <w:br/>
      </w:r>
      <w:r>
        <w:rPr>
          <w:rStyle w:val="VerbatimChar"/>
        </w:rPr>
        <w:t xml:space="preserve">    customer_realm_id      : string</w:t>
      </w:r>
      <w:r>
        <w:br/>
      </w:r>
      <w:r>
        <w:rPr>
          <w:rStyle w:val="VerbatimChar"/>
        </w:rPr>
        <w:t xml:space="preserve">    standby_instance_set   : list&lt;InstanceRef&gt;</w:t>
      </w:r>
      <w:r>
        <w:br/>
      </w:r>
      <w:r>
        <w:rPr>
          <w:rStyle w:val="VerbatimChar"/>
        </w:rPr>
        <w:t xml:space="preserve">    sku_family             : string</w:t>
      </w:r>
      <w:r>
        <w:br/>
      </w:r>
      <w:r>
        <w:rPr>
          <w:rStyle w:val="VerbatimChar"/>
        </w:rPr>
        <w:t xml:space="preserve">    quantity_vcpu          : int</w:t>
      </w:r>
      <w:r>
        <w:br/>
      </w:r>
      <w:r>
        <w:rPr>
          <w:rStyle w:val="VerbatimChar"/>
        </w:rPr>
        <w:t xml:space="preserve">    activation_state       : STANDBY | ACTIVATING | ACTIVE | FAILBACK_PENDING</w:t>
      </w:r>
      <w:r>
        <w:br/>
      </w:r>
      <w:r>
        <w:rPr>
          <w:rStyle w:val="VerbatimChar"/>
        </w:rPr>
        <w:t xml:space="preserve">    last_updated           : datetime</w:t>
      </w:r>
      <w:r>
        <w:br/>
      </w:r>
      <w:r>
        <w:rPr>
          <w:rStyle w:val="VerbatimChar"/>
        </w:rPr>
        <w:t xml:space="preserve">    policy_version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index is the reverse view of the customer seed record (Scenario 20). On a regional failure, the</w:t>
      </w:r>
      <w:r>
        <w:t xml:space="preserve"> </w:t>
      </w:r>
      <w:r>
        <w:t xml:space="preserve">engine queries this index to determine exactly which standby sets to activate and where.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850df5768184849a0433e692284e8efb69bcb0e"/>
    <w:p>
      <w:pPr>
        <w:pStyle w:val="Heading2"/>
      </w:pPr>
      <w:r>
        <w:t xml:space="preserve">Scenario 18 — Standby Activation (DR-019)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authorised DR declaration; engine mode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bookmarkStart w:id="70" w:name="per-customer-activation-workflow-decided"/>
    <w:p>
      <w:pPr>
        <w:pStyle w:val="Heading3"/>
      </w:pPr>
      <w:r>
        <w:t xml:space="preserve">Per-customer activation workflow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Each customer’s DR instances transition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(standby → active) in approved</w:t>
      </w:r>
      <w:r>
        <w:t xml:space="preserve"> </w:t>
      </w:r>
      <w:r>
        <w:t xml:space="preserve">business-priority waves:</w:t>
      </w:r>
    </w:p>
    <w:p>
      <w:pPr>
        <w:pStyle w:val="SourceCode"/>
      </w:pPr>
      <w:r>
        <w:rPr>
          <w:rStyle w:val="VerbatimChar"/>
        </w:rPr>
        <w:t xml:space="preserve">Priority Wave 0 (P0):   Platform control planes and recovery orchestration infrastructure.</w:t>
      </w:r>
      <w:r>
        <w:br/>
      </w:r>
      <w:r>
        <w:rPr>
          <w:rStyle w:val="VerbatimChar"/>
        </w:rPr>
        <w:t xml:space="preserve">Priority Wave 1 (P-1):  Highest-priority customer workloads.</w:t>
      </w:r>
      <w:r>
        <w:br/>
      </w:r>
      <w:r>
        <w:rPr>
          <w:rStyle w:val="VerbatimChar"/>
        </w:rPr>
        <w:t xml:space="preserve">Priority Wave N:        Remaining customers in business-priority order.</w:t>
      </w:r>
    </w:p>
    <w:p>
      <w:pPr>
        <w:pStyle w:val="FirstParagraph"/>
      </w:pPr>
      <w:r>
        <w:rPr>
          <w:bCs/>
          <w:b/>
        </w:rPr>
        <w:t xml:space="preserve">DR-006 staged capacity acquisition per wave:</w:t>
      </w:r>
    </w:p>
    <w:p>
      <w:pPr>
        <w:pStyle w:val="SourceCode"/>
      </w:pPr>
      <w:r>
        <w:rPr>
          <w:rStyle w:val="VerbatimChar"/>
        </w:rPr>
        <w:t xml:space="preserve">Stage 1: Use approved bootstrap / pre-staged headroom (zero Azure wait time).</w:t>
      </w:r>
      <w:r>
        <w:br/>
      </w:r>
      <w:r>
        <w:rPr>
          <w:rStyle w:val="VerbatimChar"/>
        </w:rPr>
        <w:t xml:space="preserve">Stage 2: Allocate available reservation + quota already in the destination.</w:t>
      </w:r>
      <w:r>
        <w:br/>
      </w:r>
      <w:r>
        <w:rPr>
          <w:rStyle w:val="VerbatimChar"/>
        </w:rPr>
        <w:t xml:space="preserve">Stage 3: Shut down / disassociate eligible CVAL workloads (after DR-010 authorised trigger).</w:t>
      </w:r>
      <w:r>
        <w:br/>
      </w:r>
      <w:r>
        <w:rPr>
          <w:rStyle w:val="VerbatimChar"/>
        </w:rPr>
        <w:t xml:space="preserve">Stage 4: Share or reassign reservations within supported region/zone boundaries.</w:t>
      </w:r>
      <w:r>
        <w:br/>
      </w:r>
      <w:r>
        <w:rPr>
          <w:rStyle w:val="VerbatimChar"/>
        </w:rPr>
        <w:t xml:space="preserve">Stage 5: Allocate pooled quota to DR subscriptions.</w:t>
      </w:r>
      <w:r>
        <w:br/>
      </w:r>
      <w:r>
        <w:rPr>
          <w:rStyle w:val="VerbatimChar"/>
        </w:rPr>
        <w:t xml:space="preserve">Stage 6: Request additional Azure quota/capacity where required.</w:t>
      </w:r>
      <w:r>
        <w:br/>
      </w:r>
      <w:r>
        <w:rPr>
          <w:rStyle w:val="VerbatimChar"/>
        </w:rPr>
        <w:t xml:space="preserve">Stage 7: Report unrecoverable capacity gaps.</w:t>
      </w:r>
    </w:p>
    <w:p>
      <w:pPr>
        <w:pStyle w:val="FirstParagraph"/>
      </w:pPr>
      <w:r>
        <w:t xml:space="preserve">Stages 1–2 start immediately from bootstrap headroom — P0/P-1 customers begin recovery without waiting</w:t>
      </w:r>
      <w:r>
        <w:t xml:space="preserve"> </w:t>
      </w:r>
      <w:r>
        <w:t xml:space="preserve">on Azure deallocation/disassociation APIs (which are throttled during regional events).</w:t>
      </w:r>
      <w:r>
        <w:t xml:space="preserve"> </w:t>
      </w:r>
      <w:r>
        <w:rPr>
          <w:rStyle w:val="VerbatimChar"/>
        </w:rPr>
        <w:t xml:space="preserve">[Decided]</w:t>
      </w:r>
    </w:p>
    <w:bookmarkEnd w:id="70"/>
    <w:bookmarkStart w:id="71" w:name="activation-state-tracking-decided"/>
    <w:p>
      <w:pPr>
        <w:pStyle w:val="Heading3"/>
      </w:pPr>
      <w:r>
        <w:t xml:space="preserve">Activation state tracking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   : string</w:t>
      </w:r>
      <w:r>
        <w:br/>
      </w:r>
      <w:r>
        <w:rPr>
          <w:rStyle w:val="VerbatimChar"/>
        </w:rPr>
        <w:t xml:space="preserve">    source_region       : string</w:t>
      </w:r>
      <w:r>
        <w:br/>
      </w:r>
      <w:r>
        <w:rPr>
          <w:rStyle w:val="VerbatimChar"/>
        </w:rPr>
        <w:t xml:space="preserve">    destination_region  : string</w:t>
      </w:r>
      <w:r>
        <w:br/>
      </w:r>
      <w:r>
        <w:rPr>
          <w:rStyle w:val="VerbatimChar"/>
        </w:rPr>
        <w:t xml:space="preserve">    priority_wave       : int</w:t>
      </w:r>
      <w:r>
        <w:br/>
      </w:r>
      <w:r>
        <w:rPr>
          <w:rStyle w:val="VerbatimChar"/>
        </w:rPr>
        <w:t xml:space="preserve">    activation_state    : PENDING | ACTIVATING | ACTIVE | FAILED | FAILBACK_PENDING</w:t>
      </w:r>
      <w:r>
        <w:br/>
      </w:r>
      <w:r>
        <w:rPr>
          <w:rStyle w:val="VerbatimChar"/>
        </w:rPr>
        <w:t xml:space="preserve">    stage_reached       : int           # 1–7 per DR-006</w:t>
      </w:r>
      <w:r>
        <w:br/>
      </w:r>
      <w:r>
        <w:rPr>
          <w:rStyle w:val="VerbatimChar"/>
        </w:rPr>
        <w:t xml:space="preserve">    capacity_gap_vcpu   : int           # 0 if fully provisioned</w:t>
      </w:r>
      <w:r>
        <w:br/>
      </w:r>
      <w:r>
        <w:rPr>
          <w:rStyle w:val="VerbatimChar"/>
        </w:rPr>
        <w:t xml:space="preserve">    activated_at        : datetime</w:t>
      </w:r>
      <w:r>
        <w:br/>
      </w:r>
      <w:r>
        <w:rPr>
          <w:rStyle w:val="VerbatimChar"/>
        </w:rPr>
        <w:t xml:space="preserve">    approved_by         : string</w:t>
      </w:r>
      <w:r>
        <w:br/>
      </w:r>
      <w:r>
        <w:rPr>
          <w:rStyle w:val="VerbatimChar"/>
        </w:rPr>
        <w:t xml:space="preserve">    incident_id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Activation state is tracked per customer, auditable, and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bookmarkEnd w:id="71"/>
    <w:bookmarkStart w:id="72" w:name="failback-reversal-decided"/>
    <w:p>
      <w:pPr>
        <w:pStyle w:val="Heading3"/>
      </w:pPr>
      <w:r>
        <w:t xml:space="preserve">Failback reversal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On failback: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order. The seed record and DR</w:t>
      </w:r>
      <w:r>
        <w:t xml:space="preserve"> </w:t>
      </w:r>
      <w:r>
        <w:t xml:space="preserve">index are preserved; no re-derivation of placement. History, audit trail, and DR capacity state are</w:t>
      </w:r>
      <w:r>
        <w:t xml:space="preserve"> </w:t>
      </w:r>
      <w:r>
        <w:t xml:space="preserve">retained through the full failback cycle.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e5968fa27430c99635a82f9ee860a6bac44bcc4"/>
    <w:p>
      <w:pPr>
        <w:pStyle w:val="Heading2"/>
      </w:pPr>
      <w:r>
        <w:t xml:space="preserve">Scenario 19 — Deployment Readiness Gate (RDY-002)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AEP-triggered deployment before the first environment is provisioned.</w:t>
      </w:r>
    </w:p>
    <w:bookmarkStart w:id="74" w:name="X023891483691ecdaddc73f617c778a8401d13d4"/>
    <w:p>
      <w:pPr>
        <w:pStyle w:val="Heading3"/>
      </w:pPr>
      <w:r>
        <w:t xml:space="preserve">Machine-readable readiness states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READY                 All gates pass; deployment may proceed.</w:t>
      </w:r>
      <w:r>
        <w:br/>
      </w:r>
      <w:r>
        <w:rPr>
          <w:rStyle w:val="VerbatimChar"/>
        </w:rPr>
        <w:t xml:space="preserve">READY_WITH_RISK       All gates pass but one or more advisory risks detected (e.g. buffer below target).</w:t>
      </w:r>
      <w:r>
        <w:br/>
      </w:r>
      <w:r>
        <w:rPr>
          <w:rStyle w:val="VerbatimChar"/>
        </w:rPr>
        <w:t xml:space="preserve">QUOTA_DEFICIT         Required deployment quota &gt; available quota in the deploying subscription.</w:t>
      </w:r>
      <w:r>
        <w:br/>
      </w:r>
      <w:r>
        <w:rPr>
          <w:rStyle w:val="VerbatimChar"/>
        </w:rPr>
        <w:t xml:space="preserve">RESERVATION_DEFICIT   Reservation exists but quantity insufficient; approved over-allocation not in effect.</w:t>
      </w:r>
      <w:r>
        <w:br/>
      </w:r>
      <w:r>
        <w:rPr>
          <w:rStyle w:val="VerbatimChar"/>
        </w:rPr>
        <w:t xml:space="preserve">CAPACITY_UNAVAILABLE  Azure cannot supply the requested SKU/zone at this time.</w:t>
      </w:r>
      <w:r>
        <w:br/>
      </w:r>
      <w:r>
        <w:rPr>
          <w:rStyle w:val="VerbatimChar"/>
        </w:rPr>
        <w:t xml:space="preserve">STALE_STATE           Capacity/quota snapshot exceeds max-age threshold; cannot drive a safe placement.</w:t>
      </w:r>
      <w:r>
        <w:br/>
      </w:r>
      <w:r>
        <w:rPr>
          <w:rStyle w:val="VerbatimChar"/>
        </w:rPr>
        <w:t xml:space="preserve">POLICY_BLOCKED        A governance policy (hard constraint, exception, approval) blocks the deployment.</w:t>
      </w:r>
      <w:r>
        <w:br/>
      </w:r>
      <w:r>
        <w:rPr>
          <w:rStyle w:val="VerbatimChar"/>
        </w:rPr>
        <w:t xml:space="preserve">VALIDATION_REQUIRED   One or more validation steps (e.g., POC-gated behaviours) not yet confirmed.</w:t>
      </w:r>
    </w:p>
    <w:bookmarkEnd w:id="74"/>
    <w:bookmarkStart w:id="75" w:name="readiness-gate-logic-rdy-001-decided"/>
    <w:p>
      <w:pPr>
        <w:pStyle w:val="Heading3"/>
      </w:pPr>
      <w:r>
        <w:t xml:space="preserve">Readiness gate logic (RDY-001)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All of the following must pass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target_region    ∈ approved_region_catalogue         (REG-001)</w:t>
      </w:r>
      <w:r>
        <w:br/>
      </w:r>
      <w:r>
        <w:rPr>
          <w:rStyle w:val="VerbatimChar"/>
        </w:rPr>
        <w:t xml:space="preserve">2. az_count         ≥ 1 in target_region                (CAP-011)</w:t>
      </w:r>
      <w:r>
        <w:br/>
      </w:r>
      <w:r>
        <w:rPr>
          <w:rStyle w:val="VerbatimChar"/>
        </w:rPr>
        <w:t xml:space="preserve">3. sku              ∈ supported_skus(target_region)</w:t>
      </w:r>
      <w:r>
        <w:br/>
      </w:r>
      <w:r>
        <w:rPr>
          <w:rStyle w:val="VerbatimChar"/>
        </w:rPr>
        <w:t xml:space="preserve">4. reservation_policy known for (subscription, region, zone, sku)</w:t>
      </w:r>
      <w:r>
        <w:br/>
      </w:r>
      <w:r>
        <w:rPr>
          <w:rStyle w:val="VerbatimChar"/>
        </w:rPr>
        <w:t xml:space="preserve">5. reservation exists (if required by policy)</w:t>
      </w:r>
      <w:r>
        <w:br/>
      </w:r>
      <w:r>
        <w:rPr>
          <w:rStyle w:val="VerbatimChar"/>
        </w:rPr>
        <w:t xml:space="preserve">6. reserved_quantity ≥ requested_count OR approved_over_allocation active</w:t>
      </w:r>
      <w:r>
        <w:br/>
      </w:r>
      <w:r>
        <w:rPr>
          <w:rStyle w:val="VerbatimChar"/>
        </w:rPr>
        <w:t xml:space="preserve">7. consumer_subscription_quota ≥ requested_units        (QUA-013 — POC-gated)</w:t>
      </w:r>
      <w:r>
        <w:br/>
      </w:r>
      <w:r>
        <w:rPr>
          <w:rStyle w:val="VerbatimChar"/>
        </w:rPr>
        <w:t xml:space="preserve">8. snapshot_age     ≤ max_snapshot_age_seconds           (RDY-004)</w:t>
      </w:r>
      <w:r>
        <w:br/>
      </w:r>
      <w:r>
        <w:rPr>
          <w:rStyle w:val="VerbatimChar"/>
        </w:rPr>
        <w:t xml:space="preserve">9. no blocking policy exception or hard constraint violation</w:t>
      </w:r>
    </w:p>
    <w:bookmarkEnd w:id="75"/>
    <w:bookmarkStart w:id="76" w:name="staleness-check-rdy-004-decided"/>
    <w:p>
      <w:pPr>
        <w:pStyle w:val="Heading3"/>
      </w:pPr>
      <w:r>
        <w:t xml:space="preserve">Staleness check (RDY-004)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now() - snapshot.collected_at &gt; max_snapshot_age:</w:t>
      </w:r>
      <w:r>
        <w:br/>
      </w:r>
      <w:r>
        <w:rPr>
          <w:rStyle w:val="VerbatimChar"/>
        </w:rPr>
        <w:t xml:space="preserve">    RETURN STALE_STATE</w:t>
      </w:r>
      <w:r>
        <w:br/>
      </w:r>
      <w:r>
        <w:rPr>
          <w:rStyle w:val="VerbatimChar"/>
        </w:rPr>
        <w:t xml:space="preserve">    ACTION: refresh synchronously OR block with STALE_STATE — never drive placement from stale data</w:t>
      </w:r>
    </w:p>
    <w:bookmarkEnd w:id="76"/>
    <w:bookmarkStart w:id="77" w:name="quota-deficit-formula-a.5-decided"/>
    <w:p>
      <w:pPr>
        <w:pStyle w:val="Heading3"/>
      </w:pPr>
      <w:r>
        <w:t xml:space="preserve">Quota deficit formula (A.5)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   (A.4)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X32a0504b1fbe1562d3248ad8c07343bdd782516"/>
    <w:p>
      <w:pPr>
        <w:pStyle w:val="Heading2"/>
      </w:pPr>
      <w:r>
        <w:t xml:space="preserve">Scenario 20 — Customer Placement Seed Record (PLC-003/004/005)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first approved production-region placement for a customer in a geography.</w:t>
      </w:r>
    </w:p>
    <w:bookmarkStart w:id="79" w:name="seed-record-creation-decided"/>
    <w:p>
      <w:pPr>
        <w:pStyle w:val="Heading3"/>
      </w:pPr>
      <w:r>
        <w:t xml:space="preserve">Seed record creation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CustomerSeedRecord {</w:t>
      </w:r>
      <w:r>
        <w:br/>
      </w:r>
      <w:r>
        <w:rPr>
          <w:rStyle w:val="VerbatimChar"/>
        </w:rPr>
        <w:t xml:space="preserve">    customer_realm_id       : string        # authoritative customer/realm identifier</w:t>
      </w:r>
      <w:r>
        <w:br/>
      </w:r>
      <w:r>
        <w:rPr>
          <w:rStyle w:val="VerbatimChar"/>
        </w:rPr>
        <w:t xml:space="preserve">    geography               : string        # e.g. "NorthAmerica", "Europe"</w:t>
      </w:r>
      <w:r>
        <w:br/>
      </w:r>
      <w:r>
        <w:rPr>
          <w:rStyle w:val="VerbatimChar"/>
        </w:rPr>
        <w:t xml:space="preserve">    production_region       : string        # exact Azure region name</w:t>
      </w:r>
      <w:r>
        <w:br/>
      </w:r>
      <w:r>
        <w:rPr>
          <w:rStyle w:val="VerbatimChar"/>
        </w:rPr>
        <w:t xml:space="preserve">    cval_region             : string        # exact Azure region name</w:t>
      </w:r>
      <w:r>
        <w:br/>
      </w:r>
      <w:r>
        <w:rPr>
          <w:rStyle w:val="VerbatimChar"/>
        </w:rPr>
        <w:t xml:space="preserve">    dr_region               : string | "NOT_OFFERED"</w:t>
      </w:r>
      <w:r>
        <w:br/>
      </w:r>
      <w:r>
        <w:rPr>
          <w:rStyle w:val="VerbatimChar"/>
        </w:rPr>
        <w:t xml:space="preserve">    products_covered        : list&lt;string&gt;  # all products seeded by this record</w:t>
      </w:r>
      <w:r>
        <w:br/>
      </w:r>
      <w:r>
        <w:rPr>
          <w:rStyle w:val="VerbatimChar"/>
        </w:rPr>
        <w:t xml:space="preserve">    decision_timestamp      : datetime</w:t>
      </w:r>
      <w:r>
        <w:br/>
      </w:r>
      <w:r>
        <w:rPr>
          <w:rStyle w:val="VerbatimChar"/>
        </w:rPr>
        <w:t xml:space="preserve">    policy_version          : string        # PlacementPolicy version used</w:t>
      </w:r>
      <w:r>
        <w:br/>
      </w:r>
      <w:r>
        <w:rPr>
          <w:rStyle w:val="VerbatimChar"/>
        </w:rPr>
        <w:t xml:space="preserve">    capacity_snapshot_ref   : string        # snapshot ID that drove the decision</w:t>
      </w:r>
      <w:r>
        <w:br/>
      </w:r>
      <w:r>
        <w:rPr>
          <w:rStyle w:val="VerbatimChar"/>
        </w:rPr>
        <w:t xml:space="preserve">    exception_ref           : string | null # approval ID if Restricted region or geo-exception</w:t>
      </w:r>
      <w:r>
        <w:br/>
      </w:r>
      <w:r>
        <w:rPr>
          <w:rStyle w:val="VerbatimChar"/>
        </w:rPr>
        <w:t xml:space="preserve">    approval_metadata       : ApprovalRecord</w:t>
      </w:r>
      <w:r>
        <w:br/>
      </w:r>
      <w:r>
        <w:rPr>
          <w:rStyle w:val="VerbatimChar"/>
        </w:rPr>
        <w:t xml:space="preserve">    input_mode              : "SPECIFIC_REGION" | "GEOGRAPHY_EXCEPTION"</w:t>
      </w:r>
      <w:r>
        <w:br/>
      </w:r>
      <w:r>
        <w:rPr>
          <w:rStyle w:val="VerbatimChar"/>
        </w:rPr>
        <w:t xml:space="preserve">}</w:t>
      </w:r>
    </w:p>
    <w:bookmarkEnd w:id="79"/>
    <w:bookmarkStart w:id="80" w:name="seed-reuse-policy-plc-004-decided"/>
    <w:p>
      <w:pPr>
        <w:pStyle w:val="Heading3"/>
      </w:pPr>
      <w:r>
        <w:t xml:space="preserve">Seed reuse policy (PLC-004)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CustomerSeedRecord exists for (customer_realm_id, geography):</w:t>
      </w:r>
      <w:r>
        <w:br/>
      </w:r>
      <w:r>
        <w:rPr>
          <w:rStyle w:val="VerbatimChar"/>
        </w:rPr>
        <w:t xml:space="preserve">    READ seed record — do NOT re-invoke the placement engine.</w:t>
      </w:r>
      <w:r>
        <w:br/>
      </w:r>
      <w:r>
        <w:rPr>
          <w:rStyle w:val="VerbatimChar"/>
        </w:rPr>
        <w:t xml:space="preserve">    Subsequent products and environments use the seeded production/CVAL/DR regions.</w:t>
      </w:r>
      <w:r>
        <w:br/>
      </w:r>
      <w:r>
        <w:rPr>
          <w:rStyle w:val="VerbatimChar"/>
        </w:rPr>
        <w:t xml:space="preserve">    Engine is NOT re-run per product once seeded.</w:t>
      </w:r>
    </w:p>
    <w:bookmarkEnd w:id="80"/>
    <w:bookmarkStart w:id="81" w:name="controlled-seed-change-plc-005-decided"/>
    <w:p>
      <w:pPr>
        <w:pStyle w:val="Heading3"/>
      </w:pPr>
      <w:r>
        <w:t xml:space="preserve">Controlled seed change (PLC-005)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seed change requested:</w:t>
      </w:r>
      <w:r>
        <w:br/>
      </w:r>
      <w:r>
        <w:rPr>
          <w:rStyle w:val="VerbatimChar"/>
        </w:rPr>
        <w:t xml:space="preserve">    REQUIRE approved migration/exception workflow.</w:t>
      </w:r>
      <w:r>
        <w:br/>
      </w:r>
      <w:r>
        <w:rPr>
          <w:rStyle w:val="VerbatimChar"/>
        </w:rPr>
        <w:t xml:space="preserve">    REQUIRE impact analysis across all products covered by the seed.</w:t>
      </w:r>
      <w:r>
        <w:br/>
      </w:r>
      <w:r>
        <w:rPr>
          <w:rStyle w:val="VerbatimChar"/>
        </w:rPr>
        <w:t xml:space="preserve">    PROHIBIT automatic regeneration on: upgrades, rebuilds, routine deployments.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4726db8d329c6a588b375d47a5ca6a5ef52f99e"/>
    <w:p>
      <w:pPr>
        <w:pStyle w:val="Heading2"/>
      </w:pPr>
      <w:r>
        <w:t xml:space="preserve">A. Core Formula Reference (Appendix A — Requirements v2.1)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VM Count + Configured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Headroom = Reserved Quantity - Allocated VM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Deficit = max(0, Target Reserved Capacity - Reserved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Quota = Assigned Regional VM-Family Quota - Current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 Deficit = max(0, Requested Deployment Units - Available Quota)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Destination_DR_Requirement(d) = MAX over s (Workload_Portion(s → 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 = max(0, DR_Requirement(d) - Usable_Capacity(d))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 = SUM(portions) / MAX(portions)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X86c7d92b816dc4bb046a29d54ff254716181838"/>
    <w:p>
      <w:pPr>
        <w:pStyle w:val="Heading2"/>
      </w:pPr>
      <w:r>
        <w:t xml:space="preserve">B. Consolidated Policy-Constant Table (v2.2)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bootstrap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per product/workload — no fixed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override (C-11)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SUM(source portions)</w:t>
            </w:r>
            <w:r>
              <w:t xml:space="preserve"> </w:t>
            </w:r>
            <w:r>
              <w:t xml:space="preserve">— per-scope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cross-geo DR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 (was Belgium Central)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c.-evidence-maturity-summary"/>
    <w:p>
      <w:pPr>
        <w:pStyle w:val="Heading2"/>
      </w:pPr>
      <w:r>
        <w:t xml:space="preserve">C. Evidence &amp; Maturity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PS_NonProd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PS_DR</w:t>
            </w:r>
            <w:r>
              <w:t xml:space="preserve"> </w:t>
            </w:r>
            <w:r>
              <w:t xml:space="preserve">(scoring)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  <w:r>
              <w:t xml:space="preserve"> </w:t>
            </w:r>
            <w:r>
              <w:t xml:space="preserve">— design-of-record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Shadow/recommendation mode until empirically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HC-6, HC-7 (hard constraints)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(Scenario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to use max-not-sum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 quota-neutral math (Scenario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POC-31/POC-32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DR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POC-011 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Consumer-subscription quota (QUA-013)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—</w:t>
            </w:r>
            <w:r>
              <w:t xml:space="preserve"> </w:t>
            </w:r>
            <w:r>
              <w:rPr>
                <w:bCs/>
                <w:b/>
              </w:rPr>
              <w:t xml:space="preserve">top technical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Reservation target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Standby activation staging (Scenario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 on POC-005 (VM state semantics)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readiness gate (Scenario 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seed record (Scenario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</w:t>
            </w:r>
          </w:p>
        </w:tc>
      </w:tr>
    </w:tbl>
    <w:p>
      <w:pPr>
        <w:pStyle w:val="BodyText"/>
      </w:pPr>
      <w:r>
        <w:t xml:space="preserve">All constants are policy defaults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 Tuning any</w:t>
      </w:r>
      <w:r>
        <w:t xml:space="preserve"> </w:t>
      </w:r>
      <w:r>
        <w:t xml:space="preserve">constant requires updating the config; no code change is needed.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are retained</w:t>
      </w:r>
      <w:r>
        <w:t xml:space="preserve"> </w:t>
      </w:r>
      <w:r>
        <w:t xml:space="preserve">in the codebase as fallback references for the SUM override (C-11) only.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2.2 — 27 August 2026. Next review: upon POC-001 / POC-011 results.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2026-09-02T11:28:02Z</dcterms:created>
  <dcterms:modified xsi:type="dcterms:W3CDTF">2026-09-02T11:28:02Z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