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crme-functional-design-document-fdd"/>
    <w:p>
      <w:pPr>
        <w:pStyle w:val="Heading1"/>
      </w:pPr>
      <w:r>
        <w:t xml:space="preserve">ACRME — Functional Design Document (FDD)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Functional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Executive Design Document as the functional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v2.2</w:t>
            </w:r>
            <w:r>
              <w:t xml:space="preserve"> </w:t>
            </w:r>
            <w:r>
              <w:t xml:space="preserve">(27 Aug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Business, architecture, operations, audit, onboarding, 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Design Document (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FDD describes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its functional behaviour, flows, states, and rules — traceable to every requirement in Baseline v2.2. It is implementation-neutral; the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(components, data, algorithms, interfaces, security, NFRs) is in the companion TDD.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detail (readiness states, engine modes, formulas, classification tables, validation rules) is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(v2.2).</w:t>
      </w:r>
      <w:r>
        <w:t xml:space="preserve"> </w:t>
      </w:r>
      <w:r>
        <w:t xml:space="preserve">This document reflects the confirmed v2.2 design decisions: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model (QUA-004);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authoritative EU cross-geo DR extension region for Middle East (REG-002);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DR destination sizing (DR-017);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onboarding with a governed</w:t>
      </w:r>
      <w:r>
        <w:t xml:space="preserve"> </w:t>
      </w:r>
      <w:r>
        <w:rPr>
          <w:bCs/>
          <w:b/>
        </w:rPr>
        <w:t xml:space="preserve">seed record</w:t>
      </w:r>
      <w:r>
        <w:t xml:space="preserve"> </w:t>
      </w:r>
      <w:r>
        <w:t xml:space="preserve">(PLC-001..005); distributed, reciprocal DR with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 </w:t>
      </w:r>
      <w:r>
        <w:t xml:space="preserve">(DR-016/018) 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(DR-019).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-and-scope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t xml:space="preserve">ACRME governs Azure capacity reservations and VM-family quota across a managed fleet so that every managed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quota, in the right region/zone/SKU, before it is allowed to proceed — while keeping idle cost low through lean DR and dynamic reconciliation.</w:t>
      </w:r>
    </w:p>
    <w:p>
      <w:pPr>
        <w:pStyle w:val="BodyText"/>
      </w:pPr>
      <w:r>
        <w:rPr>
          <w:bCs/>
          <w:b/>
        </w:rPr>
        <w:t xml:space="preserve">In scope (baseline §5):</w:t>
      </w:r>
      <w:r>
        <w:t xml:space="preserve"> </w:t>
      </w:r>
      <w:r>
        <w:t xml:space="preserve">capacity reservation lifecycle (CAP), quota governance and pooling (QUA), combined deployment readiness (RDY), region selection and customer placement (PLC/REG), disaster recovery (DR), cost/FinOps signals (FIN), AEP/provisioning integration (INT), data/state (DAT), observability (OBS), governance (GOV), operations (OPS), and non-functional behaviour (NFR).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the actual provisioning of customer workloads (owned by AEP), Azure control-plane implementation, and any automation not gated by policy in Phase 1 (destructive VM-association changes remain blocked — see §4.5).</w:t>
      </w:r>
    </w:p>
    <w:bookmarkEnd w:id="20"/>
    <w:bookmarkStart w:id="21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Group — Azure construct holding reserved capacity per 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 under earmark.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Azure/Application Enablement Platform — the provisioning consumer of ACRME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 (PLC-003).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quota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quota group per region/quota family covering Prod + NonProd/CVAL + DR (QUA-004).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reserved standby capacity to initiate recovery, not a fixed % of production (DR-007).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DR sizing = largest single non-concurrent protected source portion (DR-017).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Source→destination DR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Reverse-of-seed mapping driving source-specific standby activation (DR-018).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deployment-readiness verdict returned to AEP (RDY-002).</w:t>
            </w:r>
          </w:p>
        </w:tc>
      </w:tr>
    </w:tbl>
    <w:bookmarkEnd w:id="21"/>
    <w:bookmarkStart w:id="22" w:name="traceability-approach"/>
    <w:p>
      <w:pPr>
        <w:pStyle w:val="Heading3"/>
      </w:pPr>
      <w:r>
        <w:t xml:space="preserve">1.3 Traceability approach</w:t>
      </w:r>
    </w:p>
    <w:p>
      <w:pPr>
        <w:pStyle w:val="FirstParagraph"/>
      </w:pPr>
      <w:r>
        <w:t xml:space="preserve">Every functional capability in §4 cites the requirement IDs it satisfies. §9 is a full matrix mapping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Baseline v2.2 ID (REG/ENV/CAP/QUA/RDY/PLC/DR/FIN/INT/DAT/OBS/GOV/NFR/OPS + POC/DEC/DEP dependencies) to an FDD section.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olution-overview"/>
    <w:p>
      <w:pPr>
        <w:pStyle w:val="Heading2"/>
      </w:pPr>
      <w:r>
        <w:t xml:space="preserve">2. Solution Overview</w:t>
      </w:r>
    </w:p>
    <w:p>
      <w:pPr>
        <w:pStyle w:val="FirstParagraph"/>
      </w:pPr>
      <w:r>
        <w:t xml:space="preserve">ACRME is a policy-driven control engine sitting between the customer/onboarding intent and Azure’s capacity and quota control planes. It continuously reconciles desired vs actual state and answers a single question for every managed deployment:</w:t>
      </w:r>
      <w:r>
        <w:t xml:space="preserve"> </w:t>
      </w:r>
      <w:r>
        <w:rPr>
          <w:iCs/>
          <w:i/>
        </w:rPr>
        <w:t xml:space="preserve">is this deployment ready, and if not, exactly why?</w:t>
      </w:r>
    </w:p>
    <w:p>
      <w:pPr>
        <w:pStyle w:val="BodyText"/>
      </w:pPr>
      <w:r>
        <w:rPr>
          <w:bCs/>
          <w:b/>
        </w:rPr>
        <w:t xml:space="preserve">Capability map → requirement groups: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governance &amp; single-pool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deployment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 &amp; customer placement (seed)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PLC,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recovery (distributed, max-not-sum)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DR,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&amp; 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Provisioning &amp; AEP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&amp; governance &amp;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OBS, GOV,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state (functional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(each), §6</w:t>
            </w:r>
          </w:p>
        </w:tc>
      </w:tr>
    </w:tbl>
    <w:bookmarkStart w:id="24" w:name="f1-system-context"/>
    <w:p>
      <w:pPr>
        <w:pStyle w:val="Heading3"/>
      </w:pPr>
      <w:r>
        <w:t xml:space="preserve">F1 — System context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Onboard[Onboarding / Product teams] --&gt;|exact prod region, customer intent| ACRME</w:t>
      </w:r>
      <w:r>
        <w:br/>
      </w:r>
      <w:r>
        <w:rPr>
          <w:rStyle w:val="VerbatimChar"/>
        </w:rPr>
        <w:t xml:space="preserve">    AEP[AEP / Provisioning] --&gt;|readiness query| ACRME</w:t>
      </w:r>
      <w:r>
        <w:br/>
      </w:r>
      <w:r>
        <w:rPr>
          <w:rStyle w:val="VerbatimChar"/>
        </w:rPr>
        <w:t xml:space="preserve">    ACRME --&gt;|DeploymentReadinessResult| AEP</w:t>
      </w:r>
      <w:r>
        <w:br/>
      </w:r>
      <w:r>
        <w:rPr>
          <w:rStyle w:val="VerbatimChar"/>
        </w:rPr>
        <w:t xml:space="preserve">    Ops[Platform operators / DR coordinator] --&gt;|approvals, overrides, DR declaration| ACRME</w:t>
      </w:r>
      <w:r>
        <w:br/>
      </w:r>
      <w:r>
        <w:rPr>
          <w:rStyle w:val="VerbatimChar"/>
        </w:rPr>
        <w:t xml:space="preserve">    FinOps[FinOps] --&gt;|cost policy, buffer policy| ACRME</w:t>
      </w:r>
      <w:r>
        <w:br/>
      </w:r>
      <w:r>
        <w:rPr>
          <w:rStyle w:val="VerbatimChar"/>
        </w:rPr>
        <w:t xml:space="preserve">    Audit[Auditors] --&gt;|read audit trail| ACRME</w:t>
      </w:r>
      <w:r>
        <w:br/>
      </w:r>
      <w:r>
        <w:rPr>
          <w:rStyle w:val="VerbatimChar"/>
        </w:rPr>
        <w:t xml:space="preserve">    ACRME --&gt;|reservations, CRGs| AzCap[Azure Capacity Control Plane]</w:t>
      </w:r>
      <w:r>
        <w:br/>
      </w:r>
      <w:r>
        <w:rPr>
          <w:rStyle w:val="VerbatimChar"/>
        </w:rPr>
        <w:t xml:space="preserve">    ACRME --&gt;|quota pool ops| AzQuota[Azure Quota / groupQuotas]</w:t>
      </w:r>
      <w:r>
        <w:br/>
      </w:r>
      <w:r>
        <w:rPr>
          <w:rStyle w:val="VerbatimChar"/>
        </w:rPr>
        <w:t xml:space="preserve">    ACRME --&gt;|metrics, alerts| Obs[Observability platform]</w:t>
      </w:r>
      <w:r>
        <w:br/>
      </w:r>
      <w:r>
        <w:rPr>
          <w:rStyle w:val="VerbatimChar"/>
        </w:rPr>
        <w:t xml:space="preserve">    AzCap --&gt; ACRME</w:t>
      </w:r>
      <w:r>
        <w:br/>
      </w:r>
      <w:r>
        <w:rPr>
          <w:rStyle w:val="VerbatimChar"/>
        </w:rPr>
        <w:t xml:space="preserve">    AzQuota --&gt; ACRME</w:t>
      </w:r>
    </w:p>
    <w:bookmarkEnd w:id="24"/>
    <w:bookmarkStart w:id="25" w:name="f2-capability-map"/>
    <w:p>
      <w:pPr>
        <w:pStyle w:val="Heading3"/>
      </w:pPr>
      <w:r>
        <w:t xml:space="preserve">F2 — Capability map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ACRME((ACRME Engine))</w:t>
      </w:r>
      <w:r>
        <w:br/>
      </w:r>
      <w:r>
        <w:rPr>
          <w:rStyle w:val="VerbatimChar"/>
        </w:rPr>
        <w:t xml:space="preserve">    ACRME --&gt; C1[Capacity mgmt&lt;br/&gt;CAP]</w:t>
      </w:r>
      <w:r>
        <w:br/>
      </w:r>
      <w:r>
        <w:rPr>
          <w:rStyle w:val="VerbatimChar"/>
        </w:rPr>
        <w:t xml:space="preserve">    ACRME --&gt; C2[Quota single pool&lt;br/&gt;QUA]</w:t>
      </w:r>
      <w:r>
        <w:br/>
      </w:r>
      <w:r>
        <w:rPr>
          <w:rStyle w:val="VerbatimChar"/>
        </w:rPr>
        <w:t xml:space="preserve">    ACRME --&gt; C3[Readiness&lt;br/&gt;RDY]</w:t>
      </w:r>
      <w:r>
        <w:br/>
      </w:r>
      <w:r>
        <w:rPr>
          <w:rStyle w:val="VerbatimChar"/>
        </w:rPr>
        <w:t xml:space="preserve">    ACRME --&gt; C4[Placement + Seed&lt;br/&gt;PLC / REG]</w:t>
      </w:r>
      <w:r>
        <w:br/>
      </w:r>
      <w:r>
        <w:rPr>
          <w:rStyle w:val="VerbatimChar"/>
        </w:rPr>
        <w:t xml:space="preserve">    ACRME --&gt; C5[Disaster recovery&lt;br/&gt;DR / ENV]</w:t>
      </w:r>
      <w:r>
        <w:br/>
      </w:r>
      <w:r>
        <w:rPr>
          <w:rStyle w:val="VerbatimChar"/>
        </w:rPr>
        <w:t xml:space="preserve">    ACRME --&gt; C6[Cost / FinOps&lt;br/&gt;FIN]</w:t>
      </w:r>
      <w:r>
        <w:br/>
      </w:r>
      <w:r>
        <w:rPr>
          <w:rStyle w:val="VerbatimChar"/>
        </w:rPr>
        <w:t xml:space="preserve">    ACRME --&gt; C7[AEP integration&lt;br/&gt;INT]</w:t>
      </w:r>
      <w:r>
        <w:br/>
      </w:r>
      <w:r>
        <w:rPr>
          <w:rStyle w:val="VerbatimChar"/>
        </w:rPr>
        <w:t xml:space="preserve">    ACRME --&gt; C8[Observability / Governance / Ops&lt;br/&gt;OBS / GOV / OPS]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ctors-and-stakeholders"/>
    <w:p>
      <w:pPr>
        <w:pStyle w:val="Heading2"/>
      </w:pPr>
      <w:r>
        <w:t xml:space="preserve">3. Actors and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ACRME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/ 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exact production region and customer intent; requests placement.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PLC-001, PLC-002,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 /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readiness before deploying; consumes readiness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INT-001..007, RDY-001..004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increases/overrides, runs reconciliation, manages scope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GOV-001..009, OPS-001..005, CAP-006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DR events, orders priority waves, authorises CVAL release, drives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DR-004..013,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cost/buffer policy; monitors idle cost and overcommit.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immutable audit trail of all decisions and mutations.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GOV-004..009, DAT-005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quota provider and feature-maturity dependency.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DEP-001, POC-001..011</w:t>
            </w:r>
          </w:p>
        </w:tc>
      </w:tr>
    </w:tbl>
    <w:bookmarkStart w:id="27" w:name="f3-actor-use-case-overview"/>
    <w:p>
      <w:pPr>
        <w:pStyle w:val="Heading3"/>
      </w:pPr>
      <w:r>
        <w:t xml:space="preserve">F3 — Actor / use-case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Actors</w:t>
      </w:r>
      <w:r>
        <w:br/>
      </w:r>
      <w:r>
        <w:rPr>
          <w:rStyle w:val="VerbatimChar"/>
        </w:rPr>
        <w:t xml:space="preserve">        O[Onboarding]</w:t>
      </w:r>
      <w:r>
        <w:br/>
      </w:r>
      <w:r>
        <w:rPr>
          <w:rStyle w:val="VerbatimChar"/>
        </w:rPr>
        <w:t xml:space="preserve">        A[AEP]</w:t>
      </w:r>
      <w:r>
        <w:br/>
      </w:r>
      <w:r>
        <w:rPr>
          <w:rStyle w:val="VerbatimChar"/>
        </w:rPr>
        <w:t xml:space="preserve">        Op[Operator]</w:t>
      </w:r>
      <w:r>
        <w:br/>
      </w:r>
      <w:r>
        <w:rPr>
          <w:rStyle w:val="VerbatimChar"/>
        </w:rPr>
        <w:t xml:space="preserve">        DR[DR coordinator]</w:t>
      </w:r>
      <w:r>
        <w:br/>
      </w:r>
      <w:r>
        <w:rPr>
          <w:rStyle w:val="VerbatimChar"/>
        </w:rPr>
        <w:t xml:space="preserve">        F[FinOps]</w:t>
      </w:r>
      <w:r>
        <w:br/>
      </w:r>
      <w:r>
        <w:rPr>
          <w:rStyle w:val="VerbatimChar"/>
        </w:rPr>
        <w:t xml:space="preserve">        Au[Auditor]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 --&gt; UC1((Onboard + place customer))</w:t>
      </w:r>
      <w:r>
        <w:br/>
      </w:r>
      <w:r>
        <w:rPr>
          <w:rStyle w:val="VerbatimChar"/>
        </w:rPr>
        <w:t xml:space="preserve">    A --&gt; UC2((Query deployment readiness))</w:t>
      </w:r>
      <w:r>
        <w:br/>
      </w:r>
      <w:r>
        <w:rPr>
          <w:rStyle w:val="VerbatimChar"/>
        </w:rPr>
        <w:t xml:space="preserve">    Op --&gt; UC3((Reconcile capacity/quota))</w:t>
      </w:r>
      <w:r>
        <w:br/>
      </w:r>
      <w:r>
        <w:rPr>
          <w:rStyle w:val="VerbatimChar"/>
        </w:rPr>
        <w:t xml:space="preserve">    Op --&gt; UC4((Approve increase / override))</w:t>
      </w:r>
      <w:r>
        <w:br/>
      </w:r>
      <w:r>
        <w:rPr>
          <w:rStyle w:val="VerbatimChar"/>
        </w:rPr>
        <w:t xml:space="preserve">    DR --&gt; UC5((Declare DR + activate standby))</w:t>
      </w:r>
      <w:r>
        <w:br/>
      </w:r>
      <w:r>
        <w:rPr>
          <w:rStyle w:val="VerbatimChar"/>
        </w:rPr>
        <w:t xml:space="preserve">    DR --&gt; UC6((Run DR drill / failback))</w:t>
      </w:r>
      <w:r>
        <w:br/>
      </w:r>
      <w:r>
        <w:rPr>
          <w:rStyle w:val="VerbatimChar"/>
        </w:rPr>
        <w:t xml:space="preserve">    F --&gt; UC7((Set cost/buffer policy))</w:t>
      </w:r>
      <w:r>
        <w:br/>
      </w:r>
      <w:r>
        <w:rPr>
          <w:rStyle w:val="VerbatimChar"/>
        </w:rPr>
        <w:t xml:space="preserve">    Au --&gt; UC8((Audit decisions))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functional-capabilities"/>
    <w:p>
      <w:pPr>
        <w:pStyle w:val="Heading2"/>
      </w:pPr>
      <w:r>
        <w:t xml:space="preserve">4. Functional Capabilities</w:t>
      </w:r>
    </w:p>
    <w:bookmarkStart w:id="29" w:name="X9eca0a36453d16f207aa7cc644158f26a54f230"/>
    <w:p>
      <w:pPr>
        <w:pStyle w:val="Heading3"/>
      </w:pPr>
      <w:r>
        <w:t xml:space="preserve">4.1 Capacity reservation management (CAP-001..019)</w:t>
      </w:r>
    </w:p>
    <w:p>
      <w:pPr>
        <w:numPr>
          <w:ilvl w:val="0"/>
          <w:numId w:val="1001"/>
        </w:numPr>
        <w:pStyle w:val="Compact"/>
      </w:pPr>
      <w:r>
        <w:t xml:space="preserve">ACRME maintains reservation state per subscription/region/zone/SKU-family/environment/product and correlates it with quota state (CAP-001, CAP-002).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Steady-state reservation floor</w:t>
      </w:r>
      <w:r>
        <w:t xml:space="preserve"> </w:t>
      </w:r>
      <w:r>
        <w:t xml:space="preserve">is normative:</w:t>
      </w:r>
      <w:r>
        <w:t xml:space="preserve"> </w:t>
      </w:r>
      <w:r>
        <w:rPr>
          <w:rStyle w:val="VerbatimChar"/>
        </w:rPr>
        <w:t xml:space="preserve">Target Reserved Capacity = Allocated VM Count + Configured Buffer</w:t>
      </w:r>
      <w:r>
        <w:t xml:space="preserve"> </w:t>
      </w:r>
      <w:r>
        <w:t xml:space="preserve">(CAP-003). Associated-but-deallocated VMs are reported separately and do not automatically preserve paid reservation (CAP-004, CAP-013).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Azure resource creation precedes config activation: create/validate the CRG/reservation first, then activate the deployment config that references it (CAP-007, CAP-008).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Zero-capacity, not deletion:</w:t>
      </w:r>
      <w:r>
        <w:t xml:space="preserve"> </w:t>
      </w:r>
      <w:r>
        <w:t xml:space="preserve">an unused managed reservation is reduced to zero where Azure permits; deletion is a separate approved decommissioning workflow (CAP-009, CAP-010).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Over-allocation (reserved &lt; associated demand) is explicit and policy-approved, never silent (CAP-011, CAP-012). Capacity sharing across subscriptions is validated for SKU/region/zone/authorisation (CAP-014..019).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X772f6edffb11c05be1347f03e03970782405024"/>
    <w:p>
      <w:pPr>
        <w:pStyle w:val="Heading3"/>
      </w:pPr>
      <w:r>
        <w:t xml:space="preserve">4.2 Quota management — single governed pool (QUA-001..014)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 NonProd/CVAL, and DR together. All eligible default per-region quota is hoarded into the pool (QUA-003) and allocated on demand to whichever environment needs it — maximising flexibility, improving utilisation, and</w:t>
      </w:r>
      <w:r>
        <w:t xml:space="preserve"> </w:t>
      </w:r>
      <w:r>
        <w:rPr>
          <w:bCs/>
          <w:b/>
        </w:rPr>
        <w:t xml:space="preserve">cutting quota-increase requests to Microsoft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is by logical earmark, not physical separation: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 fail-safes at</w:t>
      </w:r>
      <w:r>
        <w:t xml:space="preserve"> </w:t>
      </w:r>
      <w:r>
        <w:rPr>
          <w:rStyle w:val="VerbatimChar"/>
        </w:rPr>
        <w:t xml:space="preserve">Allocatable_NonProd = 0</w:t>
      </w:r>
      <w:r>
        <w:t xml:space="preserve"> </w:t>
      </w:r>
      <w:r>
        <w:t xml:space="preserve">(QUA-006..009).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Quota-as-governor (QUA-005):</w:t>
      </w:r>
      <w:r>
        <w:t xml:space="preserve"> </w:t>
      </w:r>
      <w:r>
        <w:t xml:space="preserve">quota caps deployable capacity per product/env/subscription/region/family; every increase is justified and recorded — unallocated pooled quota is not auto-distributed.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Exception topology (QUA-004 clause):</w:t>
      </w:r>
      <w:r>
        <w:t xml:space="preserve"> </w:t>
      </w:r>
      <w:r>
        <w:t xml:space="preserve">a two-group/multi-group model is used only when Azure Quota Group limits or a mandatory Prod-isolation governance boundary make one pool impossible; each such case is recorded in the Decision Log and reverts to one pool when the constraint lifts.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Reclamation never drops a subscription below current usage, committed demand, Prod buffer, or approved DR need (QUA-010..014).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ombined-readiness-rdy-001..004"/>
    <w:p>
      <w:pPr>
        <w:pStyle w:val="Heading3"/>
      </w:pPr>
      <w:r>
        <w:t xml:space="preserve">4.3 Combined readiness (RDY-001..004)</w:t>
      </w:r>
    </w:p>
    <w:p>
      <w:pPr>
        <w:pStyle w:val="FirstParagraph"/>
      </w:pPr>
      <w:r>
        <w:t xml:space="preserve">ACRME returns a single machine-readable</w:t>
      </w:r>
      <w:r>
        <w:t xml:space="preserve"> </w:t>
      </w:r>
      <w:r>
        <w:rPr>
          <w:bCs/>
          <w:b/>
        </w:rPr>
        <w:t xml:space="preserve">deployment readiness state</w:t>
      </w:r>
      <w:r>
        <w:t xml:space="preserve"> </w:t>
      </w:r>
      <w:r>
        <w:t xml:space="preserve">to AEP (RDY-001, RDY-002). The enumerated states are normative: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pStyle w:val="FirstParagraph"/>
      </w:pPr>
      <w:r>
        <w:t xml:space="preserve">Readiness combines capacity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quota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freshness: a reservation without deployable quota is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/</w:t>
      </w:r>
      <w:r>
        <w:rPr>
          <w:rStyle w:val="VerbatimChar"/>
        </w:rPr>
        <w:t xml:space="preserve">QUOTA_DEFICIT</w:t>
      </w:r>
      <w:r>
        <w:t xml:space="preserve">, never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(RDY-003). State older than the configured maximum, when synchronous refresh fails, is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(RDY-004, NFR-002).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1"/>
    <w:bookmarkStart w:id="32" w:name="Xc47e86e10f89ad68333966a0da227c13a8edf1d"/>
    <w:p>
      <w:pPr>
        <w:pStyle w:val="Heading3"/>
      </w:pPr>
      <w:r>
        <w:t xml:space="preserve">F8 — Deployment readiness state model (RDY-002)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Evaluating</w:t>
      </w:r>
      <w:r>
        <w:br/>
      </w:r>
      <w:r>
        <w:rPr>
          <w:rStyle w:val="VerbatimChar"/>
        </w:rPr>
        <w:t xml:space="preserve">    Evaluating --&gt; READY: capacity+quota ok &amp; fresh</w:t>
      </w:r>
      <w:r>
        <w:br/>
      </w:r>
      <w:r>
        <w:rPr>
          <w:rStyle w:val="VerbatimChar"/>
        </w:rPr>
        <w:t xml:space="preserve">    Evaluating --&gt; READY_WITH_RISK: reserved&gt;deployable quota (policy)</w:t>
      </w:r>
      <w:r>
        <w:br/>
      </w:r>
      <w:r>
        <w:rPr>
          <w:rStyle w:val="VerbatimChar"/>
        </w:rPr>
        <w:t xml:space="preserve">    Evaluating --&gt; QUOTA_DEFICIT: consumer quota short</w:t>
      </w:r>
      <w:r>
        <w:br/>
      </w:r>
      <w:r>
        <w:rPr>
          <w:rStyle w:val="VerbatimChar"/>
        </w:rPr>
        <w:t xml:space="preserve">    Evaluating --&gt; RESERVATION_DEFICIT: reserved &lt; required</w:t>
      </w:r>
      <w:r>
        <w:br/>
      </w:r>
      <w:r>
        <w:rPr>
          <w:rStyle w:val="VerbatimChar"/>
        </w:rPr>
        <w:t xml:space="preserve">    Evaluating --&gt; CAPACITY_UNAVAILABLE: Azure cannot supply</w:t>
      </w:r>
      <w:r>
        <w:br/>
      </w:r>
      <w:r>
        <w:rPr>
          <w:rStyle w:val="VerbatimChar"/>
        </w:rPr>
        <w:t xml:space="preserve">    Evaluating --&gt; STALE_STATE: snapshot too old &amp; refresh failed</w:t>
      </w:r>
      <w:r>
        <w:br/>
      </w:r>
      <w:r>
        <w:rPr>
          <w:rStyle w:val="VerbatimChar"/>
        </w:rPr>
        <w:t xml:space="preserve">    Evaluating --&gt; POLICY_BLOCKED: policy/exception required</w:t>
      </w:r>
      <w:r>
        <w:br/>
      </w:r>
      <w:r>
        <w:rPr>
          <w:rStyle w:val="VerbatimChar"/>
        </w:rPr>
        <w:t xml:space="preserve">    Evaluating --&gt; VALIDATION_REQUIRED: unknown/preview behaviour</w:t>
      </w:r>
      <w:r>
        <w:br/>
      </w:r>
      <w:r>
        <w:rPr>
          <w:rStyle w:val="VerbatimChar"/>
        </w:rPr>
        <w:t xml:space="preserve">    READY --&gt; [*]</w:t>
      </w:r>
      <w:r>
        <w:br/>
      </w:r>
      <w:r>
        <w:rPr>
          <w:rStyle w:val="VerbatimChar"/>
        </w:rPr>
        <w:t xml:space="preserve">    READY_WITH_RISK --&gt; [*]</w:t>
      </w:r>
      <w:r>
        <w:br/>
      </w:r>
      <w:r>
        <w:rPr>
          <w:rStyle w:val="VerbatimChar"/>
        </w:rPr>
        <w:t xml:space="preserve">    QUOTA_DEFICIT --&gt; Evaluating: quota allocated</w:t>
      </w:r>
      <w:r>
        <w:br/>
      </w:r>
      <w:r>
        <w:rPr>
          <w:rStyle w:val="VerbatimChar"/>
        </w:rPr>
        <w:t xml:space="preserve">    RESERVATION_DEFICIT --&gt; Evaluating: capacity added</w:t>
      </w:r>
      <w:r>
        <w:br/>
      </w:r>
      <w:r>
        <w:rPr>
          <w:rStyle w:val="VerbatimChar"/>
        </w:rPr>
        <w:t xml:space="preserve">    STALE_STATE --&gt; Evaluating: refresh succeeds</w:t>
      </w:r>
    </w:p>
    <w:bookmarkEnd w:id="32"/>
    <w:bookmarkStart w:id="33" w:name="X8b011be1e0bc9abaf5c3168ea77d90b8660d40e"/>
    <w:p>
      <w:pPr>
        <w:pStyle w:val="Heading3"/>
      </w:pPr>
      <w:r>
        <w:t xml:space="preserve">4.4 Region selection &amp; customer placement (PLC-001..010, REG-001..003)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production region is the default validated input (PLC-001).</w:t>
      </w:r>
      <w:r>
        <w:t xml:space="preserve"> </w:t>
      </w:r>
      <w:r>
        <w:t xml:space="preserve">ACRME validates the supplied region against the versioned catalogue rather than deriving it from a broad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Geography-only selection is an exception path (PLC-002):</w:t>
      </w:r>
      <w:r>
        <w:t xml:space="preserve"> </w:t>
      </w:r>
      <w:r>
        <w:t xml:space="preserve">it requires explicit exception approval and customer acknowledgement that the derived production region becomes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(the seed) until a governed migration changes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Seed-once, reuse-across-products (PLC-003..005):</w:t>
      </w:r>
      <w:r>
        <w:t xml:space="preserve"> </w:t>
      </w:r>
      <w:r>
        <w:t xml:space="preserve">the first valid decision writes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; later products/environments for the same customer/geography reuse it. Seed changes require an approved migration workflow.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t xml:space="preserve">CVAL and DR are selected after production is fixed, using current readiness, environment separation (ENV-003), restriction flags, workload distribution, quota/capacity, and freshness (PLC-006..009).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CVAL/DR co-location double-count guard (PLC-010):</w:t>
      </w:r>
      <w:r>
        <w:t xml:space="preserve"> </w:t>
      </w:r>
      <w:r>
        <w:t xml:space="preserve">earmarked CVAL capacity counts toward DR headroom, never as both live CVAL and available DR.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 catalogue (REG-001..003):</w:t>
      </w:r>
      <w:r>
        <w:t xml:space="preserve"> </w:t>
      </w:r>
      <w:r>
        <w:t xml:space="preserve">versioned, configuration-driven; three-region minimum per geography is normative; region examples come from authoritative config (REG-002 —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Region classification (functional view):</w:t>
      </w:r>
      <w:r>
        <w:t xml:space="preserve"> </w:t>
      </w:r>
      <w:r>
        <w:t xml:space="preserve">Standard (auto-selectable/scored), Restricted (production-only by exception, never CVAL/DR), Cross-Geo Extension (DR-only, approved paths — Middle East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(no cross-border substitution).</w:t>
      </w:r>
      <w:r>
        <w:t xml:space="preserve"> </w:t>
      </w:r>
      <w:r>
        <w:rPr>
          <w:rStyle w:val="VerbatimChar"/>
        </w:rPr>
        <w:t xml:space="preserve">[Decided]</w:t>
      </w:r>
    </w:p>
    <w:bookmarkEnd w:id="33"/>
    <w:bookmarkStart w:id="34" w:name="f4-onboarding-placement-flow"/>
    <w:p>
      <w:pPr>
        <w:pStyle w:val="Heading3"/>
      </w:pPr>
      <w:r>
        <w:t xml:space="preserve">F4 — Onboarding + placement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Start[Placement request] --&gt; Seed{Seed exists?}</w:t>
      </w:r>
      <w:r>
        <w:br/>
      </w:r>
      <w:r>
        <w:rPr>
          <w:rStyle w:val="VerbatimChar"/>
        </w:rPr>
        <w:t xml:space="preserve">    Seed -- Yes --&gt; Reuse[Reuse CustomerSeedRecord]</w:t>
      </w:r>
      <w:r>
        <w:br/>
      </w:r>
      <w:r>
        <w:rPr>
          <w:rStyle w:val="VerbatimChar"/>
        </w:rPr>
        <w:t xml:space="preserve">    Seed -- No --&gt; Mode{Input mode}</w:t>
      </w:r>
      <w:r>
        <w:br/>
      </w:r>
      <w:r>
        <w:rPr>
          <w:rStyle w:val="VerbatimChar"/>
        </w:rPr>
        <w:t xml:space="preserve">    Mode -- Exact prod region default --&gt; ValP[Validate production region vs catalogue]</w:t>
      </w:r>
      <w:r>
        <w:br/>
      </w:r>
      <w:r>
        <w:rPr>
          <w:rStyle w:val="VerbatimChar"/>
        </w:rPr>
        <w:t xml:space="preserve">    Mode -- Geography exception --&gt; Appr{Exception approved + acknowledged?}</w:t>
      </w:r>
      <w:r>
        <w:br/>
      </w:r>
      <w:r>
        <w:rPr>
          <w:rStyle w:val="VerbatimChar"/>
        </w:rPr>
        <w:t xml:space="preserve">    Appr -- No --&gt; PB[POLICY_BLOCKED]</w:t>
      </w:r>
      <w:r>
        <w:br/>
      </w:r>
      <w:r>
        <w:rPr>
          <w:rStyle w:val="VerbatimChar"/>
        </w:rPr>
        <w:t xml:space="preserve">    Appr -- Yes --&gt; DerP[Derive prod from Standard regions - becomes fixed seed]</w:t>
      </w:r>
      <w:r>
        <w:br/>
      </w:r>
      <w:r>
        <w:rPr>
          <w:rStyle w:val="VerbatimChar"/>
        </w:rPr>
        <w:t xml:space="preserve">    ValP --&gt; Ok{Valid, supported, fresh?}</w:t>
      </w:r>
      <w:r>
        <w:br/>
      </w:r>
      <w:r>
        <w:rPr>
          <w:rStyle w:val="VerbatimChar"/>
        </w:rPr>
        <w:t xml:space="preserve">    DerP --&gt; Ok</w:t>
      </w:r>
      <w:r>
        <w:br/>
      </w:r>
      <w:r>
        <w:rPr>
          <w:rStyle w:val="VerbatimChar"/>
        </w:rPr>
        <w:t xml:space="preserve">    Ok -- No --&gt; Reason[Readiness reason state]</w:t>
      </w:r>
      <w:r>
        <w:br/>
      </w:r>
      <w:r>
        <w:rPr>
          <w:rStyle w:val="VerbatimChar"/>
        </w:rPr>
        <w:t xml:space="preserve">    Ok -- Yes --&gt; CVAL[Select/validate CVAL - env separation]</w:t>
      </w:r>
      <w:r>
        <w:br/>
      </w:r>
      <w:r>
        <w:rPr>
          <w:rStyle w:val="VerbatimChar"/>
        </w:rPr>
        <w:t xml:space="preserve">    CVAL --&gt; DR[Select DR or DR_NOT_OFFERED]</w:t>
      </w:r>
      <w:r>
        <w:br/>
      </w:r>
      <w:r>
        <w:rPr>
          <w:rStyle w:val="VerbatimChar"/>
        </w:rPr>
        <w:t xml:space="preserve">    DR --&gt; Idx[Contribute to SourceDestinationDRIndex]</w:t>
      </w:r>
      <w:r>
        <w:br/>
      </w:r>
      <w:r>
        <w:rPr>
          <w:rStyle w:val="VerbatimChar"/>
        </w:rPr>
        <w:t xml:space="preserve">    Idx --&gt; Hold[Atomic placement hold]</w:t>
      </w:r>
      <w:r>
        <w:br/>
      </w:r>
      <w:r>
        <w:rPr>
          <w:rStyle w:val="VerbatimChar"/>
        </w:rPr>
        <w:t xml:space="preserve">    Hold --&gt; Write[Write CustomerSeedRecord]</w:t>
      </w:r>
      <w:r>
        <w:br/>
      </w:r>
      <w:r>
        <w:rPr>
          <w:rStyle w:val="VerbatimChar"/>
        </w:rPr>
        <w:t xml:space="preserve">    Reuse --&gt; Out[Return DeploymentReadinessResult]</w:t>
      </w:r>
      <w:r>
        <w:br/>
      </w:r>
      <w:r>
        <w:rPr>
          <w:rStyle w:val="VerbatimChar"/>
        </w:rPr>
        <w:t xml:space="preserve">    Write --&gt; Out</w:t>
      </w:r>
    </w:p>
    <w:bookmarkEnd w:id="34"/>
    <w:bookmarkStart w:id="35" w:name="disaster-recovery-dr-001..019"/>
    <w:p>
      <w:pPr>
        <w:pStyle w:val="Heading3"/>
      </w:pPr>
      <w:r>
        <w:t xml:space="preserve">4.5 Disaster recovery (DR-001..019)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Distributed, reciprocal DR (DR-016):</w:t>
      </w:r>
      <w:r>
        <w:t xml:space="preserve"> </w:t>
      </w:r>
      <w:r>
        <w:t xml:space="preserve">each region concurrently hosts Prod, CVAL, and DR standby for multiple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source regions. No dedicated DR-only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Lean bootstrap (DR-007):</w:t>
      </w:r>
      <w:r>
        <w:t xml:space="preserve"> </w:t>
      </w:r>
      <w:r>
        <w:t xml:space="preserve">DR holds a configurable bootstrap target by workload/product/region/zone/SKU — never a fixed 30-40% clone; zero bootstrap only by explicit approved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max-not-sum sizing (DR-017):</w:t>
      </w:r>
      <w:r>
        <w:t xml:space="preserve"> </w:t>
      </w:r>
      <w:r>
        <w:t xml:space="preserve">each destination sizes to the largest single non-concurrent protected source portion; a SUM override covers contractual simultaneous-failure needs.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Source→destination index (DR-018)</w:t>
      </w:r>
      <w:r>
        <w:t xml:space="preserve"> </w:t>
      </w:r>
      <w:r>
        <w:t xml:space="preserve">drives</w:t>
      </w:r>
      <w:r>
        <w:t xml:space="preserve"> </w:t>
      </w:r>
      <w:r>
        <w:rPr>
          <w:bCs/>
          <w:b/>
        </w:rPr>
        <w:t xml:space="preserve">source-specific standby activation in business-priority waves (DR-009, DR-019)</w:t>
      </w:r>
      <w:r>
        <w:t xml:space="preserve"> </w:t>
      </w:r>
      <w:r>
        <w:t xml:space="preserve">via staged acquisition (DR-006),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Staged capacity acquisition order (DR-006):</w:t>
      </w:r>
      <w:r>
        <w:t xml:space="preserve"> </w:t>
      </w:r>
      <w:r>
        <w:t xml:space="preserve">bootstrap → destination quota/capacity → approved CVAL release → approved sharing → pooled quota → Azure request with exposed deficit. Because all environments share one governed quota pool, the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(DR-014):</w:t>
      </w:r>
      <w:r>
        <w:t xml:space="preserve"> </w:t>
      </w:r>
      <w:r>
        <w:t xml:space="preserve">where sovereignty/contract forbids cross-border DR, the seed records no DR and ACRME never silently substitutes.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 drills and role flip (DR-010..012):</w:t>
      </w:r>
      <w:r>
        <w:t xml:space="preserve"> </w:t>
      </w:r>
      <w:r>
        <w:t xml:space="preserve">annual drill/rotation validate the model without a real incident; destructive VM-association changes remain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f6-distributed-dr-reference-model-12a"/>
    <w:p>
      <w:pPr>
        <w:pStyle w:val="Heading3"/>
      </w:pPr>
      <w:r>
        <w:t xml:space="preserve">F6 — Distributed DR reference model (§12A)</w:t>
      </w:r>
    </w:p>
    <w:p>
      <w:pPr>
        <w:pStyle w:val="FirstParagraph"/>
      </w:pPr>
      <w:r>
        <w:t xml:space="preserve">See the rendered reference diagram (reused):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 region; each destination sizes by max-not-sum.</w:t>
      </w:r>
    </w:p>
    <w:bookmarkEnd w:id="36"/>
    <w:bookmarkStart w:id="37" w:name="f7-dr-event-standby-activation-waves"/>
    <w:p>
      <w:pPr>
        <w:pStyle w:val="Heading3"/>
      </w:pPr>
      <w:r>
        <w:t xml:space="preserve">F7 — DR event → standby activation waves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ENG as ACRME engine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POOL as Single governed quota pool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DRC-&gt;&gt;ENG: Declare source-region failure (authorised)</w:t>
      </w:r>
      <w:r>
        <w:br/>
      </w:r>
      <w:r>
        <w:rPr>
          <w:rStyle w:val="VerbatimChar"/>
        </w:rPr>
        <w:t xml:space="preserve">    ENG-&gt;&gt;ENG: engine_mode = DR_EVENT_ACTIVE</w:t>
      </w:r>
      <w:r>
        <w:br/>
      </w:r>
      <w:r>
        <w:rPr>
          <w:rStyle w:val="VerbatimChar"/>
        </w:rPr>
        <w:t xml:space="preserve">    ENG-&gt;&gt;IDX: Read standby sets for failed source</w:t>
      </w:r>
      <w:r>
        <w:br/>
      </w:r>
      <w:r>
        <w:rPr>
          <w:rStyle w:val="VerbatimChar"/>
        </w:rPr>
        <w:t xml:space="preserve">    IDX--&gt;&gt;ENG: Customers + priority waves</w:t>
      </w:r>
      <w:r>
        <w:br/>
      </w:r>
      <w:r>
        <w:rPr>
          <w:rStyle w:val="VerbatimChar"/>
        </w:rPr>
        <w:t xml:space="preserve">    loop each priority wave</w:t>
      </w:r>
      <w:r>
        <w:br/>
      </w:r>
      <w:r>
        <w:rPr>
          <w:rStyle w:val="VerbatimChar"/>
        </w:rPr>
        <w:t xml:space="preserve">        ENG-&gt;&gt;POOL: Draw pool headroom then reclaimable NonProd</w:t>
      </w:r>
      <w:r>
        <w:br/>
      </w:r>
      <w:r>
        <w:rPr>
          <w:rStyle w:val="VerbatimChar"/>
        </w:rPr>
        <w:t xml:space="preserve">        POOL--&gt;&gt;ENG: Capacity earmark released</w:t>
      </w:r>
      <w:r>
        <w:br/>
      </w:r>
      <w:r>
        <w:rPr>
          <w:rStyle w:val="VerbatimChar"/>
        </w:rPr>
        <w:t xml:space="preserve">        ENG-&gt;&gt;AZ: Acquire deficit if any (exposed)</w:t>
      </w:r>
      <w:r>
        <w:br/>
      </w:r>
      <w:r>
        <w:rPr>
          <w:rStyle w:val="VerbatimChar"/>
        </w:rPr>
        <w:t xml:space="preserve">        ENG-&gt;&gt;ENG: standby -&gt; allocated/active</w:t>
      </w:r>
      <w:r>
        <w:br/>
      </w:r>
      <w:r>
        <w:rPr>
          <w:rStyle w:val="VerbatimChar"/>
        </w:rPr>
        <w:t xml:space="preserve">        ENG-&gt;&gt;DRC: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DRC-&gt;&gt;ENG: Failback authorised</w:t>
      </w:r>
      <w:r>
        <w:br/>
      </w:r>
      <w:r>
        <w:rPr>
          <w:rStyle w:val="VerbatimChar"/>
        </w:rPr>
        <w:t xml:space="preserve">    ENG-&gt;&gt;ENG: FAILBACK_PENDING -&gt; STEADY_STATE (reversible)</w:t>
      </w:r>
    </w:p>
    <w:bookmarkEnd w:id="37"/>
    <w:bookmarkStart w:id="38" w:name="cost-finops-fin-001..008"/>
    <w:p>
      <w:pPr>
        <w:pStyle w:val="Heading3"/>
      </w:pPr>
      <w:r>
        <w:t xml:space="preserve">4.6 Cost &amp; FinOps (FIN-001..008)</w:t>
      </w:r>
    </w:p>
    <w:p>
      <w:pPr>
        <w:numPr>
          <w:ilvl w:val="0"/>
          <w:numId w:val="1005"/>
        </w:numPr>
        <w:pStyle w:val="Compact"/>
      </w:pPr>
      <w:r>
        <w:t xml:space="preserve">Idle reservation cost is surfaced and alerted (FIN-001, FIN-002); lean DR + max-not-sum minimises idle standby cost (FIN-003).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Cost-before-expansion: increases carry cost exposure and justification (FIN-004, FIN-005).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Shared-DR</w:t>
      </w:r>
      <w:r>
        <w:t xml:space="preserve"> </w:t>
      </w:r>
      <w:r>
        <w:rPr>
          <w:bCs/>
          <w:b/>
        </w:rPr>
        <w:t xml:space="preserve">overcommit accounting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Overcommit_Ratio</w:t>
      </w:r>
      <w:r>
        <w:t xml:space="preserve"> </w:t>
      </w:r>
      <w:r>
        <w:t xml:space="preserve">per destination so the savings of distributed DR are visible and bounded by a safety ceiling (FIN-006..008, POC-011).</w:t>
      </w:r>
      <w:r>
        <w:t xml:space="preserve"> </w:t>
      </w:r>
      <w:r>
        <w:rPr>
          <w:rStyle w:val="VerbatimChar"/>
        </w:rPr>
        <w:t xml:space="preserve">[Derived]</w:t>
      </w:r>
    </w:p>
    <w:bookmarkEnd w:id="38"/>
    <w:bookmarkStart w:id="39" w:name="X581a06036d4d4407616f99d4dcdabc59ca0f4d6"/>
    <w:p>
      <w:pPr>
        <w:pStyle w:val="Heading3"/>
      </w:pPr>
      <w:r>
        <w:t xml:space="preserve">4.7 Provisioning &amp; AEP integration (INT-001..007)</w:t>
      </w:r>
    </w:p>
    <w:p>
      <w:pPr>
        <w:numPr>
          <w:ilvl w:val="0"/>
          <w:numId w:val="1006"/>
        </w:numPr>
        <w:pStyle w:val="Compact"/>
      </w:pPr>
      <w:r>
        <w:t xml:space="preserve">ACRME exposes a functional contract: input (customer, exact region, SKU/family, environment, product, intended demand) → output (</w:t>
      </w:r>
      <w:r>
        <w:rPr>
          <w:rStyle w:val="VerbatimChar"/>
        </w:rPr>
        <w:t xml:space="preserve">DeploymentReadinessResult</w:t>
      </w:r>
      <w:r>
        <w:t xml:space="preserve"> </w:t>
      </w:r>
      <w:r>
        <w:t xml:space="preserve">+ reason + operation handle) (INT-001..003).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All mutating calls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with operation handles and expected-state versions; AEP polls rather than assuming synchronous completion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AEP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39"/>
    <w:bookmarkStart w:id="40" w:name="Xd8eb80020819ca4bb58a7e8ad33192ecb637785"/>
    <w:p>
      <w:pPr>
        <w:pStyle w:val="Heading3"/>
      </w:pPr>
      <w:r>
        <w:t xml:space="preserve">4.8 Observability, governance &amp; operations (OBS, GOV, OPS)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Observability (OBS-001..005):</w:t>
      </w:r>
      <w:r>
        <w:t xml:space="preserve"> </w:t>
      </w:r>
      <w:r>
        <w:t xml:space="preserve">metrics/alerts for buffer deficit, per-destination DR max-source coverage and gap, source↔destination mapping dashboard, activation state by wave, idle cost, staleness.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Governance (GOV-001..009):</w:t>
      </w:r>
      <w:r>
        <w:t xml:space="preserve"> </w:t>
      </w:r>
      <w:r>
        <w:t xml:space="preserve">RBAC, managed identity, approval gates, break-glass, immutable audit of every decision and mutation with before/after values and correlation IDs; versioned scope files with decision traceability (DAT-005).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Operations (OPS-001..005):</w:t>
      </w:r>
      <w:r>
        <w:t xml:space="preserve"> </w:t>
      </w:r>
      <w:r>
        <w:t xml:space="preserve">runbooks for DR declaration, standby activation, CVAL release, quota allocation, sharing activation, emergency override, regional recovery, and failback.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nd-to-end-functional-flows"/>
    <w:p>
      <w:pPr>
        <w:pStyle w:val="Heading2"/>
      </w:pPr>
      <w:r>
        <w:t xml:space="preserve">5. End-to-End Functional Flows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Onboarding + placement</w:t>
      </w:r>
      <w:r>
        <w:t xml:space="preserve"> </w:t>
      </w:r>
      <w:r>
        <w:t xml:space="preserve">(F4): exact-region validation (or geography exception) → CVAL/DR selection → seed write → readiness.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Steady-state reconciliation</w:t>
      </w:r>
      <w:r>
        <w:t xml:space="preserve"> </w:t>
      </w:r>
      <w:r>
        <w:t xml:space="preserve">(F5): every ~6 min, compare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to reserved; scale up (or alert deficit), guarded scale-down, never delete.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Single-region DR event</w:t>
      </w:r>
      <w:r>
        <w:t xml:space="preserve"> </w:t>
      </w:r>
      <w:r>
        <w:t xml:space="preserve">(F7): declare → index lookup → priority-wave activation from the shared pool → audited failback.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 drill / failback</w:t>
      </w:r>
      <w:r>
        <w:t xml:space="preserve">: scheduled role-flip validating the index, waves, and reversibility without a real incident.</w:t>
      </w:r>
    </w:p>
    <w:bookmarkStart w:id="42" w:name="f5-steady-state-reconciliation-behaviour"/>
    <w:p>
      <w:pPr>
        <w:pStyle w:val="Heading3"/>
      </w:pPr>
      <w:r>
        <w:t xml:space="preserve">F5 — Steady-state reconciliation behaviour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Tick[Reconciliation tick ~6 min] --&gt; Read[Read scope, reservation, allocated, associated, buffer, quota, freshness]</w:t>
      </w:r>
      <w:r>
        <w:br/>
      </w:r>
      <w:r>
        <w:rPr>
          <w:rStyle w:val="VerbatimChar"/>
        </w:rPr>
        <w:t xml:space="preserve">    Read --&gt; Fresh{State fresh?}</w:t>
      </w:r>
      <w:r>
        <w:br/>
      </w:r>
      <w:r>
        <w:rPr>
          <w:rStyle w:val="VerbatimChar"/>
        </w:rPr>
        <w:t xml:space="preserve">    Fresh -- No --&gt; Stale[STALE_STATE + refresh]</w:t>
      </w:r>
      <w:r>
        <w:br/>
      </w:r>
      <w:r>
        <w:rPr>
          <w:rStyle w:val="VerbatimChar"/>
        </w:rPr>
        <w:t xml:space="preserve">    Fresh -- Yes --&gt; Cmp{reserved vs Allocated+Buffer}</w:t>
      </w:r>
      <w:r>
        <w:br/>
      </w:r>
      <w:r>
        <w:rPr>
          <w:rStyle w:val="VerbatimChar"/>
        </w:rPr>
        <w:t xml:space="preserve">    Cmp -- below --&gt; Up[Attempt scale-up]</w:t>
      </w:r>
      <w:r>
        <w:br/>
      </w:r>
      <w:r>
        <w:rPr>
          <w:rStyle w:val="VerbatimChar"/>
        </w:rPr>
        <w:t xml:space="preserve">    Up --&gt; Sup{Azure supplies?}</w:t>
      </w:r>
      <w:r>
        <w:br/>
      </w:r>
      <w:r>
        <w:rPr>
          <w:rStyle w:val="VerbatimChar"/>
        </w:rPr>
        <w:t xml:space="preserve">    Sup -- No --&gt; Def[Hold safe state + expose buffer deficit alert]</w:t>
      </w:r>
      <w:r>
        <w:br/>
      </w:r>
      <w:r>
        <w:rPr>
          <w:rStyle w:val="VerbatimChar"/>
        </w:rPr>
        <w:t xml:space="preserve">    Sup -- Yes --&gt; Ok[Confirm + snapshot]</w:t>
      </w:r>
      <w:r>
        <w:br/>
      </w:r>
      <w:r>
        <w:rPr>
          <w:rStyle w:val="VerbatimChar"/>
        </w:rPr>
        <w:t xml:space="preserve">    Cmp -- above --&gt; Guard[Scale-down guards: hold interval, DR earmark, CVAL earmark, maintenance, override, cost]</w:t>
      </w:r>
      <w:r>
        <w:br/>
      </w:r>
      <w:r>
        <w:rPr>
          <w:rStyle w:val="VerbatimChar"/>
        </w:rPr>
        <w:t xml:space="preserve">    Guard --&gt; Down[Reduce toward target - never below Allocated+Buffer, never delete]</w:t>
      </w:r>
      <w:r>
        <w:br/>
      </w:r>
      <w:r>
        <w:rPr>
          <w:rStyle w:val="VerbatimChar"/>
        </w:rPr>
        <w:t xml:space="preserve">    Down --&gt; Ok</w:t>
      </w:r>
      <w:r>
        <w:br/>
      </w:r>
      <w:r>
        <w:rPr>
          <w:rStyle w:val="VerbatimChar"/>
        </w:rPr>
        <w:t xml:space="preserve">    Cmp -- equal --&gt; Ok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dbb97d55424404ce736f7c04e0c6ce7fc6ae838"/>
    <w:p>
      <w:pPr>
        <w:pStyle w:val="Heading2"/>
      </w:pPr>
      <w:r>
        <w:t xml:space="preserve">6. Functional States and Data (functional view)</w:t>
      </w:r>
    </w:p>
    <w:p>
      <w:pPr>
        <w:pStyle w:val="FirstParagraph"/>
      </w:pPr>
      <w:r>
        <w:rPr>
          <w:bCs/>
          <w:b/>
        </w:rPr>
        <w:t xml:space="preserve">Engine mode machine (functional view, DR-004..008, NFR-002):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action; each action keeps its own policy gate.</w:t>
      </w:r>
    </w:p>
    <w:p>
      <w:pPr>
        <w:pStyle w:val="BodyText"/>
      </w:pPr>
      <w:r>
        <w:rPr>
          <w:bCs/>
          <w:b/>
        </w:rPr>
        <w:t xml:space="preserve">Functional data entities (DAT-001..006):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(versioned catalogue), reservation/quota snapshots with freshness metadata, and the immutable decision/audit log. Full technical schema is in the TDD §6.</w:t>
      </w:r>
    </w:p>
    <w:p>
      <w:r>
        <w:pict>
          <v:rect style="width:0;height:1.5pt" o:hralign="center" o:hrstd="t" o:hr="t"/>
        </w:pict>
      </w:r>
    </w:p>
    <w:bookmarkEnd w:id="44"/>
    <w:bookmarkStart w:id="45" w:name="acceptance-criteria-mapping-baseline-20"/>
    <w:p>
      <w:pPr>
        <w:pStyle w:val="Heading2"/>
      </w:pPr>
      <w:r>
        <w:t xml:space="preserve">7. Acceptance Criteria Mapping (baseline §20)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Acceptance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allowed only when capacity+quota+freshness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states, fail-safe on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Exact-region-first onboarding, seed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flow,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Lean, distributed, max-not-sum DR with source-specific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capabilities, activation 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§4.5, F6, 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governed quota pool with Prod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capability, earmarks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silent deletion / no cross-border DR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Zero-capacity,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auditability of decisions and 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980714232c266cdab8051336c753939439403f2"/>
    <w:p>
      <w:pPr>
        <w:pStyle w:val="Heading2"/>
      </w:pPr>
      <w:r>
        <w:t xml:space="preserve">8. Assumptions, Decisions, POC Dependencies (baseline §22–§24)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 under shared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must validate consumer quota until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topology &amp; 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distributed model and lean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overcommit safety ceiling / alert.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Switzerland North extension vs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~1-year run vs ~30-day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exception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the PLC-002 exception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/</w:t>
            </w:r>
            <w:r>
              <w:t xml:space="preserve"> </w:t>
            </w:r>
            <w:r>
              <w:rPr>
                <w:rStyle w:val="VerbatimChar"/>
              </w:rPr>
              <w:t xml:space="preserve">groupType</w:t>
            </w:r>
            <w:r>
              <w:t xml:space="preserve"> </w:t>
            </w: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Single-pool enforcement depends on feature maturity.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66aa9c35ab19a5c928ba5443c218a0fe912491a"/>
    <w:p>
      <w:pPr>
        <w:pStyle w:val="Heading2"/>
      </w:pPr>
      <w:r>
        <w:t xml:space="preserve">9. Requirement Traceability Matrix (Baseline v2.2 → FDD)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(catalogue, three-region min, Switzerland North)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(env separation), §4.5 (roles)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§5(2),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§4.5, F6, F7,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§4.7,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 (fail-safe), §4.7 (idempotency), §5,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§4.8,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 / 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v2.2 requirement ID resolves to at least one FDD section above. Detailed component/algorithm-level traceability is completed in the TDD §17.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TDD; supersede the Executive Design Document (archived).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2026-09-02T11:32:36Z</dcterms:created>
  <dcterms:modified xsi:type="dcterms:W3CDTF">2026-09-02T11:32:36Z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