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acrme-technical-design-document-tdd"/>
    <w:p>
      <w:pPr>
        <w:pStyle w:val="Heading1"/>
      </w:pPr>
      <w:r>
        <w:t xml:space="preserve">ACRME — Technical Design Document (TDD)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Reservation Management Engine (ACRME) — Technical Design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(net-new)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review — supersedes the Production Readiness Review as the technical design of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&amp; Quota Management — Consolidated Requirements Baseline</w:t>
            </w:r>
            <w:r>
              <w:t xml:space="preserve"> </w:t>
            </w:r>
            <w:r>
              <w:rPr>
                <w:bCs/>
                <w:b/>
              </w:rPr>
              <w:t xml:space="preserve">v2.2</w:t>
            </w:r>
            <w:r>
              <w:t xml:space="preserve"> </w:t>
            </w:r>
            <w:r>
              <w:t xml:space="preserve">(27 Aug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Vishnuvardhan Reddy · Principal Cloud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Engineering, SRE/platform operations, security, POC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Design Document (</w:t>
            </w:r>
            <w:r>
              <w:rPr>
                <w:rStyle w:val="VerbatimChar"/>
              </w:rPr>
              <w:t xml:space="preserve">acrme_functional_design_document.md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 (region selection), ADR-002 (quota &amp; capacity, single-pool), ADR-003 (capacity during DR), ADR-004 (forecast &amp; increase), ADR-005 (distributed DR reference model) — all v2.2</w:t>
            </w:r>
          </w:p>
        </w:tc>
      </w:tr>
    </w:tbl>
    <w:p>
      <w:pPr>
        <w:pStyle w:val="BlockText"/>
      </w:pPr>
      <w:r>
        <w:rPr>
          <w:bCs/>
          <w:b/>
        </w:rPr>
        <w:t xml:space="preserve">Purpose.</w:t>
      </w:r>
      <w:r>
        <w:t xml:space="preserve"> </w:t>
      </w:r>
      <w:r>
        <w:t xml:space="preserve">This TDD describes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ACRME is built — components, runtime, topology, data, state, algorithms, interfaces, security, observability, NFRs, integration, and POC gating — traceable to Requirements Baseline v2.2 and to the companion FDD (which owns the</w:t>
      </w:r>
      <w:r>
        <w:t xml:space="preserve"> </w:t>
      </w:r>
      <w:r>
        <w:rPr>
          <w:iCs/>
          <w:i/>
        </w:rPr>
        <w:t xml:space="preserve">what</w:t>
      </w:r>
      <w:r>
        <w:t xml:space="preserve">). This document is</w:t>
      </w:r>
      <w:r>
        <w:t xml:space="preserve"> </w:t>
      </w:r>
      <w:r>
        <w:rPr>
          <w:bCs/>
          <w:b/>
        </w:rPr>
        <w:t xml:space="preserve">self-contained</w:t>
      </w:r>
      <w:r>
        <w:t xml:space="preserve">: all normative algorithms, formulas, schemas, enumerations, and constants are inlined, not referenced externally.</w:t>
      </w:r>
    </w:p>
    <w:p>
      <w:pPr>
        <w:pStyle w:val="BlockText"/>
      </w:pPr>
      <w:r>
        <w:rPr>
          <w:bCs/>
          <w:b/>
        </w:rPr>
        <w:t xml:space="preserve">Reconciliation note (v2.2).</w:t>
      </w:r>
      <w:r>
        <w:t xml:space="preserve"> </w:t>
      </w:r>
      <w:r>
        <w:t xml:space="preserve">This TDD implements the confirmed v2.2 decisions:</w:t>
      </w:r>
      <w:r>
        <w:t xml:space="preserve"> </w:t>
      </w:r>
      <w:r>
        <w:rPr>
          <w:bCs/>
          <w:b/>
        </w:rPr>
        <w:t xml:space="preserve">single governed quota pool</w:t>
      </w:r>
      <w:r>
        <w:t xml:space="preserve"> </w:t>
      </w:r>
      <w:r>
        <w:t xml:space="preserve">as the primary technical model with logical earmarks for Prod/DR protection (QUA-004, ADR-002);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as the EU cross-geo DR extension region (REG-002);</w:t>
      </w:r>
      <w:r>
        <w:t xml:space="preserve"> </w:t>
      </w:r>
      <w:r>
        <w:rPr>
          <w:bCs/>
          <w:b/>
        </w:rPr>
        <w:t xml:space="preserve">max-not-sum</w:t>
      </w:r>
      <w:r>
        <w:t xml:space="preserve"> </w:t>
      </w:r>
      <w:r>
        <w:t xml:space="preserve">destination DR sizing with an authoritative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(DR-016/017/018, ADR-005);</w:t>
      </w:r>
      <w:r>
        <w:t xml:space="preserve"> </w:t>
      </w:r>
      <w:r>
        <w:rPr>
          <w:bCs/>
          <w:b/>
        </w:rPr>
        <w:t xml:space="preserve">exact-production-region-first</w:t>
      </w:r>
      <w:r>
        <w:t xml:space="preserve"> </w:t>
      </w:r>
      <w:r>
        <w:t xml:space="preserve">validation with a governed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 </w:t>
      </w:r>
      <w:r>
        <w:t xml:space="preserve">(PLC-001..005, ADR-001);</w:t>
      </w:r>
      <w:r>
        <w:t xml:space="preserve"> </w:t>
      </w:r>
      <w:r>
        <w:rPr>
          <w:bCs/>
          <w:b/>
        </w:rPr>
        <w:t xml:space="preserve">five-state engine machine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standby activation waves</w:t>
      </w:r>
      <w:r>
        <w:t xml:space="preserve"> </w:t>
      </w:r>
      <w:r>
        <w:t xml:space="preserve">(DR-019, ADR-003).</w:t>
      </w:r>
    </w:p>
    <w:p>
      <w:r>
        <w:pict>
          <v:rect style="width:0;height:1.5pt" o:hralign="center" o:hrstd="t" o:hr="t"/>
        </w:pict>
      </w:r>
    </w:p>
    <w:bookmarkStart w:id="24" w:name="introduction"/>
    <w:p>
      <w:pPr>
        <w:pStyle w:val="Heading2"/>
      </w:pPr>
      <w:r>
        <w:t xml:space="preserve">1. Introduction</w:t>
      </w:r>
    </w:p>
    <w:bookmarkStart w:id="20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document specifies the technical design of ACRME: the control engine that guarantees every managed Azure deployment has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reserved physical capacity and deployable VM-family quota — in the correct region/zone/SKU — before it proceeds, while minimising idle cost through lean distributed DR and continuous reconciliation. It covers component architecture, runtime and deployment, data and state, the placement/scoring/DR algorithms, the API surface, security, observability, non-functional behaviour, integration, and the POC dependencies that gate production reliance.</w:t>
      </w:r>
    </w:p>
    <w:bookmarkEnd w:id="20"/>
    <w:bookmarkStart w:id="21" w:name="relationship-to-the-fdd"/>
    <w:p>
      <w:pPr>
        <w:pStyle w:val="Heading3"/>
      </w:pPr>
      <w:r>
        <w:t xml:space="preserve">1.2 Relationship to the FDD</w:t>
      </w:r>
    </w:p>
    <w:p>
      <w:pPr>
        <w:pStyle w:val="FirstParagraph"/>
      </w:pPr>
      <w:r>
        <w:t xml:space="preserve">The FDD (</w:t>
      </w:r>
      <w:r>
        <w:rPr>
          <w:rStyle w:val="VerbatimChar"/>
        </w:rPr>
        <w:t xml:space="preserve">acrme_functional_design_document.md</w:t>
      </w:r>
      <w:r>
        <w:t xml:space="preserve">) defines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ACRME does — capabilities, flows, states, and rules — traceable to Baseline v2.2. This TDD defines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those capabilities are realised. Where the FDD names a behaviour (e.g. </w:t>
      </w:r>
      <w:r>
        <w:t xml:space="preserve">“</w:t>
      </w:r>
      <w:r>
        <w:t xml:space="preserve">single governed pool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max-not-sum DR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readiness states</w:t>
      </w:r>
      <w:r>
        <w:t xml:space="preserve">”</w:t>
      </w:r>
      <w:r>
        <w:t xml:space="preserve">), this TDD gives the component, schema, algorithm, and interface that implements it. Section references to the FDD use the form</w:t>
      </w:r>
      <w:r>
        <w:t xml:space="preserve"> </w:t>
      </w:r>
      <w:r>
        <w:rPr>
          <w:iCs/>
          <w:i/>
        </w:rPr>
        <w:t xml:space="preserve">(FDD §4.x)</w:t>
      </w:r>
      <w:r>
        <w:t xml:space="preserve">.</w:t>
      </w:r>
    </w:p>
    <w:bookmarkEnd w:id="21"/>
    <w:bookmarkStart w:id="22" w:name="decision-records-referenced"/>
    <w:p>
      <w:pPr>
        <w:pStyle w:val="Heading3"/>
      </w:pPr>
      <w:r>
        <w:t xml:space="preserve">1.3 Decision records referenced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technical mandate used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 &amp; customer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Exact-region-first validation; seed record; staged placement pipeline; input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&amp; capacity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governed pool (primary)</w:t>
            </w:r>
            <w:r>
              <w:t xml:space="preserve">; logical earmarks; exception two-group topology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 during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Five-state engine machine; three-tier emergency transfer; quota-neutral Tier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&amp; increase of capacity/quota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floor vs forecast growth; auto-increase triggers; 10-step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reference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SourceDestinationDRIndex</w:t>
            </w:r>
            <w:r>
              <w:t xml:space="preserve">; max-not-sum; overcommit ratio/gap; §12A worked model</w:t>
            </w:r>
          </w:p>
        </w:tc>
      </w:tr>
    </w:tbl>
    <w:bookmarkEnd w:id="22"/>
    <w:bookmarkStart w:id="23" w:name="evidence-tags"/>
    <w:p>
      <w:pPr>
        <w:pStyle w:val="Heading3"/>
      </w:pPr>
      <w:r>
        <w:t xml:space="preserve">1.4 Evidence tags</w:t>
      </w:r>
    </w:p>
    <w:p>
      <w:pPr>
        <w:pStyle w:val="FirstParagraph"/>
      </w:pPr>
      <w:r>
        <w:t xml:space="preserve">Every non-trivial design assertion carries an evidence tag consistent with the requirements corpus: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 </w:t>
      </w:r>
      <w:r>
        <w:t xml:space="preserve">(Microsoft Learn / Azure platform),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 </w:t>
      </w:r>
      <w:r>
        <w:t xml:space="preserve">(approved ADR decision),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 </w:t>
      </w:r>
      <w:r>
        <w:t xml:space="preserve">(logical consequence; POC where noted),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 </w:t>
      </w:r>
      <w:r>
        <w:t xml:space="preserve">(tunable policy default, not yet empirically validated).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rchitecture-overview"/>
    <w:p>
      <w:pPr>
        <w:pStyle w:val="Heading2"/>
      </w:pPr>
      <w:r>
        <w:t xml:space="preserve">2. Architecture Overview</w:t>
      </w:r>
    </w:p>
    <w:bookmarkStart w:id="25" w:name="design-principles-baseline-20"/>
    <w:p>
      <w:pPr>
        <w:pStyle w:val="Heading3"/>
      </w:pPr>
      <w:r>
        <w:t xml:space="preserve">2.1 Design principles (baseline §20)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Readiness is capacity ∧ quota ∧ freshness.</w:t>
      </w:r>
      <w:r>
        <w:t xml:space="preserve"> </w:t>
      </w:r>
      <w:r>
        <w:t xml:space="preserve">No deployment is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on a reservation alone; deployable consumer quota and non-stale state are equally required (RDY-003, NFR-002).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Continuous reconciliation of desired vs actual.</w:t>
      </w:r>
      <w:r>
        <w:t xml:space="preserve"> </w:t>
      </w:r>
      <w:r>
        <w:t xml:space="preserve">A reservation floor (</w:t>
      </w:r>
      <w:r>
        <w:rPr>
          <w:rStyle w:val="VerbatimChar"/>
        </w:rPr>
        <w:t xml:space="preserve">Allocated + Buffer</w:t>
      </w:r>
      <w:r>
        <w:t xml:space="preserve">, CAP-003) is enforced every cycle; forecast growth is a separate proactive path (ADR-004).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Lean, distributed, reciprocal DR.</w:t>
      </w:r>
      <w:r>
        <w:t xml:space="preserve"> </w:t>
      </w:r>
      <w:r>
        <w:t xml:space="preserve">No dedicated DR regions; each region hosts Prod + CVAL + DR standby for other regions; standby is sized max-not-sum and shared across mutually exclusive failures (DR-016/017, ADR-005).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governed quota pool.</w:t>
      </w:r>
      <w:r>
        <w:t xml:space="preserve"> </w:t>
      </w:r>
      <w:r>
        <w:t xml:space="preserve">Collect all eligible per-region quota into one pool per region/quota family and allocate on demand; protect Prod/DR by logical earmark, minimising quota-increase requests to Microsoft (QUA-004, ADR-002).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Config-as-code, deterministic, replayable.</w:t>
      </w:r>
      <w:r>
        <w:t xml:space="preserve"> </w:t>
      </w:r>
      <w:r>
        <w:t xml:space="preserve">All policy (weights, buffers, thresholds, catalogue) is versioned; every decision records inputs, policy version, and snapshot ref for deterministic replay.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Fail-safe and idempotent.</w:t>
      </w:r>
      <w:r>
        <w:t xml:space="preserve"> </w:t>
      </w:r>
      <w:r>
        <w:t xml:space="preserve">Stale state blocks placement; all mutations are idempotent with operation handles and optimistic concurrency (NFR-002/007).</w:t>
      </w:r>
      <w:r>
        <w:t xml:space="preserve"> </w:t>
      </w:r>
      <w:r>
        <w:rPr>
          <w:rStyle w:val="VerbatimChar"/>
        </w:rPr>
        <w:t xml:space="preserve">[Decided]</w:t>
      </w:r>
    </w:p>
    <w:bookmarkEnd w:id="25"/>
    <w:bookmarkStart w:id="26" w:name="constraints-baseline-21"/>
    <w:p>
      <w:pPr>
        <w:pStyle w:val="Heading3"/>
      </w:pPr>
      <w:r>
        <w:t xml:space="preserve">2.2 Constraints (baseline §21)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Azure Quota Group 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groupQuotas</w:t>
      </w:r>
      <w:r>
        <w:rPr>
          <w:bCs/>
          <w:b/>
        </w:rPr>
        <w:t xml:space="preserve"> </w:t>
      </w:r>
      <w:r>
        <w:rPr>
          <w:bCs/>
          <w:b/>
        </w:rPr>
        <w:t xml:space="preserve">maturity</w:t>
      </w:r>
      <w:r>
        <w:t xml:space="preserve"> </w:t>
      </w:r>
      <w:r>
        <w:t xml:space="preserve">gates single-pool enforcement (DEP-001); the two-group topology is the sanctioned fallback.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native intra-pool sub-reservation</w:t>
      </w:r>
      <w:r>
        <w:t xml:space="preserve"> </w:t>
      </w:r>
      <w:r>
        <w:t xml:space="preserve">in Azure quota groups — the DR earmark and Prod floor are engine-enforced arithmetic, not platform primitives (Scenario 9).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ARM throttling budgets</w:t>
      </w:r>
      <w:r>
        <w:t xml:space="preserve"> </w:t>
      </w:r>
      <w:r>
        <w:t xml:space="preserve">bound reconciliation cadence and estate size (Compute RP: 250 reads / 5 min, 1,200 writes / hour per subscription).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Phase 1 guardrails:</w:t>
      </w:r>
      <w:r>
        <w:t xml:space="preserve"> </w:t>
      </w:r>
      <w:r>
        <w:t xml:space="preserve">destructive VM-association transfers (Tier 3) are blocked; auto-decrease is operator-gated; forecast is advisory.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Consumer-quota-under-shared-reservation (POC-001)</w:t>
      </w:r>
      <w:r>
        <w:t xml:space="preserve"> </w:t>
      </w:r>
      <w:r>
        <w:t xml:space="preserve">is the top unknown; readiness must validate consumer quota until proven.</w:t>
      </w:r>
      <w:r>
        <w:t xml:space="preserve"> </w:t>
      </w:r>
      <w:r>
        <w:rPr>
          <w:rStyle w:val="VerbatimChar"/>
        </w:rPr>
        <w:t xml:space="preserve">[Assumed]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logical-component-architecture-23"/>
    <w:p>
      <w:pPr>
        <w:pStyle w:val="Heading2"/>
      </w:pPr>
      <w:r>
        <w:t xml:space="preserve">3. Logical Component Architecture (§23)</w:t>
      </w:r>
    </w:p>
    <w:p>
      <w:pPr>
        <w:pStyle w:val="FirstParagraph"/>
      </w:pPr>
      <w:r>
        <w:t xml:space="preserve">ACRME is a set of cooperating services around a versioned state store and a policy (config-as-code) service. Components are deployable as modules of a single control application; boundaries are drawn for testability and independent scaling.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Collector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Polls Azure (CRGs, reservations, quota/groupQuotas, usage, associations, zones) into freshness-stamped snapshots.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DAT-001..004, CAP-001/002, NFR-002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Reconciler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cycle compares desired vs actual; enforces</w:t>
            </w:r>
            <w:r>
              <w:t xml:space="preserve"> </w:t>
            </w:r>
            <w:r>
              <w:rPr>
                <w:rStyle w:val="VerbatimChar"/>
              </w:rPr>
              <w:t xml:space="preserve">Allocated + Buffer</w:t>
            </w:r>
            <w:r>
              <w:t xml:space="preserve"> </w:t>
            </w:r>
            <w:r>
              <w:t xml:space="preserve">floor; guarded scale-down; never deletes.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CAP-003/004/009/010, OPS-002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Placement &amp; Scoring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exact region (or derives on exception); computes</w:t>
            </w:r>
            <w:r>
              <w:t xml:space="preserve"> </w:t>
            </w:r>
            <w:r>
              <w:rPr>
                <w:rStyle w:val="VerbatimChar"/>
              </w:rPr>
              <w:t xml:space="preserve">PS_Prod/PS_NonProd/PS_DR</w:t>
            </w:r>
            <w:r>
              <w:t xml:space="preserve">; writes seed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PLC-001..010, REG-001..003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Quota-Pool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the single governed pool; computes earmarks; allocates on demand; enforces Prod floor &amp; DR earmark; exception two-group mode.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QUA-001..014, ADR-002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</w:t>
            </w:r>
            <w:r>
              <w:t xml:space="preserve"> </w:t>
            </w:r>
            <w:r>
              <w:rPr>
                <w:rStyle w:val="VerbatimChar"/>
              </w:rPr>
              <w:t xml:space="preserve">SourceDestinationDRIndex</w:t>
            </w:r>
            <w:r>
              <w:t xml:space="preserve">; sizes max-not-sum; runs standby activation waves &amp; staged acquisition; failback.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DR-001..019, ADR-005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Readiness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capacity+quota+freshness verdict as a machine-readable state to AEP.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RDY-001..004, INT-001..007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Versioned, optimistic-concurrency document store for entities, snapshots, operation/audit records.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DAT-001..006, NFR-007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 / Scope-File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</w:t>
            </w:r>
            <w:r>
              <w:t xml:space="preserve"> </w:t>
            </w:r>
            <w:r>
              <w:rPr>
                <w:rStyle w:val="VerbatimChar"/>
              </w:rPr>
              <w:t xml:space="preserve">PlacementPolicy</w:t>
            </w:r>
            <w:r>
              <w:t xml:space="preserve">, region catalogue, scope files; decision-traceable.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GOV-003, DAT-005, REG-001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Forecast &amp; Increase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</w:t>
            </w:r>
            <w:r>
              <w:t xml:space="preserve"> </w:t>
            </w:r>
            <w:r>
              <w:rPr>
                <w:rStyle w:val="VerbatimChar"/>
              </w:rPr>
              <w:t xml:space="preserve">Forecast_Quantity</w:t>
            </w:r>
            <w:r>
              <w:t xml:space="preserve">; auto-increase triggers; operator-gated capacity/quota increase.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CAP-005, ADR-004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Emergency Transfer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1/2/3 escalation during</w:t>
            </w:r>
            <w:r>
              <w:t xml:space="preserve"> </w:t>
            </w:r>
            <w:r>
              <w:rPr>
                <w:rStyle w:val="VerbatimChar"/>
              </w:rPr>
              <w:t xml:space="preserve">DR_EVENT_ACTIVE</w:t>
            </w:r>
            <w:r>
              <w:t xml:space="preserve">; quota-neutral Tier 2; Tier 3 blocked in Phase 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ADR-003, §13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Observability Emitter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Metrics, alerts, dashboards incl. per-destination max-source coverage &amp; source↔destination map.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OBS-001..005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 &amp;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RBAC, managed identity, approval gates, break-glass, immutable audit with before/after + correlation IDs.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GOV-001..009</w:t>
            </w:r>
          </w:p>
        </w:tc>
      </w:tr>
    </w:tbl>
    <w:bookmarkStart w:id="28" w:name="t1-logical-component-architecture"/>
    <w:p>
      <w:pPr>
        <w:pStyle w:val="Heading3"/>
      </w:pPr>
      <w:r>
        <w:t xml:space="preserve">T1 — Logical component architecture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External</w:t>
      </w:r>
      <w:r>
        <w:br/>
      </w:r>
      <w:r>
        <w:rPr>
          <w:rStyle w:val="VerbatimChar"/>
        </w:rPr>
        <w:t xml:space="preserve">        AEP[AEP / Provisioning]</w:t>
      </w:r>
      <w:r>
        <w:br/>
      </w:r>
      <w:r>
        <w:rPr>
          <w:rStyle w:val="VerbatimChar"/>
        </w:rPr>
        <w:t xml:space="preserve">        OPS[Operators / DR coordinator]</w:t>
      </w:r>
      <w:r>
        <w:br/>
      </w:r>
      <w:r>
        <w:rPr>
          <w:rStyle w:val="VerbatimChar"/>
        </w:rPr>
        <w:t xml:space="preserve">        AZ[Azure control planes:&lt;br/&gt;Compute / Reservations / groupQuotas]</w:t>
      </w:r>
      <w:r>
        <w:br/>
      </w:r>
      <w:r>
        <w:rPr>
          <w:rStyle w:val="VerbatimChar"/>
        </w:rPr>
        <w:t xml:space="preserve">        OBS[Observability platform]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ACRME</w:t>
      </w:r>
      <w:r>
        <w:br/>
      </w:r>
      <w:r>
        <w:rPr>
          <w:rStyle w:val="VerbatimChar"/>
        </w:rPr>
        <w:t xml:space="preserve">        API[Readiness API]</w:t>
      </w:r>
      <w:r>
        <w:br/>
      </w:r>
      <w:r>
        <w:rPr>
          <w:rStyle w:val="VerbatimChar"/>
        </w:rPr>
        <w:t xml:space="preserve">        PE[Placement &amp; Scoring Engine]</w:t>
      </w:r>
      <w:r>
        <w:br/>
      </w:r>
      <w:r>
        <w:rPr>
          <w:rStyle w:val="VerbatimChar"/>
        </w:rPr>
        <w:t xml:space="preserve">        REC[State Reconciler]</w:t>
      </w:r>
      <w:r>
        <w:br/>
      </w:r>
      <w:r>
        <w:rPr>
          <w:rStyle w:val="VerbatimChar"/>
        </w:rPr>
        <w:t xml:space="preserve">        QPM[Quota-Pool Manager]</w:t>
      </w:r>
      <w:r>
        <w:br/>
      </w:r>
      <w:r>
        <w:rPr>
          <w:rStyle w:val="VerbatimChar"/>
        </w:rPr>
        <w:t xml:space="preserve">        DRO[DR Orchestrator]</w:t>
      </w:r>
      <w:r>
        <w:br/>
      </w:r>
      <w:r>
        <w:rPr>
          <w:rStyle w:val="VerbatimChar"/>
        </w:rPr>
        <w:t xml:space="preserve">        FIS[Forecast &amp; Increase Service]</w:t>
      </w:r>
      <w:r>
        <w:br/>
      </w:r>
      <w:r>
        <w:rPr>
          <w:rStyle w:val="VerbatimChar"/>
        </w:rPr>
        <w:t xml:space="preserve">        ETS[Emergency Transfer Service]</w:t>
      </w:r>
      <w:r>
        <w:br/>
      </w:r>
      <w:r>
        <w:rPr>
          <w:rStyle w:val="VerbatimChar"/>
        </w:rPr>
        <w:t xml:space="preserve">        INV[Inventory Collector]</w:t>
      </w:r>
      <w:r>
        <w:br/>
      </w:r>
      <w:r>
        <w:rPr>
          <w:rStyle w:val="VerbatimChar"/>
        </w:rPr>
        <w:t xml:space="preserve">        CFG[Config / Scope-File Service]</w:t>
      </w:r>
      <w:r>
        <w:br/>
      </w:r>
      <w:r>
        <w:rPr>
          <w:rStyle w:val="VerbatimChar"/>
        </w:rPr>
        <w:t xml:space="preserve">        GOV[Governance &amp; Audit]</w:t>
      </w:r>
      <w:r>
        <w:br/>
      </w:r>
      <w:r>
        <w:rPr>
          <w:rStyle w:val="VerbatimChar"/>
        </w:rPr>
        <w:t xml:space="preserve">        OE[Observability Emitter]</w:t>
      </w:r>
      <w:r>
        <w:br/>
      </w:r>
      <w:r>
        <w:rPr>
          <w:rStyle w:val="VerbatimChar"/>
        </w:rPr>
        <w:t xml:space="preserve">        STORE[(State Store&lt;br/&gt;versioned + optimistic concurrency)]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AEP --&gt;|readiness query / mutations| API</w:t>
      </w:r>
      <w:r>
        <w:br/>
      </w:r>
      <w:r>
        <w:rPr>
          <w:rStyle w:val="VerbatimChar"/>
        </w:rPr>
        <w:t xml:space="preserve">    OPS --&gt;|approvals, DR declaration| API</w:t>
      </w:r>
      <w:r>
        <w:br/>
      </w:r>
      <w:r>
        <w:rPr>
          <w:rStyle w:val="VerbatimChar"/>
        </w:rPr>
        <w:t xml:space="preserve">    API --&gt; PE &amp; QPM &amp; DRO &amp; REC</w:t>
      </w:r>
      <w:r>
        <w:br/>
      </w:r>
      <w:r>
        <w:rPr>
          <w:rStyle w:val="VerbatimChar"/>
        </w:rPr>
        <w:t xml:space="preserve">    PE --&gt; STORE</w:t>
      </w:r>
      <w:r>
        <w:br/>
      </w:r>
      <w:r>
        <w:rPr>
          <w:rStyle w:val="VerbatimChar"/>
        </w:rPr>
        <w:t xml:space="preserve">    QPM --&gt; STORE</w:t>
      </w:r>
      <w:r>
        <w:br/>
      </w:r>
      <w:r>
        <w:rPr>
          <w:rStyle w:val="VerbatimChar"/>
        </w:rPr>
        <w:t xml:space="preserve">    DRO --&gt; STORE</w:t>
      </w:r>
      <w:r>
        <w:br/>
      </w:r>
      <w:r>
        <w:rPr>
          <w:rStyle w:val="VerbatimChar"/>
        </w:rPr>
        <w:t xml:space="preserve">    REC --&gt; STORE</w:t>
      </w:r>
      <w:r>
        <w:br/>
      </w:r>
      <w:r>
        <w:rPr>
          <w:rStyle w:val="VerbatimChar"/>
        </w:rPr>
        <w:t xml:space="preserve">    FIS --&gt; STORE</w:t>
      </w:r>
      <w:r>
        <w:br/>
      </w:r>
      <w:r>
        <w:rPr>
          <w:rStyle w:val="VerbatimChar"/>
        </w:rPr>
        <w:t xml:space="preserve">    ETS --&gt; STORE</w:t>
      </w:r>
      <w:r>
        <w:br/>
      </w:r>
      <w:r>
        <w:rPr>
          <w:rStyle w:val="VerbatimChar"/>
        </w:rPr>
        <w:t xml:space="preserve">    INV --&gt;|snapshots| STORE</w:t>
      </w:r>
      <w:r>
        <w:br/>
      </w:r>
      <w:r>
        <w:rPr>
          <w:rStyle w:val="VerbatimChar"/>
        </w:rPr>
        <w:t xml:space="preserve">    INV &lt;--&gt; AZ</w:t>
      </w:r>
      <w:r>
        <w:br/>
      </w:r>
      <w:r>
        <w:rPr>
          <w:rStyle w:val="VerbatimChar"/>
        </w:rPr>
        <w:t xml:space="preserve">    QPM &lt;--&gt; AZ</w:t>
      </w:r>
      <w:r>
        <w:br/>
      </w:r>
      <w:r>
        <w:rPr>
          <w:rStyle w:val="VerbatimChar"/>
        </w:rPr>
        <w:t xml:space="preserve">    REC &lt;--&gt; AZ</w:t>
      </w:r>
      <w:r>
        <w:br/>
      </w:r>
      <w:r>
        <w:rPr>
          <w:rStyle w:val="VerbatimChar"/>
        </w:rPr>
        <w:t xml:space="preserve">    DRO &lt;--&gt; AZ</w:t>
      </w:r>
      <w:r>
        <w:br/>
      </w:r>
      <w:r>
        <w:rPr>
          <w:rStyle w:val="VerbatimChar"/>
        </w:rPr>
        <w:t xml:space="preserve">    CFG --&gt; PE &amp; QPM &amp; DRO &amp; REC &amp; FIS</w:t>
      </w:r>
      <w:r>
        <w:br/>
      </w:r>
      <w:r>
        <w:rPr>
          <w:rStyle w:val="VerbatimChar"/>
        </w:rPr>
        <w:t xml:space="preserve">    GOV -.enforces.-&gt; API</w:t>
      </w:r>
      <w:r>
        <w:br/>
      </w:r>
      <w:r>
        <w:rPr>
          <w:rStyle w:val="VerbatimChar"/>
        </w:rPr>
        <w:t xml:space="preserve">    OE --&gt; OBS</w:t>
      </w:r>
      <w:r>
        <w:br/>
      </w:r>
      <w:r>
        <w:rPr>
          <w:rStyle w:val="VerbatimChar"/>
        </w:rPr>
        <w:t xml:space="preserve">    STORE --&gt; OE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runtime-deployment-23-cap-006-plc-009"/>
    <w:p>
      <w:pPr>
        <w:pStyle w:val="Heading2"/>
      </w:pPr>
      <w:r>
        <w:t xml:space="preserve">4. Runtime &amp; Deployment (§23, CAP-006, PLC-009)</w:t>
      </w:r>
    </w:p>
    <w:bookmarkStart w:id="30" w:name="execution-model"/>
    <w:p>
      <w:pPr>
        <w:pStyle w:val="Heading3"/>
      </w:pPr>
      <w:r>
        <w:t xml:space="preserve">4.1 Execution model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Reconciliation job (container app):</w:t>
      </w:r>
      <w:r>
        <w:t xml:space="preserve"> </w:t>
      </w:r>
      <w:r>
        <w:t xml:space="preserve">a long-running scheduler executes the reconciliation loop on a</w:t>
      </w:r>
      <w:r>
        <w:t xml:space="preserve"> </w:t>
      </w:r>
      <w:r>
        <w:rPr>
          <w:bCs/>
          <w:b/>
        </w:rPr>
        <w:t xml:space="preserve">6-minute target interval (configurable, CAP-006)</w:t>
      </w:r>
      <w:r>
        <w:t xml:space="preserve">; targeted/critical reconciles run out-of-band. It drives the Inventory Collector → State Reconciler → Quota-Pool Manager cycle and emits snapshots.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Placement flow (function/event path, PLC-009):</w:t>
      </w:r>
      <w:r>
        <w:t xml:space="preserve"> </w:t>
      </w:r>
      <w:r>
        <w:t xml:space="preserve">onboarding and AEP readiness requests are handled synchronously against the latest snapshot; on stale state the request triggers a synchronous refresh or returns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 path:</w:t>
      </w:r>
      <w:r>
        <w:t xml:space="preserve"> </w:t>
      </w:r>
      <w:r>
        <w:t xml:space="preserve">DR declaration flips</w:t>
      </w:r>
      <w:r>
        <w:t xml:space="preserve"> </w:t>
      </w:r>
      <w:r>
        <w:rPr>
          <w:rStyle w:val="VerbatimChar"/>
        </w:rPr>
        <w:t xml:space="preserve">engine_mode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; the DR Orchestrator drives priority-wave activation out of the steady-state cadence.</w:t>
      </w:r>
      <w:r>
        <w:t xml:space="preserve"> </w:t>
      </w:r>
      <w:r>
        <w:rPr>
          <w:rStyle w:val="VerbatimChar"/>
        </w:rPr>
        <w:t xml:space="preserve">[Decided]</w:t>
      </w:r>
    </w:p>
    <w:bookmarkEnd w:id="30"/>
    <w:bookmarkStart w:id="31" w:name="cadence-slos-and-drift-38-nfr"/>
    <w:p>
      <w:pPr>
        <w:pStyle w:val="Heading3"/>
      </w:pPr>
      <w:r>
        <w:t xml:space="preserve">4.2 Cadence, SLOs and drift (§38, NFR)</w:t>
      </w:r>
    </w:p>
    <w:p>
      <w:pPr>
        <w:pStyle w:val="SourceCode"/>
      </w:pPr>
      <w:r>
        <w:rPr>
          <w:rStyle w:val="VerbatimChar"/>
        </w:rPr>
        <w:t xml:space="preserve">Reconciliation loop target        = 6 min (configurable; production interval TBD)   [Assumed]</w:t>
      </w:r>
      <w:r>
        <w:br/>
      </w:r>
      <w:r>
        <w:rPr>
          <w:rStyle w:val="VerbatimChar"/>
        </w:rPr>
        <w:t xml:space="preserve">Critical targeted reconcile  P95  &lt; 2 min                                           [Assumed]</w:t>
      </w:r>
      <w:r>
        <w:br/>
      </w:r>
      <w:r>
        <w:rPr>
          <w:rStyle w:val="VerbatimChar"/>
        </w:rPr>
        <w:t xml:space="preserve">Stable-resource state age    P95  &lt; 15 min                                          [Assumed]</w:t>
      </w:r>
      <w:r>
        <w:br/>
      </w:r>
      <w:r>
        <w:rPr>
          <w:rStyle w:val="VerbatimChar"/>
        </w:rPr>
        <w:t xml:space="preserve">Drift detection                   ≤ 2 reconciliation cycles                         [Assumed]</w:t>
      </w:r>
      <w:r>
        <w:br/>
      </w:r>
      <w:r>
        <w:rPr>
          <w:rStyle w:val="VerbatimChar"/>
        </w:rPr>
        <w:t xml:space="preserve">Snapshot max age (staleness gate) = max_snapshot_age_seconds (config, RDY-004)      [Decided]</w:t>
      </w:r>
    </w:p>
    <w:bookmarkEnd w:id="31"/>
    <w:bookmarkStart w:id="32" w:name="api-surface-summary-detail-in-11"/>
    <w:p>
      <w:pPr>
        <w:pStyle w:val="Heading3"/>
      </w:pPr>
      <w:r>
        <w:t xml:space="preserve">4.3 API surface (summary; detail in §11)</w:t>
      </w:r>
    </w:p>
    <w:p>
      <w:pPr>
        <w:pStyle w:val="FirstParagraph"/>
      </w:pPr>
      <w:r>
        <w:t xml:space="preserve">A readiness/placement API (query + idempotent mutations), an operations/approval API (increase approval, DR declaration, override, sharing activation), and a read-only audit/observability API. All mutating operations are idempotent and versioned (INT-004..006).</w:t>
      </w:r>
      <w:r>
        <w:t xml:space="preserve"> </w:t>
      </w:r>
      <w:r>
        <w:rPr>
          <w:rStyle w:val="VerbatimChar"/>
        </w:rPr>
        <w:t xml:space="preserve">[Decided]</w:t>
      </w:r>
    </w:p>
    <w:bookmarkEnd w:id="32"/>
    <w:bookmarkStart w:id="33" w:name="X94bee3bfc77cb1b99c97f5a7f8f75ea9d23a3b1"/>
    <w:p>
      <w:pPr>
        <w:pStyle w:val="Heading3"/>
      </w:pPr>
      <w:r>
        <w:t xml:space="preserve">T2 — Management group / subscription topology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MG[Management Group root] --&gt; MGPlat[Platform MG]</w:t>
      </w:r>
      <w:r>
        <w:br/>
      </w:r>
      <w:r>
        <w:rPr>
          <w:rStyle w:val="VerbatimChar"/>
        </w:rPr>
        <w:t xml:space="preserve">    MG --&gt; MGWork[Workload MGs]</w:t>
      </w:r>
      <w:r>
        <w:br/>
      </w:r>
      <w:r>
        <w:rPr>
          <w:rStyle w:val="VerbatimChar"/>
        </w:rPr>
        <w:t xml:space="preserve">    MGPlat --&gt; SubCtl[ACRME control subscription&lt;br/&gt;engine, state store, config]</w:t>
      </w:r>
      <w:r>
        <w:br/>
      </w:r>
      <w:r>
        <w:rPr>
          <w:rStyle w:val="VerbatimChar"/>
        </w:rPr>
        <w:t xml:space="preserve">    MGPlat --&gt; SubObs[Observability subscription]</w:t>
      </w:r>
      <w:r>
        <w:br/>
      </w:r>
      <w:r>
        <w:rPr>
          <w:rStyle w:val="VerbatimChar"/>
        </w:rPr>
        <w:t xml:space="preserve">    MGWork --&gt; SubProd[Prod subscriptions&lt;br/&gt;Prod CRGs + pool]</w:t>
      </w:r>
      <w:r>
        <w:br/>
      </w:r>
      <w:r>
        <w:rPr>
          <w:rStyle w:val="VerbatimChar"/>
        </w:rPr>
        <w:t xml:space="preserve">    MGWork --&gt; SubNonProd[NonProd/CVAL subscriptions&lt;br/&gt;NonProd CRGs]</w:t>
      </w:r>
      <w:r>
        <w:br/>
      </w:r>
      <w:r>
        <w:rPr>
          <w:rStyle w:val="VerbatimChar"/>
        </w:rPr>
        <w:t xml:space="preserve">    MGWork --&gt; SubDR[DR-hosting subscriptions&lt;br/&gt;DR standby CRGs]</w:t>
      </w:r>
      <w:r>
        <w:br/>
      </w:r>
      <w:r>
        <w:rPr>
          <w:rStyle w:val="VerbatimChar"/>
        </w:rPr>
        <w:t xml:space="preserve">    SubCtl -. managed identity + RBAC .-&gt; SubProd</w:t>
      </w:r>
      <w:r>
        <w:br/>
      </w:r>
      <w:r>
        <w:rPr>
          <w:rStyle w:val="VerbatimChar"/>
        </w:rPr>
        <w:t xml:space="preserve">    SubCtl -. managed identity + RBAC .-&gt; SubNonProd</w:t>
      </w:r>
      <w:r>
        <w:br/>
      </w:r>
      <w:r>
        <w:rPr>
          <w:rStyle w:val="VerbatimChar"/>
        </w:rPr>
        <w:t xml:space="preserve">    SubCtl -. managed identity + RBAC .-&gt; SubDR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f9baf626517c160c9524edcd7566d0d41580571"/>
    <w:p>
      <w:pPr>
        <w:pStyle w:val="Heading2"/>
      </w:pPr>
      <w:r>
        <w:t xml:space="preserve">5. Topology — Subscriptions, CRGs and Quota Groups (§24, §25, §26)</w:t>
      </w:r>
    </w:p>
    <w:bookmarkStart w:id="35" w:name="management-group-subscription-model-24"/>
    <w:p>
      <w:pPr>
        <w:pStyle w:val="Heading3"/>
      </w:pPr>
      <w:r>
        <w:t xml:space="preserve">5.1 Management group / subscription model (§24)</w:t>
      </w:r>
    </w:p>
    <w:p>
      <w:pPr>
        <w:pStyle w:val="FirstParagraph"/>
      </w:pPr>
      <w:r>
        <w:t xml:space="preserve">ACRME runs from a platform control subscription with cross-subscription managed-identity access (least-privilege RBAC) to the Prod, NonProd/CVAL, and DR-hosting subscriptions (see T2). All mutations are attributed to the control identity and audited (GOV-002).</w:t>
      </w:r>
      <w:r>
        <w:t xml:space="preserve"> </w:t>
      </w:r>
      <w:r>
        <w:rPr>
          <w:rStyle w:val="VerbatimChar"/>
        </w:rPr>
        <w:t xml:space="preserve">[Decided]</w:t>
      </w:r>
    </w:p>
    <w:bookmarkEnd w:id="35"/>
    <w:bookmarkStart w:id="36" w:name="X35faed762a956a2e8950f2e28ee470b48b6dd73"/>
    <w:p>
      <w:pPr>
        <w:pStyle w:val="Heading3"/>
      </w:pPr>
      <w:r>
        <w:t xml:space="preserve">5.2 CRG hierarchy and cross-subscription sharing (§25, FC-06)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Three-CRG model per region:</w:t>
      </w:r>
      <w:r>
        <w:t xml:space="preserve"> </w:t>
      </w:r>
      <w:r>
        <w:t xml:space="preserve">exactly one Prod, one NonProd/CVAL, and one DR-standby CRG target per region per scope (CAP-001).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Zone alignment (FC-06):</w:t>
      </w:r>
      <w:r>
        <w:t xml:space="preserve"> </w:t>
      </w:r>
      <w:r>
        <w:t xml:space="preserve">cross-subscription CRG sharing requires a validated</w:t>
      </w:r>
      <w:r>
        <w:t xml:space="preserve"> </w:t>
      </w:r>
      <w:r>
        <w:rPr>
          <w:rStyle w:val="VerbatimChar"/>
        </w:rPr>
        <w:t xml:space="preserve">ZoneMappingRecord</w:t>
      </w:r>
      <w:r>
        <w:t xml:space="preserve"> </w:t>
      </w:r>
      <w:r>
        <w:t xml:space="preserve">— logical zones differ across subscriptions, so sharing is only valid when physical zones align (CAP-014..019).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Sharing limits:</w:t>
      </w:r>
      <w:r>
        <w:t xml:space="preserve"> </w:t>
      </w:r>
      <w:r>
        <w:t xml:space="preserve">provider→consumer sharing validated for SKU/region/zone/authorisation; a per-provider consumer ceiling applies.</w:t>
      </w:r>
      <w:r>
        <w:t xml:space="preserve"> </w:t>
      </w:r>
      <w:r>
        <w:rPr>
          <w:rStyle w:val="VerbatimChar"/>
        </w:rPr>
        <w:t xml:space="preserve">[Decided]</w:t>
      </w:r>
    </w:p>
    <w:bookmarkEnd w:id="36"/>
    <w:bookmarkStart w:id="37" w:name="X18fdf05295ad474e2e77e94e766ef9f8b45109f"/>
    <w:p>
      <w:pPr>
        <w:pStyle w:val="Heading3"/>
      </w:pPr>
      <w:r>
        <w:t xml:space="preserve">T3 — CRG hierarchy &amp; cross-subscription sharing (zone alignment)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RegionR [Region R]</w:t>
      </w:r>
      <w:r>
        <w:br/>
      </w:r>
      <w:r>
        <w:rPr>
          <w:rStyle w:val="VerbatimChar"/>
        </w:rPr>
        <w:t xml:space="preserve">        ProdCRG[Prod CRG]</w:t>
      </w:r>
      <w:r>
        <w:br/>
      </w:r>
      <w:r>
        <w:rPr>
          <w:rStyle w:val="VerbatimChar"/>
        </w:rPr>
        <w:t xml:space="preserve">        NonProdCRG[NonProd/CVAL CRG]</w:t>
      </w:r>
      <w:r>
        <w:br/>
      </w:r>
      <w:r>
        <w:rPr>
          <w:rStyle w:val="VerbatimChar"/>
        </w:rPr>
        <w:t xml:space="preserve">        DRCRG[DR-standby CRG]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ProdCRG --&gt;|reserves| ZmapP{{Zone map: logical-&gt;physical}}</w:t>
      </w:r>
      <w:r>
        <w:br/>
      </w:r>
      <w:r>
        <w:rPr>
          <w:rStyle w:val="VerbatimChar"/>
        </w:rPr>
        <w:t xml:space="preserve">    NonProdCRG --&gt; ZmapN{{Zone map}}</w:t>
      </w:r>
      <w:r>
        <w:br/>
      </w:r>
      <w:r>
        <w:rPr>
          <w:rStyle w:val="VerbatimChar"/>
        </w:rPr>
        <w:t xml:space="preserve">    DRCRG --&gt; ZmapD{{Zone map}}</w:t>
      </w:r>
      <w:r>
        <w:br/>
      </w:r>
      <w:r>
        <w:rPr>
          <w:rStyle w:val="VerbatimChar"/>
        </w:rPr>
        <w:t xml:space="preserve">    ZmapP --&gt; ShareA[Consumer subscription A&lt;br/&gt;zone-aligned share]</w:t>
      </w:r>
      <w:r>
        <w:br/>
      </w:r>
      <w:r>
        <w:rPr>
          <w:rStyle w:val="VerbatimChar"/>
        </w:rPr>
        <w:t xml:space="preserve">    ZmapN --&gt; ShareB[Consumer subscription B]</w:t>
      </w:r>
      <w:r>
        <w:br/>
      </w:r>
      <w:r>
        <w:rPr>
          <w:rStyle w:val="VerbatimChar"/>
        </w:rPr>
        <w:t xml:space="preserve">    ZmapD --&gt; ShareC[DR consumer subscription]</w:t>
      </w:r>
      <w:r>
        <w:br/>
      </w:r>
      <w:r>
        <w:rPr>
          <w:rStyle w:val="VerbatimChar"/>
        </w:rPr>
        <w:t xml:space="preserve">    note1[FC-06: share valid only when physical zones align&lt;br/&gt;ZoneMappingRecord required]:::n</w:t>
      </w:r>
      <w:r>
        <w:br/>
      </w:r>
      <w:r>
        <w:rPr>
          <w:rStyle w:val="VerbatimChar"/>
        </w:rPr>
        <w:t xml:space="preserve">    classDef n fill:#fff3cd,stroke:#e0a800;</w:t>
      </w:r>
    </w:p>
    <w:bookmarkEnd w:id="37"/>
    <w:bookmarkStart w:id="38" w:name="X84413cb3f5bc50315cae350c413cf6f64e34772"/>
    <w:p>
      <w:pPr>
        <w:pStyle w:val="Heading3"/>
      </w:pPr>
      <w:r>
        <w:t xml:space="preserve">5.3 Quota-group architecture — single-pool decision (§26, QUA-004)</w:t>
      </w:r>
    </w:p>
    <w:p>
      <w:pPr>
        <w:pStyle w:val="FirstParagraph"/>
      </w:pPr>
      <w:r>
        <w:rPr>
          <w:bCs/>
          <w:b/>
        </w:rPr>
        <w:t xml:space="preserve">Primary model:</w:t>
      </w:r>
      <w:r>
        <w:t xml:space="preserve"> </w:t>
      </w:r>
      <w:r>
        <w:t xml:space="preserve">one governed quota group per region and quota family, covering Prod + NonProd/CVAL + DR together. All eligible default per-region quota is collected into the pool (QUA-003) and allocated on demand. Prod and DR are protected inside the shared pool by</w:t>
      </w:r>
      <w:r>
        <w:t xml:space="preserve"> </w:t>
      </w:r>
      <w:r>
        <w:rPr>
          <w:bCs/>
          <w:b/>
        </w:rPr>
        <w:t xml:space="preserve">logical earmarks</w:t>
      </w:r>
      <w:r>
        <w:t xml:space="preserve"> </w:t>
      </w:r>
      <w:r>
        <w:t xml:space="preserve">enforced by the Quota-Pool Manager at allocation/reclamation time — not by physical group separation. Because all three environments share one pool, an emergency DR draw needs</w:t>
      </w:r>
      <w:r>
        <w:t xml:space="preserve"> </w:t>
      </w:r>
      <w:r>
        <w:rPr>
          <w:bCs/>
          <w:b/>
        </w:rPr>
        <w:t xml:space="preserve">no cross-group transfer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Exception topology:</w:t>
      </w:r>
      <w:r>
        <w:t xml:space="preserve"> </w:t>
      </w:r>
      <w:r>
        <w:t xml:space="preserve">two (or more) groups per region, used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when Azure Quota Group limits or a mandatory Prod-isolation governance boundary make one pool impossible; each case is recorded in the Decision Log and reverts to one pool when the constraint lifts (DEP-001).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t xml:space="preserve">The pool arithmetic (</w:t>
      </w:r>
      <w:r>
        <w:rPr>
          <w:rStyle w:val="VerbatimChar"/>
        </w:rPr>
        <w:t xml:space="preserve">Pool_Limit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Prod_Reserved_Floor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Allocatable_NonProd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Pool_Headroom</w:t>
      </w:r>
      <w:r>
        <w:t xml:space="preserve">) is specified in §8.3. See T4.</w:t>
      </w:r>
    </w:p>
    <w:bookmarkEnd w:id="38"/>
    <w:bookmarkStart w:id="39" w:name="X1c593129af878eb50a6d5c9f6954fa9501b8490"/>
    <w:p>
      <w:pPr>
        <w:pStyle w:val="Heading3"/>
      </w:pPr>
      <w:r>
        <w:t xml:space="preserve">T4 — Quota-group / pool architecture (single-pool model)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Pool [Single governed quota pool per region/quota family]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PF[Prod_Reserved_Floor&lt;br/&gt;= Prod_Used + Prod_Growth_Buffer&lt;br/&gt;never allocatable to NonProd]</w:t>
      </w:r>
      <w:r>
        <w:br/>
      </w:r>
      <w:r>
        <w:rPr>
          <w:rStyle w:val="VerbatimChar"/>
        </w:rPr>
        <w:t xml:space="preserve">        DE[DR_Earmark_vCPU&lt;br/&gt;= Destination_DR_Requirement x vCPU max-not-sum&lt;br/&gt;never allocatable to NonProd]</w:t>
      </w:r>
      <w:r>
        <w:br/>
      </w:r>
      <w:r>
        <w:rPr>
          <w:rStyle w:val="VerbatimChar"/>
        </w:rPr>
        <w:t xml:space="preserve">        AN[Allocatable_NonProd&lt;br/&gt;= Pool_Limit - Prod_Reserved_Floor - DR_Earmark - NonProd_Used]</w:t>
      </w:r>
      <w:r>
        <w:br/>
      </w:r>
      <w:r>
        <w:rPr>
          <w:rStyle w:val="VerbatimChar"/>
        </w:rPr>
        <w:t xml:space="preserve">        PH[Pool_Headroom = Pool_Limit - Pool_Used]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Pool --&gt;|emergency DR draw: pool headroom first,&lt;br/&gt;then reclaimable NonProd - no cross-group transfer| DR[DR activation]</w:t>
      </w:r>
      <w:r>
        <w:br/>
      </w:r>
      <w:r>
        <w:rPr>
          <w:rStyle w:val="VerbatimChar"/>
        </w:rPr>
        <w:t xml:space="preserve">    Exc[Exception topology only:&lt;br/&gt;Prod group + NonProd+DR group&lt;br/&gt;when Azure limit / Prod-isolation boundary]:::e</w:t>
      </w:r>
      <w:r>
        <w:br/>
      </w:r>
      <w:r>
        <w:rPr>
          <w:rStyle w:val="VerbatimChar"/>
        </w:rPr>
        <w:t xml:space="preserve">    classDef e fill:#f8d7da,stroke:#dc3545;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data-architecture-34-dat-001..006"/>
    <w:p>
      <w:pPr>
        <w:pStyle w:val="Heading2"/>
      </w:pPr>
      <w:r>
        <w:t xml:space="preserve">6. Data Architecture (§34, DAT-001..006)</w:t>
      </w:r>
    </w:p>
    <w:bookmarkStart w:id="41" w:name="store-characteristics"/>
    <w:p>
      <w:pPr>
        <w:pStyle w:val="Heading3"/>
      </w:pPr>
      <w:r>
        <w:t xml:space="preserve">6.1 Store characteristics</w:t>
      </w:r>
    </w:p>
    <w:p>
      <w:pPr>
        <w:pStyle w:val="FirstParagraph"/>
      </w:pPr>
      <w:r>
        <w:t xml:space="preserve">A versioned document store with per-document optimistic concurrency (</w:t>
      </w:r>
      <w:r>
        <w:rPr>
          <w:rStyle w:val="VerbatimChar"/>
        </w:rPr>
        <w:t xml:space="preserve">policy_version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_etag</w:t>
      </w:r>
      <w:r>
        <w:t xml:space="preserve">-style guards), freshness metadata on every snapshot, and append-only operation/audit records (DAT-001..006, NFR-007). Every decision-driving read carries a</w:t>
      </w:r>
      <w:r>
        <w:t xml:space="preserve"> </w:t>
      </w:r>
      <w:r>
        <w:rPr>
          <w:rStyle w:val="VerbatimChar"/>
        </w:rPr>
        <w:t xml:space="preserve">capacity_snapshot_ref</w:t>
      </w:r>
      <w:r>
        <w:t xml:space="preserve"> </w:t>
      </w:r>
      <w:r>
        <w:t xml:space="preserve">for deterministic replay.</w:t>
      </w:r>
      <w:r>
        <w:t xml:space="preserve"> </w:t>
      </w:r>
      <w:r>
        <w:rPr>
          <w:rStyle w:val="VerbatimChar"/>
        </w:rPr>
        <w:t xml:space="preserve">[Decided]</w:t>
      </w:r>
    </w:p>
    <w:bookmarkEnd w:id="41"/>
    <w:bookmarkStart w:id="42" w:name="core-entities"/>
    <w:p>
      <w:pPr>
        <w:pStyle w:val="Heading3"/>
      </w:pPr>
      <w:r>
        <w:t xml:space="preserve">6.2 Core entities</w:t>
      </w:r>
    </w:p>
    <w:p>
      <w:pPr>
        <w:pStyle w:val="FirstParagraph"/>
      </w:pPr>
      <w:r>
        <w:t xml:space="preserve">The three v2.2-critical entities are</w:t>
      </w:r>
      <w:r>
        <w:t xml:space="preserve"> </w:t>
      </w:r>
      <w:r>
        <w:rPr>
          <w:rStyle w:val="VerbatimChar"/>
          <w:bCs/>
          <w:b/>
        </w:rPr>
        <w:t xml:space="preserve">CustomerSeedRecord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SourceDestinationDRIndex</w:t>
      </w:r>
      <w:r>
        <w:t xml:space="preserve">, and</w:t>
      </w:r>
      <w:r>
        <w:t xml:space="preserve"> </w:t>
      </w:r>
      <w:r>
        <w:rPr>
          <w:rStyle w:val="VerbatimChar"/>
          <w:bCs/>
          <w:b/>
        </w:rPr>
        <w:t xml:space="preserve">CVALEarmarkRecord</w:t>
      </w:r>
      <w:r>
        <w:t xml:space="preserve">, alongside reservation/quota snapshots,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, and operation/audit records.</w:t>
      </w:r>
    </w:p>
    <w:p>
      <w:pPr>
        <w:pStyle w:val="SourceCode"/>
      </w:pPr>
      <w:r>
        <w:rPr>
          <w:rStyle w:val="VerbatimChar"/>
        </w:rPr>
        <w:t xml:space="preserve">CustomerSeedRecord {                       # PLC-003/004/005 — first-placement authority</w:t>
      </w:r>
      <w:r>
        <w:br/>
      </w:r>
      <w:r>
        <w:rPr>
          <w:rStyle w:val="VerbatimChar"/>
        </w:rPr>
        <w:t xml:space="preserve">    customer_realm_id     : string (PK)</w:t>
      </w:r>
      <w:r>
        <w:br/>
      </w:r>
      <w:r>
        <w:rPr>
          <w:rStyle w:val="VerbatimChar"/>
        </w:rPr>
        <w:t xml:space="preserve">    geography             : string (PK)</w:t>
      </w:r>
      <w:r>
        <w:br/>
      </w:r>
      <w:r>
        <w:rPr>
          <w:rStyle w:val="VerbatimChar"/>
        </w:rPr>
        <w:t xml:space="preserve">    production_region     : string</w:t>
      </w:r>
      <w:r>
        <w:br/>
      </w:r>
      <w:r>
        <w:rPr>
          <w:rStyle w:val="VerbatimChar"/>
        </w:rPr>
        <w:t xml:space="preserve">    cval_region           : string</w:t>
      </w:r>
      <w:r>
        <w:br/>
      </w:r>
      <w:r>
        <w:rPr>
          <w:rStyle w:val="VerbatimChar"/>
        </w:rPr>
        <w:t xml:space="preserve">    dr_region             : string | "NOT_OFFERED"</w:t>
      </w:r>
      <w:r>
        <w:br/>
      </w:r>
      <w:r>
        <w:rPr>
          <w:rStyle w:val="VerbatimChar"/>
        </w:rPr>
        <w:t xml:space="preserve">    products_covered      : list&lt;string&gt;</w:t>
      </w:r>
      <w:r>
        <w:br/>
      </w:r>
      <w:r>
        <w:rPr>
          <w:rStyle w:val="VerbatimChar"/>
        </w:rPr>
        <w:t xml:space="preserve">    decision_timestamp    : datetime</w:t>
      </w:r>
      <w:r>
        <w:br/>
      </w:r>
      <w:r>
        <w:rPr>
          <w:rStyle w:val="VerbatimChar"/>
        </w:rPr>
        <w:t xml:space="preserve">    policy_version        : string</w:t>
      </w:r>
      <w:r>
        <w:br/>
      </w:r>
      <w:r>
        <w:rPr>
          <w:rStyle w:val="VerbatimChar"/>
        </w:rPr>
        <w:t xml:space="preserve">    capacity_snapshot_ref : string</w:t>
      </w:r>
      <w:r>
        <w:br/>
      </w:r>
      <w:r>
        <w:rPr>
          <w:rStyle w:val="VerbatimChar"/>
        </w:rPr>
        <w:t xml:space="preserve">    exception_ref         : string | null</w:t>
      </w:r>
      <w:r>
        <w:br/>
      </w:r>
      <w:r>
        <w:rPr>
          <w:rStyle w:val="VerbatimChar"/>
        </w:rPr>
        <w:t xml:space="preserve">    approval_metadata     : ApprovalRecord</w:t>
      </w:r>
      <w:r>
        <w:br/>
      </w:r>
      <w:r>
        <w:rPr>
          <w:rStyle w:val="VerbatimChar"/>
        </w:rPr>
        <w:t xml:space="preserve">    input_mode            : "SPECIFIC_REGION" | "GEOGRAPHY_EXCEPTION"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SourceDestinationDRIndex {                 # DR-018 — reverse-of-seed, drives activation</w:t>
      </w:r>
      <w:r>
        <w:br/>
      </w:r>
      <w:r>
        <w:rPr>
          <w:rStyle w:val="VerbatimChar"/>
        </w:rPr>
        <w:t xml:space="preserve">    source_region        : string (PK)</w:t>
      </w:r>
      <w:r>
        <w:br/>
      </w:r>
      <w:r>
        <w:rPr>
          <w:rStyle w:val="VerbatimChar"/>
        </w:rPr>
        <w:t xml:space="preserve">    destination_region   : string (PK)</w:t>
      </w:r>
      <w:r>
        <w:br/>
      </w:r>
      <w:r>
        <w:rPr>
          <w:rStyle w:val="VerbatimChar"/>
        </w:rPr>
        <w:t xml:space="preserve">    customer_realm_id     : string (PK)</w:t>
      </w:r>
      <w:r>
        <w:br/>
      </w:r>
      <w:r>
        <w:rPr>
          <w:rStyle w:val="VerbatimChar"/>
        </w:rPr>
        <w:t xml:space="preserve">    standby_instance_set : list&lt;InstanceRef&gt;</w:t>
      </w:r>
      <w:r>
        <w:br/>
      </w:r>
      <w:r>
        <w:rPr>
          <w:rStyle w:val="VerbatimChar"/>
        </w:rPr>
        <w:t xml:space="preserve">    sku_family           : string</w:t>
      </w:r>
      <w:r>
        <w:br/>
      </w:r>
      <w:r>
        <w:rPr>
          <w:rStyle w:val="VerbatimChar"/>
        </w:rPr>
        <w:t xml:space="preserve">    quantity_vcpu        : int</w:t>
      </w:r>
      <w:r>
        <w:br/>
      </w:r>
      <w:r>
        <w:rPr>
          <w:rStyle w:val="VerbatimChar"/>
        </w:rPr>
        <w:t xml:space="preserve">    activation_state     : STANDBY | ACTIVATING | ACTIVE | FAILBACK_PENDING</w:t>
      </w:r>
      <w:r>
        <w:br/>
      </w:r>
      <w:r>
        <w:rPr>
          <w:rStyle w:val="VerbatimChar"/>
        </w:rPr>
        <w:t xml:space="preserve">    last_updated         : datetime</w:t>
      </w:r>
      <w:r>
        <w:br/>
      </w:r>
      <w:r>
        <w:rPr>
          <w:rStyle w:val="VerbatimChar"/>
        </w:rPr>
        <w:t xml:space="preserve">    policy_version       :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CVALEarmarkRecord {                        # PLC-010 — prevents DR/CVAL double-count</w:t>
      </w:r>
      <w:r>
        <w:br/>
      </w:r>
      <w:r>
        <w:rPr>
          <w:rStyle w:val="VerbatimChar"/>
        </w:rPr>
        <w:t xml:space="preserve">    customer_realm_id    : string (PK)</w:t>
      </w:r>
      <w:r>
        <w:br/>
      </w:r>
      <w:r>
        <w:rPr>
          <w:rStyle w:val="VerbatimChar"/>
        </w:rPr>
        <w:t xml:space="preserve">    region               : string (PK)</w:t>
      </w:r>
      <w:r>
        <w:br/>
      </w:r>
      <w:r>
        <w:rPr>
          <w:rStyle w:val="VerbatimChar"/>
        </w:rPr>
        <w:t xml:space="preserve">    cval_capacity_vcpu   : int</w:t>
      </w:r>
      <w:r>
        <w:br/>
      </w:r>
      <w:r>
        <w:rPr>
          <w:rStyle w:val="VerbatimChar"/>
        </w:rPr>
        <w:t xml:space="preserve">    dr_earmarked_vcpu    : int             # portion counted toward DR, not live CVAL headroom</w:t>
      </w:r>
      <w:r>
        <w:br/>
      </w:r>
      <w:r>
        <w:rPr>
          <w:rStyle w:val="VerbatimChar"/>
        </w:rPr>
        <w:t xml:space="preserve">    co_located           : bool</w:t>
      </w:r>
      <w:r>
        <w:br/>
      </w:r>
      <w:r>
        <w:rPr>
          <w:rStyle w:val="VerbatimChar"/>
        </w:rPr>
        <w:t xml:space="preserve">    last_updated         : datetime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Supporting entities:</w:t>
      </w:r>
      <w:r>
        <w:t xml:space="preserve"> </w:t>
      </w:r>
      <w:r>
        <w:rPr>
          <w:rStyle w:val="VerbatimChar"/>
        </w:rPr>
        <w:t xml:space="preserve">RegionalSnapshot</w:t>
      </w:r>
      <w:r>
        <w:t xml:space="preserve"> </w:t>
      </w:r>
      <w:r>
        <w:t xml:space="preserve">(freshness-stamped capacity/quota/usage/zone data),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(weights, buffers, thresholds, catalogue — versioned),</w:t>
      </w:r>
      <w:r>
        <w:t xml:space="preserve"> </w:t>
      </w:r>
      <w:r>
        <w:rPr>
          <w:rStyle w:val="VerbatimChar"/>
        </w:rPr>
        <w:t xml:space="preserve">ReservationState</w:t>
      </w:r>
      <w:r>
        <w:t xml:space="preserve">/</w:t>
      </w:r>
      <w:r>
        <w:rPr>
          <w:rStyle w:val="VerbatimChar"/>
        </w:rPr>
        <w:t xml:space="preserve">QuotaPoolState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(saga + compensation),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 </w:t>
      </w:r>
      <w:r>
        <w:t xml:space="preserve">(append-only),</w:t>
      </w:r>
      <w:r>
        <w:t xml:space="preserve"> </w:t>
      </w:r>
      <w:r>
        <w:rPr>
          <w:rStyle w:val="VerbatimChar"/>
        </w:rPr>
        <w:t xml:space="preserve">ActivationRecord</w:t>
      </w:r>
      <w:r>
        <w:t xml:space="preserve"> </w:t>
      </w:r>
      <w:r>
        <w:t xml:space="preserve">(DR-019, §9.3),</w:t>
      </w:r>
      <w:r>
        <w:t xml:space="preserve"> </w:t>
      </w:r>
      <w:r>
        <w:rPr>
          <w:rStyle w:val="VerbatimChar"/>
        </w:rPr>
        <w:t xml:space="preserve">ZoneMappingRecord</w:t>
      </w:r>
      <w:r>
        <w:t xml:space="preserve"> </w:t>
      </w:r>
      <w:r>
        <w:t xml:space="preserve">(FC-06),</w:t>
      </w:r>
      <w:r>
        <w:t xml:space="preserve"> </w:t>
      </w:r>
      <w:r>
        <w:rPr>
          <w:rStyle w:val="VerbatimChar"/>
        </w:rPr>
        <w:t xml:space="preserve">SharingRelationship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DRDistributionPlan</w:t>
      </w:r>
      <w:r>
        <w:t xml:space="preserve">.</w:t>
      </w:r>
    </w:p>
    <w:bookmarkEnd w:id="42"/>
    <w:bookmarkStart w:id="43" w:name="Xdbb6c2eef356181ff59603c44bb6c6f75535f5c"/>
    <w:p>
      <w:pPr>
        <w:pStyle w:val="Heading3"/>
      </w:pPr>
      <w:r>
        <w:t xml:space="preserve">T5 — Data model / ERD (incl. seed record, SourceDestinationDRIndex, CVAL earmark)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CustomerSeedRecord ||--o{ SourceDestinationDRIndex : "reverse view"</w:t>
      </w:r>
      <w:r>
        <w:br/>
      </w:r>
      <w:r>
        <w:rPr>
          <w:rStyle w:val="VerbatimChar"/>
        </w:rPr>
        <w:t xml:space="preserve">    CustomerSeedRecord ||--o{ CVALEarmarkRecord : "co-location"</w:t>
      </w:r>
      <w:r>
        <w:br/>
      </w:r>
      <w:r>
        <w:rPr>
          <w:rStyle w:val="VerbatimChar"/>
        </w:rPr>
        <w:t xml:space="preserve">    CustomerSeedRecord }o--|| PlacementPolicy : "policy_version"</w:t>
      </w:r>
      <w:r>
        <w:br/>
      </w:r>
      <w:r>
        <w:rPr>
          <w:rStyle w:val="VerbatimChar"/>
        </w:rPr>
        <w:t xml:space="preserve">    RegionalSnapshot ||--o{ QuotaPoolState : "captures"</w:t>
      </w:r>
      <w:r>
        <w:br/>
      </w:r>
      <w:r>
        <w:rPr>
          <w:rStyle w:val="VerbatimChar"/>
        </w:rPr>
        <w:t xml:space="preserve">    QuotaPoolState ||--o{ ReservationState : "governs"</w:t>
      </w:r>
      <w:r>
        <w:br/>
      </w:r>
      <w:r>
        <w:rPr>
          <w:rStyle w:val="VerbatimChar"/>
        </w:rPr>
        <w:t xml:space="preserve">    SourceDestinationDRIndex ||--o{ ActivationRecord : "activates"</w:t>
      </w:r>
      <w:r>
        <w:br/>
      </w:r>
      <w:r>
        <w:rPr>
          <w:rStyle w:val="VerbatimChar"/>
        </w:rPr>
        <w:t xml:space="preserve">    DRDistributionPlan ||--o{ SourceDestinationDRIndex : "aggregates"</w:t>
      </w:r>
      <w:r>
        <w:br/>
      </w:r>
      <w:r>
        <w:rPr>
          <w:rStyle w:val="VerbatimChar"/>
        </w:rPr>
        <w:t xml:space="preserve">    OperationRecord ||--o{ AuditEvent : "emits"</w:t>
      </w:r>
      <w:r>
        <w:br/>
      </w:r>
      <w:r>
        <w:rPr>
          <w:rStyle w:val="VerbatimChar"/>
        </w:rPr>
        <w:t xml:space="preserve">    CustomerSeedRecord {</w:t>
      </w:r>
      <w:r>
        <w:br/>
      </w:r>
      <w:r>
        <w:rPr>
          <w:rStyle w:val="VerbatimChar"/>
        </w:rPr>
        <w:t xml:space="preserve">        string customer_realm_id PK</w:t>
      </w:r>
      <w:r>
        <w:br/>
      </w:r>
      <w:r>
        <w:rPr>
          <w:rStyle w:val="VerbatimChar"/>
        </w:rPr>
        <w:t xml:space="preserve">        string geography PK</w:t>
      </w:r>
      <w:r>
        <w:br/>
      </w:r>
      <w:r>
        <w:rPr>
          <w:rStyle w:val="VerbatimChar"/>
        </w:rPr>
        <w:t xml:space="preserve">        string production_region</w:t>
      </w:r>
      <w:r>
        <w:br/>
      </w:r>
      <w:r>
        <w:rPr>
          <w:rStyle w:val="VerbatimChar"/>
        </w:rPr>
        <w:t xml:space="preserve">        string cval_region</w:t>
      </w:r>
      <w:r>
        <w:br/>
      </w:r>
      <w:r>
        <w:rPr>
          <w:rStyle w:val="VerbatimChar"/>
        </w:rPr>
        <w:t xml:space="preserve">        string dr_region</w:t>
      </w:r>
      <w:r>
        <w:br/>
      </w:r>
      <w:r>
        <w:rPr>
          <w:rStyle w:val="VerbatimChar"/>
        </w:rPr>
        <w:t xml:space="preserve">        string input_mode</w:t>
      </w:r>
      <w:r>
        <w:br/>
      </w:r>
      <w:r>
        <w:rPr>
          <w:rStyle w:val="VerbatimChar"/>
        </w:rPr>
        <w:t xml:space="preserve">        string policy_version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SourceDestinationDRIndex {</w:t>
      </w:r>
      <w:r>
        <w:br/>
      </w:r>
      <w:r>
        <w:rPr>
          <w:rStyle w:val="VerbatimChar"/>
        </w:rPr>
        <w:t xml:space="preserve">        string source_region PK</w:t>
      </w:r>
      <w:r>
        <w:br/>
      </w:r>
      <w:r>
        <w:rPr>
          <w:rStyle w:val="VerbatimChar"/>
        </w:rPr>
        <w:t xml:space="preserve">        string destination_region PK</w:t>
      </w:r>
      <w:r>
        <w:br/>
      </w:r>
      <w:r>
        <w:rPr>
          <w:rStyle w:val="VerbatimChar"/>
        </w:rPr>
        <w:t xml:space="preserve">        string customer_realm_id PK</w:t>
      </w:r>
      <w:r>
        <w:br/>
      </w:r>
      <w:r>
        <w:rPr>
          <w:rStyle w:val="VerbatimChar"/>
        </w:rPr>
        <w:t xml:space="preserve">        int quantity_vcpu</w:t>
      </w:r>
      <w:r>
        <w:br/>
      </w:r>
      <w:r>
        <w:rPr>
          <w:rStyle w:val="VerbatimChar"/>
        </w:rPr>
        <w:t xml:space="preserve">        string activation_state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CVALEarmarkRecord {</w:t>
      </w:r>
      <w:r>
        <w:br/>
      </w:r>
      <w:r>
        <w:rPr>
          <w:rStyle w:val="VerbatimChar"/>
        </w:rPr>
        <w:t xml:space="preserve">        string customer_realm_id PK</w:t>
      </w:r>
      <w:r>
        <w:br/>
      </w:r>
      <w:r>
        <w:rPr>
          <w:rStyle w:val="VerbatimChar"/>
        </w:rPr>
        <w:t xml:space="preserve">        string region PK</w:t>
      </w:r>
      <w:r>
        <w:br/>
      </w:r>
      <w:r>
        <w:rPr>
          <w:rStyle w:val="VerbatimChar"/>
        </w:rPr>
        <w:t xml:space="preserve">        int cval_capacity_vcpu</w:t>
      </w:r>
      <w:r>
        <w:br/>
      </w:r>
      <w:r>
        <w:rPr>
          <w:rStyle w:val="VerbatimChar"/>
        </w:rPr>
        <w:t xml:space="preserve">        int dr_earmarked_vcpu</w:t>
      </w:r>
      <w:r>
        <w:br/>
      </w:r>
      <w:r>
        <w:rPr>
          <w:rStyle w:val="VerbatimChar"/>
        </w:rPr>
        <w:t xml:space="preserve">        bool co_located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QuotaPoolState {</w:t>
      </w:r>
      <w:r>
        <w:br/>
      </w:r>
      <w:r>
        <w:rPr>
          <w:rStyle w:val="VerbatimChar"/>
        </w:rPr>
        <w:t xml:space="preserve">        string region PK</w:t>
      </w:r>
      <w:r>
        <w:br/>
      </w:r>
      <w:r>
        <w:rPr>
          <w:rStyle w:val="VerbatimChar"/>
        </w:rPr>
        <w:t xml:space="preserve">        int pool_limit</w:t>
      </w:r>
      <w:r>
        <w:br/>
      </w:r>
      <w:r>
        <w:rPr>
          <w:rStyle w:val="VerbatimChar"/>
        </w:rPr>
        <w:t xml:space="preserve">        int prod_reserved_floor</w:t>
      </w:r>
      <w:r>
        <w:br/>
      </w:r>
      <w:r>
        <w:rPr>
          <w:rStyle w:val="VerbatimChar"/>
        </w:rPr>
        <w:t xml:space="preserve">        int dr_earmark_vcpu</w:t>
      </w:r>
      <w:r>
        <w:br/>
      </w:r>
      <w:r>
        <w:rPr>
          <w:rStyle w:val="VerbatimChar"/>
        </w:rPr>
        <w:t xml:space="preserve">        int allocatable_nonprod</w:t>
      </w:r>
      <w:r>
        <w:br/>
      </w:r>
      <w:r>
        <w:rPr>
          <w:rStyle w:val="VerbatimChar"/>
        </w:rPr>
        <w:t xml:space="preserve">    }</w:t>
      </w:r>
    </w:p>
    <w:bookmarkEnd w:id="43"/>
    <w:bookmarkStart w:id="44" w:name="freshness-versioning"/>
    <w:p>
      <w:pPr>
        <w:pStyle w:val="Heading3"/>
      </w:pPr>
      <w:r>
        <w:t xml:space="preserve">6.3 Freshness &amp; versioning</w:t>
      </w:r>
    </w:p>
    <w:p>
      <w:pPr>
        <w:pStyle w:val="FirstParagraph"/>
      </w:pPr>
      <w:r>
        <w:t xml:space="preserve">Every snapshot carries</w:t>
      </w:r>
      <w:r>
        <w:t xml:space="preserve"> </w:t>
      </w:r>
      <w:r>
        <w:rPr>
          <w:rStyle w:val="VerbatimChar"/>
        </w:rPr>
        <w:t xml:space="preserve">collected_at</w:t>
      </w:r>
      <w:r>
        <w:t xml:space="preserve">; the readiness gate compares</w:t>
      </w:r>
      <w:r>
        <w:t xml:space="preserve"> </w:t>
      </w:r>
      <w:r>
        <w:rPr>
          <w:rStyle w:val="VerbatimChar"/>
        </w:rPr>
        <w:t xml:space="preserve">now() - collected_at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max_snapshot_age</w:t>
      </w:r>
      <w:r>
        <w:t xml:space="preserve"> </w:t>
      </w:r>
      <w:r>
        <w:t xml:space="preserve">(RDY-004). Policy and scope files are versioned and decision-traceable; the version that drove any decision is persisted with it (DAT-005, GOV-003).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tate-model-concurrency-29-nfr-002007"/>
    <w:p>
      <w:pPr>
        <w:pStyle w:val="Heading2"/>
      </w:pPr>
      <w:r>
        <w:t xml:space="preserve">7. State Model &amp; Concurrency (§29, NFR-002/007)</w:t>
      </w:r>
    </w:p>
    <w:bookmarkStart w:id="46" w:name="engine-mode-machine-five-states"/>
    <w:p>
      <w:pPr>
        <w:pStyle w:val="Heading3"/>
      </w:pPr>
      <w:r>
        <w:t xml:space="preserve">7.1 Engine mode machine (five states)</w:t>
      </w:r>
    </w:p>
    <w:p>
      <w:pPr>
        <w:pStyle w:val="SourceCode"/>
      </w:pPr>
      <w:r>
        <w:rPr>
          <w:rStyle w:val="VerbatimChar"/>
        </w:rPr>
        <w:t xml:space="preserve">STEADY_STATE → DR_DECLARATION_PENDING → DR_EVENT_ACTIVE → FAILBACK_PENDING → STEADY_STATE</w:t>
      </w:r>
      <w:r>
        <w:br/>
      </w:r>
      <w:r>
        <w:rPr>
          <w:rStyle w:val="VerbatimChar"/>
        </w:rPr>
        <w:t xml:space="preserve">                                                     ↘ INCIDENT_HOLD (safe degraded)</w:t>
      </w:r>
    </w:p>
    <w:p>
      <w:pPr>
        <w:pStyle w:val="FirstParagraph"/>
      </w:pPr>
      <w:r>
        <w:t xml:space="preserve">Steady-state reconciliation and auto-increase run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; emergency transfer is callable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. Entering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does not auto-authorise service-impacting CVAL action — each action retains its own policy gate.</w:t>
      </w:r>
      <w:r>
        <w:t xml:space="preserve"> </w:t>
      </w:r>
      <w:r>
        <w:rPr>
          <w:rStyle w:val="VerbatimChar"/>
        </w:rPr>
        <w:t xml:space="preserve">INCIDENT_HOLD</w:t>
      </w:r>
      <w:r>
        <w:t xml:space="preserve"> </w:t>
      </w:r>
      <w:r>
        <w:t xml:space="preserve">is the safe degraded state entered when inputs cannot be trusted.</w:t>
      </w:r>
      <w:r>
        <w:t xml:space="preserve"> </w:t>
      </w:r>
      <w:r>
        <w:rPr>
          <w:rStyle w:val="VerbatimChar"/>
        </w:rPr>
        <w:t xml:space="preserve">[Decided]</w:t>
      </w:r>
    </w:p>
    <w:bookmarkEnd w:id="46"/>
    <w:bookmarkStart w:id="47" w:name="concurrency-reservation-of-intent"/>
    <w:p>
      <w:pPr>
        <w:pStyle w:val="Heading3"/>
      </w:pPr>
      <w:r>
        <w:t xml:space="preserve">7.2 Concurrency &amp; reservation-of-intent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Optimistic concurrency:</w:t>
      </w:r>
      <w:r>
        <w:t xml:space="preserve"> </w:t>
      </w:r>
      <w:r>
        <w:t xml:space="preserve">every mutating operation reads an expected version and fails the write on mismatch, forcing a re-read (NFR-007).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Reservation-of-intent:</w:t>
      </w:r>
      <w:r>
        <w:t xml:space="preserve"> </w:t>
      </w:r>
      <w:r>
        <w:t xml:space="preserve">placement writes an atomic hold before the seed record so two concurrent onboardings cannot double-commit the same capacity (NFR-002).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Saga + compensation:</w:t>
      </w:r>
      <w:r>
        <w:t xml:space="preserve"> </w:t>
      </w:r>
      <w:r>
        <w:t xml:space="preserve">multi-step mutations use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with a compensation chain for rollback;</w:t>
      </w:r>
      <w:r>
        <w:t xml:space="preserve"> </w:t>
      </w:r>
      <w:r>
        <w:rPr>
          <w:rStyle w:val="VerbatimChar"/>
        </w:rPr>
        <w:t xml:space="preserve">VM_ImpactRecord</w:t>
      </w:r>
      <w:r>
        <w:t xml:space="preserve"> </w:t>
      </w:r>
      <w:r>
        <w:t xml:space="preserve">is immutable for any VM state change.</w:t>
      </w:r>
      <w:r>
        <w:t xml:space="preserve"> </w:t>
      </w:r>
      <w:r>
        <w:rPr>
          <w:rStyle w:val="VerbatimChar"/>
        </w:rPr>
        <w:t xml:space="preserve">[Decided]</w:t>
      </w:r>
    </w:p>
    <w:bookmarkEnd w:id="47"/>
    <w:bookmarkStart w:id="48" w:name="t6-five-state-engine-machine"/>
    <w:p>
      <w:pPr>
        <w:pStyle w:val="Heading3"/>
      </w:pPr>
      <w:r>
        <w:t xml:space="preserve">T6 — Five-state engine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STEADY_STATE</w:t>
      </w:r>
      <w:r>
        <w:br/>
      </w:r>
      <w:r>
        <w:rPr>
          <w:rStyle w:val="VerbatimChar"/>
        </w:rPr>
        <w:t xml:space="preserve">    STEADY_STATE --&gt; DR_DECLARATION_PENDING: DR declared (authorised)</w:t>
      </w:r>
      <w:r>
        <w:br/>
      </w:r>
      <w:r>
        <w:rPr>
          <w:rStyle w:val="VerbatimChar"/>
        </w:rPr>
        <w:t xml:space="preserve">    DR_DECLARATION_PENDING --&gt; DR_EVENT_ACTIVE: activation approved</w:t>
      </w:r>
      <w:r>
        <w:br/>
      </w:r>
      <w:r>
        <w:rPr>
          <w:rStyle w:val="VerbatimChar"/>
        </w:rPr>
        <w:t xml:space="preserve">    DR_DECLARATION_PENDING --&gt; STEADY_STATE: declaration withdrawn</w:t>
      </w:r>
      <w:r>
        <w:br/>
      </w:r>
      <w:r>
        <w:rPr>
          <w:rStyle w:val="VerbatimChar"/>
        </w:rPr>
        <w:t xml:space="preserve">    DR_EVENT_ACTIVE --&gt; FAILBACK_PENDING: failback authorised</w:t>
      </w:r>
      <w:r>
        <w:br/>
      </w:r>
      <w:r>
        <w:rPr>
          <w:rStyle w:val="VerbatimChar"/>
        </w:rPr>
        <w:t xml:space="preserve">    FAILBACK_PENDING --&gt; STEADY_STATE: failback complete (reversible)</w:t>
      </w:r>
      <w:r>
        <w:br/>
      </w:r>
      <w:r>
        <w:rPr>
          <w:rStyle w:val="VerbatimChar"/>
        </w:rPr>
        <w:t xml:space="preserve">    STEADY_STATE --&gt; INCIDENT_HOLD: inputs untrusted / stale</w:t>
      </w:r>
      <w:r>
        <w:br/>
      </w:r>
      <w:r>
        <w:rPr>
          <w:rStyle w:val="VerbatimChar"/>
        </w:rPr>
        <w:t xml:space="preserve">    DR_EVENT_ACTIVE --&gt; INCIDENT_HOLD: safety trip</w:t>
      </w:r>
      <w:r>
        <w:br/>
      </w:r>
      <w:r>
        <w:rPr>
          <w:rStyle w:val="VerbatimChar"/>
        </w:rPr>
        <w:t xml:space="preserve">    INCIDENT_HOLD --&gt; STEADY_STATE: inputs restored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placement-scoring-forecasting-28"/>
    <w:p>
      <w:pPr>
        <w:pStyle w:val="Heading2"/>
      </w:pPr>
      <w:r>
        <w:t xml:space="preserve">8. Placement Scoring &amp; Forecasting (§28)</w:t>
      </w:r>
    </w:p>
    <w:bookmarkStart w:id="50" w:name="input-modes-and-pipeline"/>
    <w:p>
      <w:pPr>
        <w:pStyle w:val="Heading3"/>
      </w:pPr>
      <w:r>
        <w:t xml:space="preserve">8.1 Input modes and pipeline</w:t>
      </w:r>
    </w:p>
    <w:p>
      <w:pPr>
        <w:pStyle w:val="FirstParagraph"/>
      </w:pPr>
      <w:r>
        <w:t xml:space="preserve">The default input is an</w:t>
      </w:r>
      <w:r>
        <w:t xml:space="preserve"> </w:t>
      </w:r>
      <w:r>
        <w:rPr>
          <w:bCs/>
          <w:b/>
        </w:rPr>
        <w:t xml:space="preserve">exact production region</w:t>
      </w:r>
      <w:r>
        <w:t xml:space="preserve"> </w:t>
      </w:r>
      <w:r>
        <w:t xml:space="preserve">which ACRME</w:t>
      </w:r>
      <w:r>
        <w:t xml:space="preserve"> </w:t>
      </w:r>
      <w:r>
        <w:rPr>
          <w:bCs/>
          <w:b/>
        </w:rPr>
        <w:t xml:space="preserve">validates</w:t>
      </w:r>
      <w:r>
        <w:t xml:space="preserve"> </w:t>
      </w:r>
      <w:r>
        <w:t xml:space="preserve">(it does not derive). A</w:t>
      </w:r>
      <w:r>
        <w:t xml:space="preserve"> </w:t>
      </w:r>
      <w:r>
        <w:rPr>
          <w:bCs/>
          <w:b/>
        </w:rPr>
        <w:t xml:space="preserve">geography</w:t>
      </w:r>
      <w:r>
        <w:t xml:space="preserve"> </w:t>
      </w:r>
      <w:r>
        <w:t xml:space="preserve">input is an</w:t>
      </w:r>
      <w:r>
        <w:t xml:space="preserve"> </w:t>
      </w:r>
      <w:r>
        <w:rPr>
          <w:bCs/>
          <w:b/>
        </w:rPr>
        <w:t xml:space="preserve">exception path</w:t>
      </w:r>
      <w:r>
        <w:t xml:space="preserve"> </w:t>
      </w:r>
      <w:r>
        <w:t xml:space="preserve">requiring approval + customer acknowledgement, after which the derived region becomes the fixed seed (ADR-001, PLC-001/002). Restricted regions never enter scoring — they route to the exception workflow.</w:t>
      </w:r>
    </w:p>
    <w:bookmarkEnd w:id="50"/>
    <w:bookmarkStart w:id="51" w:name="t7-staged-placement-pipeline"/>
    <w:p>
      <w:pPr>
        <w:pStyle w:val="Heading3"/>
      </w:pPr>
      <w:r>
        <w:t xml:space="preserve">T7 — Staged placement pipeline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In[Placement request] --&gt; HC[Hard constraints HC-1..HC-10]</w:t>
      </w:r>
      <w:r>
        <w:br/>
      </w:r>
      <w:r>
        <w:rPr>
          <w:rStyle w:val="VerbatimChar"/>
        </w:rPr>
        <w:t xml:space="preserve">    HC --&gt;|fail| Rej[Reason state / exception]</w:t>
      </w:r>
      <w:r>
        <w:br/>
      </w:r>
      <w:r>
        <w:rPr>
          <w:rStyle w:val="VerbatimChar"/>
        </w:rPr>
        <w:t xml:space="preserve">    HC --&gt;|pass| Sel{Input mode}</w:t>
      </w:r>
      <w:r>
        <w:br/>
      </w:r>
      <w:r>
        <w:rPr>
          <w:rStyle w:val="VerbatimChar"/>
        </w:rPr>
        <w:t xml:space="preserve">    Sel --&gt;|exact region default| Val[Validate &amp; accept]</w:t>
      </w:r>
      <w:r>
        <w:br/>
      </w:r>
      <w:r>
        <w:rPr>
          <w:rStyle w:val="VerbatimChar"/>
        </w:rPr>
        <w:t xml:space="preserve">    Sel --&gt;|geography exception| Score[Score Standard regions PS_Prod]</w:t>
      </w:r>
      <w:r>
        <w:br/>
      </w:r>
      <w:r>
        <w:rPr>
          <w:rStyle w:val="VerbatimChar"/>
        </w:rPr>
        <w:t xml:space="preserve">    Score --&gt; Pick[argmax -&gt; fixed seed]</w:t>
      </w:r>
      <w:r>
        <w:br/>
      </w:r>
      <w:r>
        <w:rPr>
          <w:rStyle w:val="VerbatimChar"/>
        </w:rPr>
        <w:t xml:space="preserve">    Val --&gt; Seq[Sequential CVAL then DR selection]</w:t>
      </w:r>
      <w:r>
        <w:br/>
      </w:r>
      <w:r>
        <w:rPr>
          <w:rStyle w:val="VerbatimChar"/>
        </w:rPr>
        <w:t xml:space="preserve">    Pick --&gt; Seq</w:t>
      </w:r>
      <w:r>
        <w:br/>
      </w:r>
      <w:r>
        <w:rPr>
          <w:rStyle w:val="VerbatimChar"/>
        </w:rPr>
        <w:t xml:space="preserve">    Seq --&gt; Seed[Write seed + DR index]</w:t>
      </w:r>
    </w:p>
    <w:bookmarkEnd w:id="51"/>
    <w:bookmarkStart w:id="52" w:name="X9c8c360bfbb66257242d2d99f8b84d9d8d75a5e"/>
    <w:p>
      <w:pPr>
        <w:pStyle w:val="Heading3"/>
      </w:pPr>
      <w:r>
        <w:t xml:space="preserve">T8 — Prod region input modes (exact vs geography exception)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R[Region input] --&gt; Q{Exact region or geography?}</w:t>
      </w:r>
      <w:r>
        <w:br/>
      </w:r>
      <w:r>
        <w:rPr>
          <w:rStyle w:val="VerbatimChar"/>
        </w:rPr>
        <w:t xml:space="preserve">    Q --&gt;|Exact Standard| V[Validate HC-1..HC-10 -&gt; accept, no argmax]</w:t>
      </w:r>
      <w:r>
        <w:br/>
      </w:r>
      <w:r>
        <w:rPr>
          <w:rStyle w:val="VerbatimChar"/>
        </w:rPr>
        <w:t xml:space="preserve">    Q --&gt;|Exact Restricted| X[Exception Deployment Workflow]</w:t>
      </w:r>
      <w:r>
        <w:br/>
      </w:r>
      <w:r>
        <w:rPr>
          <w:rStyle w:val="VerbatimChar"/>
        </w:rPr>
        <w:t xml:space="preserve">    Q --&gt;|Geography| E{Exception approved + acknowledged?}</w:t>
      </w:r>
      <w:r>
        <w:br/>
      </w:r>
      <w:r>
        <w:rPr>
          <w:rStyle w:val="VerbatimChar"/>
        </w:rPr>
        <w:t xml:space="preserve">    E --&gt;|No| B[POLICY_BLOCKED]</w:t>
      </w:r>
      <w:r>
        <w:br/>
      </w:r>
      <w:r>
        <w:rPr>
          <w:rStyle w:val="VerbatimChar"/>
        </w:rPr>
        <w:t xml:space="preserve">    E --&gt;|Yes| D[argmax PS_Prod over Standard regions -&gt; fixed seed]</w:t>
      </w:r>
    </w:p>
    <w:bookmarkEnd w:id="52"/>
    <w:bookmarkStart w:id="53" w:name="Xf526adaf07d0656cb9bb61c6141203dd81922db"/>
    <w:p>
      <w:pPr>
        <w:pStyle w:val="Heading3"/>
      </w:pPr>
      <w:r>
        <w:t xml:space="preserve">8.2 Scoring formulas (weights α=0.30/β=0.20/γ=0.25/δ=0.15/ε=0.10)</w:t>
      </w:r>
    </w:p>
    <w:p>
      <w:pPr>
        <w:pStyle w:val="FirstParagraph"/>
      </w:pPr>
      <w:r>
        <w:t xml:space="preserve">All five weights are tunable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constants summing to 1.0; every component is clamped</w:t>
      </w:r>
      <w:r>
        <w:t xml:space="preserve"> </w:t>
      </w:r>
      <w:r>
        <w:rPr>
          <w:rStyle w:val="VerbatimChar"/>
        </w:rPr>
        <w:t xml:space="preserve">Clamp(x)=max(0,min(1,x))</w:t>
      </w:r>
      <w:r>
        <w:t xml:space="preserve"> </w:t>
      </w:r>
      <w:r>
        <w:t xml:space="preserve">before weighting.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pStyle w:val="SourceCode"/>
      </w:pPr>
      <w:r>
        <w:rPr>
          <w:rStyle w:val="VerbatimChar"/>
        </w:rPr>
        <w:t xml:space="preserve">PS_Prod(r)    = 0.30·Clamp(nonprod.effective_free / prod.quantity)</w:t>
      </w:r>
      <w:r>
        <w:br/>
      </w:r>
      <w:r>
        <w:rPr>
          <w:rStyle w:val="VerbatimChar"/>
        </w:rPr>
        <w:t xml:space="preserve">              + 0.20·Clamp(prod.quota_headroom / prod.quota_limit)</w:t>
      </w:r>
      <w:r>
        <w:br/>
      </w:r>
      <w:r>
        <w:rPr>
          <w:rStyle w:val="VerbatimChar"/>
        </w:rPr>
        <w:t xml:space="preserve">              + 0.25·Clamp(1 - prod_customer_count / total_customers)</w:t>
      </w:r>
      <w:r>
        <w:br/>
      </w:r>
      <w:r>
        <w:rPr>
          <w:rStyle w:val="VerbatimChar"/>
        </w:rPr>
        <w:t xml:space="preserve">              + 0.15·Clamp(dr.coverage_ratio)</w:t>
      </w:r>
      <w:r>
        <w:br/>
      </w:r>
      <w:r>
        <w:rPr>
          <w:rStyle w:val="VerbatimChar"/>
        </w:rPr>
        <w:t xml:space="preserve">              + 0.10·Clamp(az_count / 3)</w:t>
      </w:r>
      <w:r>
        <w:br/>
      </w:r>
      <w:r>
        <w:br/>
      </w:r>
      <w:r>
        <w:rPr>
          <w:rStyle w:val="VerbatimChar"/>
        </w:rPr>
        <w:t xml:space="preserve">PS_NonProd(r) = 0.30·Clamp(nonprod.effective_free / nonprod.quantity)</w:t>
      </w:r>
      <w:r>
        <w:br/>
      </w:r>
      <w:r>
        <w:rPr>
          <w:rStyle w:val="VerbatimChar"/>
        </w:rPr>
        <w:t xml:space="preserve">              + 0.20·Clamp(nonprod.quota_headroom / nonprod.quota_limit)</w:t>
      </w:r>
      <w:r>
        <w:br/>
      </w:r>
      <w:r>
        <w:rPr>
          <w:rStyle w:val="VerbatimChar"/>
        </w:rPr>
        <w:t xml:space="preserve">              + 0.25·Clamp(1 - nonprod_customer_count / total_customers)</w:t>
      </w:r>
      <w:r>
        <w:br/>
      </w:r>
      <w:r>
        <w:rPr>
          <w:rStyle w:val="VerbatimChar"/>
        </w:rPr>
        <w:t xml:space="preserve">              + 0.15·Clamp(nonprod.effective_free / nonprod.quantity)</w:t>
      </w:r>
      <w:r>
        <w:br/>
      </w:r>
      <w:r>
        <w:rPr>
          <w:rStyle w:val="VerbatimChar"/>
        </w:rPr>
        <w:t xml:space="preserve">              + 0.10·Clamp(az_count / 3)</w:t>
      </w:r>
      <w:r>
        <w:br/>
      </w:r>
      <w:r>
        <w:br/>
      </w:r>
      <w:r>
        <w:rPr>
          <w:rStyle w:val="VerbatimChar"/>
        </w:rPr>
        <w:t xml:space="preserve">PS_DR(r)      = 0.30·Clamp(dr.free_slots / dr.quantity)</w:t>
      </w:r>
      <w:r>
        <w:br/>
      </w:r>
      <w:r>
        <w:rPr>
          <w:rStyle w:val="VerbatimChar"/>
        </w:rPr>
        <w:t xml:space="preserve">              + 0.20·Clamp(dr.quota_headroom / dr.quota_limit)</w:t>
      </w:r>
      <w:r>
        <w:br/>
      </w:r>
      <w:r>
        <w:rPr>
          <w:rStyle w:val="VerbatimChar"/>
        </w:rPr>
        <w:t xml:space="preserve">              + 0.25·Clamp(1 - dr_customer_count / total_customers)</w:t>
      </w:r>
      <w:r>
        <w:br/>
      </w:r>
      <w:r>
        <w:rPr>
          <w:rStyle w:val="VerbatimChar"/>
        </w:rPr>
        <w:t xml:space="preserve">              + 0.15·min(1.0, dr.coverage_ratio / dr_ratio_target)</w:t>
      </w:r>
      <w:r>
        <w:br/>
      </w:r>
      <w:r>
        <w:rPr>
          <w:rStyle w:val="VerbatimChar"/>
        </w:rPr>
        <w:t xml:space="preserve">              + 0.10·Clamp(az_count / 3)</w:t>
      </w:r>
    </w:p>
    <w:p>
      <w:pPr>
        <w:pStyle w:val="FirstParagraph"/>
      </w:pPr>
      <w:r>
        <w:rPr>
          <w:rStyle w:val="VerbatimChar"/>
        </w:rPr>
        <w:t xml:space="preserve">PS_Prod</w:t>
      </w:r>
      <w:r>
        <w:t xml:space="preserve"> </w:t>
      </w:r>
      <w:r>
        <w:t xml:space="preserve">is dual-purpose (derive on exception; validate/audit otherwise). Every candidate score + policy version + snapshot ref is written to the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for deterministic replay. A reviewer-recommended pilot</w:t>
      </w:r>
      <w:r>
        <w:t xml:space="preserve"> </w:t>
      </w:r>
      <w:r>
        <w:rPr>
          <w:rStyle w:val="VerbatimChar"/>
        </w:rPr>
        <w:t xml:space="preserve">PS_NonProd</w:t>
      </w:r>
      <w:r>
        <w:t xml:space="preserve"> </w:t>
      </w:r>
      <w:r>
        <w:t xml:space="preserve">variant (removing the α/δ duplication) is recorded in the Calculation Logic Reference; the formula above is the approved design-of-record. Scoring runs in shadow/recommendation mode until empirically validated.</w:t>
      </w:r>
      <w:r>
        <w:t xml:space="preserve"> </w:t>
      </w:r>
      <w:r>
        <w:rPr>
          <w:rStyle w:val="VerbatimChar"/>
        </w:rPr>
        <w:t xml:space="preserve">[Decided]</w:t>
      </w:r>
    </w:p>
    <w:bookmarkEnd w:id="53"/>
    <w:bookmarkStart w:id="54" w:name="Xe58fc3774fd0973434161cb02f23243303699a2"/>
    <w:p>
      <w:pPr>
        <w:pStyle w:val="Heading3"/>
      </w:pPr>
      <w:r>
        <w:t xml:space="preserve">8.3 Quota-pool arithmetic (single-pool, §26/QUA-004)</w:t>
      </w:r>
    </w:p>
    <w:p>
      <w:pPr>
        <w:pStyle w:val="SourceCode"/>
      </w:pPr>
      <w:r>
        <w:rPr>
          <w:rStyle w:val="VerbatimChar"/>
        </w:rPr>
        <w:t xml:space="preserve">Pool_Limit(region) = Prod_CRG_qty·vCPU·(1+prod_growth_buffer)</w:t>
      </w:r>
      <w:r>
        <w:br/>
      </w:r>
      <w:r>
        <w:rPr>
          <w:rStyle w:val="VerbatimChar"/>
        </w:rPr>
        <w:t xml:space="preserve">                   + NonProd_CRG_qty·vCPU·(1+nonprod_growth_buffer)</w:t>
      </w:r>
      <w:r>
        <w:br/>
      </w:r>
      <w:r>
        <w:rPr>
          <w:rStyle w:val="VerbatimChar"/>
        </w:rPr>
        <w:t xml:space="preserve">                   + DR_Earmark_vCPU(region)</w:t>
      </w:r>
      <w:r>
        <w:br/>
      </w:r>
      <w:r>
        <w:rPr>
          <w:rStyle w:val="VerbatimChar"/>
        </w:rPr>
        <w:t xml:space="preserve">                   + emergency_transfer_headroom_vcpu</w:t>
      </w:r>
      <w:r>
        <w:br/>
      </w:r>
      <w:r>
        <w:br/>
      </w:r>
      <w:r>
        <w:rPr>
          <w:rStyle w:val="VerbatimChar"/>
        </w:rPr>
        <w:t xml:space="preserve">Prod_Reserved_Floor  = Prod_Used_vCPU + Prod_Growth_Buffer_vCPU        # never allocatable to NonProd</w:t>
      </w:r>
      <w:r>
        <w:br/>
      </w:r>
      <w:r>
        <w:rPr>
          <w:rStyle w:val="VerbatimChar"/>
        </w:rPr>
        <w:t xml:space="preserve">DR_Earmark_vCPU      = Destination_DR_Requirement(region)·vCPU         # max-not-sum, never allocatable</w:t>
      </w:r>
      <w:r>
        <w:br/>
      </w:r>
      <w:r>
        <w:rPr>
          <w:rStyle w:val="VerbatimChar"/>
        </w:rPr>
        <w:t xml:space="preserve">Allocatable_NonProd  = Pool_Limit - Prod_Reserved_Floor - DR_Earmark_vCPU - NonProd_Used_vCPU</w:t>
      </w:r>
      <w:r>
        <w:br/>
      </w:r>
      <w:r>
        <w:rPr>
          <w:rStyle w:val="VerbatimChar"/>
        </w:rPr>
        <w:t xml:space="preserve">Pool_Headroom        = Pool_Limit - Pool_Used</w:t>
      </w:r>
      <w:r>
        <w:br/>
      </w:r>
      <w:r>
        <w:rPr>
          <w:rStyle w:val="VerbatimChar"/>
        </w:rPr>
        <w:t xml:space="preserve">Emergency_DR_Available= Pool_Headroom + reclaimable_NonProd_above_committed</w:t>
      </w:r>
    </w:p>
    <w:p>
      <w:pPr>
        <w:pStyle w:val="FirstParagraph"/>
      </w:pPr>
      <w:r>
        <w:t xml:space="preserve">NonProd allocation fail-safes when</w:t>
      </w:r>
      <w:r>
        <w:t xml:space="preserve"> </w:t>
      </w:r>
      <w:r>
        <w:rPr>
          <w:rStyle w:val="VerbatimChar"/>
        </w:rPr>
        <w:t xml:space="preserve">Allocatable_NonProd</w:t>
      </w:r>
      <w:r>
        <w:t xml:space="preserve"> </w:t>
      </w:r>
      <w:r>
        <w:t xml:space="preserve">reaches zero. A dual-validation detector recomputes the DR earmark from authoritative assignment data; disagreement disables automatic NonProd expansion until reconciled (Scenario 9).</w:t>
      </w:r>
      <w:r>
        <w:t xml:space="preserve"> </w:t>
      </w:r>
      <w:r>
        <w:rPr>
          <w:rStyle w:val="VerbatimChar"/>
        </w:rPr>
        <w:t xml:space="preserve">[Decided]</w:t>
      </w:r>
    </w:p>
    <w:bookmarkEnd w:id="54"/>
    <w:bookmarkStart w:id="55" w:name="forecasting-vs-reconciliation-floor"/>
    <w:p>
      <w:pPr>
        <w:pStyle w:val="Heading3"/>
      </w:pPr>
      <w:r>
        <w:t xml:space="preserve">8.4 Forecasting vs reconciliation floor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          # CAP-003 continuous floor</w:t>
      </w:r>
      <w:r>
        <w:br/>
      </w:r>
      <w:r>
        <w:rPr>
          <w:rStyle w:val="VerbatimChar"/>
        </w:rPr>
        <w:t xml:space="preserve">Forecast_Quantity        = ceil(Forecast_Peak·(1+Growth_Buffer) + DR_Buffer)  # ADR-004 proactive growth</w:t>
      </w:r>
    </w:p>
    <w:p>
      <w:pPr>
        <w:pStyle w:val="FirstParagraph"/>
      </w:pPr>
      <w:r>
        <w:t xml:space="preserve">The reconciliation floor is enforced every cycle; the forecast is advisory (horizon ∈ {30,60,90} days) and raises</w:t>
      </w:r>
      <w:r>
        <w:t xml:space="preserve"> </w:t>
      </w:r>
      <w:r>
        <w:rPr>
          <w:rStyle w:val="VerbatimChar"/>
        </w:rPr>
        <w:t xml:space="preserve">ForecastApproachingQuotaLimit</w:t>
      </w:r>
      <w:r>
        <w:t xml:space="preserve"> </w:t>
      </w:r>
      <w:r>
        <w:t xml:space="preserve">with 14-day lead time at 80% of quota limit. Auto-increase target = max(floor, forecast).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Xe961851c76549e6e362ec2ee3319186f2864d59"/>
    <w:p>
      <w:pPr>
        <w:pStyle w:val="Heading2"/>
      </w:pPr>
      <w:r>
        <w:t xml:space="preserve">9. DR Sizing &amp; Activation Algorithms (§31, App. A.6/A.7/A.8, App. D)</w:t>
      </w:r>
    </w:p>
    <w:bookmarkStart w:id="57" w:name="max-not-sum-sizing-dr-017-adr-005"/>
    <w:p>
      <w:pPr>
        <w:pStyle w:val="Heading3"/>
      </w:pPr>
      <w:r>
        <w:t xml:space="preserve">9.1 Max-not-sum sizing (DR-017, ADR-005)</w:t>
      </w:r>
    </w:p>
    <w:p>
      <w:pPr>
        <w:pStyle w:val="SourceCode"/>
      </w:pPr>
      <w:r>
        <w:rPr>
          <w:rStyle w:val="VerbatimChar"/>
        </w:rPr>
        <w:t xml:space="preserve">Destination_DR_Requirement(d) = MAX over each non-concurrent source s protected by d</w:t>
      </w:r>
      <w:r>
        <w:br/>
      </w:r>
      <w:r>
        <w:rPr>
          <w:rStyle w:val="VerbatimChar"/>
        </w:rPr>
        <w:t xml:space="preserve">                                    ( Workload_Portion(s -&gt; d) )</w:t>
      </w:r>
      <w:r>
        <w:br/>
      </w:r>
      <w:r>
        <w:rPr>
          <w:rStyle w:val="VerbatimChar"/>
        </w:rPr>
        <w:t xml:space="preserve">DR_Capacity_Gap(d)            = max(0, Destination_DR_Requirement(d) - Usable_Destination_Capacity(d))</w:t>
      </w:r>
      <w:r>
        <w:br/>
      </w:r>
      <w:r>
        <w:rPr>
          <w:rStyle w:val="VerbatimChar"/>
        </w:rPr>
        <w:t xml:space="preserve">Overcommit_Ratio(d)          = SUM(Workload_Portion(s-&gt;d)) / MAX(Workload_Portion(s-&gt;d))</w:t>
      </w:r>
    </w:p>
    <w:p>
      <w:pPr>
        <w:pStyle w:val="FirstParagraph"/>
      </w:pPr>
      <w:r>
        <w:t xml:space="preserve">Single-failure assumption (DR-001): one production region fails at a time, so 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needs standby for its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protected source only; standby is shared/overcommitted across mutually exclusive events.</w:t>
      </w:r>
      <w:r>
        <w:t xml:space="preserve"> </w:t>
      </w:r>
      <w:r>
        <w:rPr>
          <w:rStyle w:val="VerbatimChar"/>
        </w:rPr>
        <w:t xml:space="preserve">Usable_Destination_Capacity(d)</w:t>
      </w:r>
      <w:r>
        <w:t xml:space="preserve"> </w:t>
      </w:r>
      <w:r>
        <w:t xml:space="preserve">may include approved bootstrap headroom, available CRG reservations, releasable CVAL (after earmark check), and approved sharing/expansion. A per-scope</w:t>
      </w:r>
      <w:r>
        <w:t xml:space="preserve"> </w:t>
      </w:r>
      <w:r>
        <w:rPr>
          <w:bCs/>
          <w:b/>
        </w:rPr>
        <w:t xml:space="preserve">SUM override (C-11)</w:t>
      </w:r>
      <w:r>
        <w:t xml:space="preserve"> </w:t>
      </w:r>
      <w:r>
        <w:t xml:space="preserve">covers contractual simultaneous-failure protection with no code change.</w:t>
      </w:r>
      <w:r>
        <w:t xml:space="preserve"> </w:t>
      </w:r>
      <w:r>
        <w:rPr>
          <w:rStyle w:val="VerbatimChar"/>
        </w:rPr>
        <w:t xml:space="preserve">[Decided]</w:t>
      </w:r>
    </w:p>
    <w:bookmarkEnd w:id="57"/>
    <w:bookmarkStart w:id="58" w:name="t12-max-not-sum-sizing-overcommit-ratio"/>
    <w:p>
      <w:pPr>
        <w:pStyle w:val="Heading3"/>
      </w:pPr>
      <w:r>
        <w:t xml:space="preserve">T12 — Max-not-sum sizing (overcommit ratio)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S1[Source R1 -&gt; R2: 120 cores]</w:t>
      </w:r>
      <w:r>
        <w:br/>
      </w:r>
      <w:r>
        <w:rPr>
          <w:rStyle w:val="VerbatimChar"/>
        </w:rPr>
        <w:t xml:space="preserve">    S3[Source R3 -&gt; R2: 80 cores]</w:t>
      </w:r>
      <w:r>
        <w:br/>
      </w:r>
      <w:r>
        <w:rPr>
          <w:rStyle w:val="VerbatimChar"/>
        </w:rPr>
        <w:t xml:space="preserve">    S1 --&gt; R2</w:t>
      </w:r>
      <w:r>
        <w:br/>
      </w:r>
      <w:r>
        <w:rPr>
          <w:rStyle w:val="VerbatimChar"/>
        </w:rPr>
        <w:t xml:space="preserve">    S3 --&gt; R2</w:t>
      </w:r>
      <w:r>
        <w:br/>
      </w:r>
      <w:r>
        <w:rPr>
          <w:rStyle w:val="VerbatimChar"/>
        </w:rPr>
        <w:t xml:space="preserve">    R2[Destination R2 standby&lt;br/&gt;SUM = 200 cores over-provisions&lt;br/&gt;MAX = 120 cores sized&lt;br/&gt;saving = 80 cores 40%&lt;br/&gt;Overcommit_Ratio = 200/120 ≈ 1.67]:::d</w:t>
      </w:r>
      <w:r>
        <w:br/>
      </w:r>
      <w:r>
        <w:rPr>
          <w:rStyle w:val="VerbatimChar"/>
        </w:rPr>
        <w:t xml:space="preserve">    classDef d fill:#d4edda,stroke:#28a745;</w:t>
      </w:r>
    </w:p>
    <w:bookmarkEnd w:id="58"/>
    <w:bookmarkStart w:id="59" w:name="X9c525444ea3910baf2b34647854315033f4c60a"/>
    <w:p>
      <w:pPr>
        <w:pStyle w:val="Heading3"/>
      </w:pPr>
      <w:r>
        <w:t xml:space="preserve">9.2 Standby activation waves &amp; staged acquisition (DR-006, DR-019)</w:t>
      </w:r>
    </w:p>
    <w:p>
      <w:pPr>
        <w:pStyle w:val="FirstParagraph"/>
      </w:pPr>
      <w:r>
        <w:t xml:space="preserve">On authorised declaration the DR Orchestrator reads the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for the failed source and activates customers in business-priority waves (P0 platform → P-1 highest → P-N), transitioning each</w:t>
      </w:r>
      <w:r>
        <w:t xml:space="preserve"> </w:t>
      </w:r>
      <w:r>
        <w:rPr>
          <w:rStyle w:val="VerbatimChar"/>
        </w:rPr>
        <w:t xml:space="preserve">associated → allocated</w:t>
      </w:r>
      <w:r>
        <w:t xml:space="preserve">. Per wave, staged acquisition runs in order:</w:t>
      </w:r>
    </w:p>
    <w:p>
      <w:pPr>
        <w:pStyle w:val="SourceCode"/>
      </w:pPr>
      <w:r>
        <w:rPr>
          <w:rStyle w:val="VerbatimChar"/>
        </w:rPr>
        <w:t xml:space="preserve">Stage 1: approved bootstrap / pre-staged headroom (zero Azure wait)</w:t>
      </w:r>
      <w:r>
        <w:br/>
      </w:r>
      <w:r>
        <w:rPr>
          <w:rStyle w:val="VerbatimChar"/>
        </w:rPr>
        <w:t xml:space="preserve">Stage 2: available reservation + quota already in destination</w:t>
      </w:r>
      <w:r>
        <w:br/>
      </w:r>
      <w:r>
        <w:rPr>
          <w:rStyle w:val="VerbatimChar"/>
        </w:rPr>
        <w:t xml:space="preserve">Stage 3: shut down / disassociate eligible CVAL (after DR-010 authorised trigger)</w:t>
      </w:r>
      <w:r>
        <w:br/>
      </w:r>
      <w:r>
        <w:rPr>
          <w:rStyle w:val="VerbatimChar"/>
        </w:rPr>
        <w:t xml:space="preserve">Stage 4: share/reassign reservations within supported region/zone boundaries</w:t>
      </w:r>
      <w:r>
        <w:br/>
      </w:r>
      <w:r>
        <w:rPr>
          <w:rStyle w:val="VerbatimChar"/>
        </w:rPr>
        <w:t xml:space="preserve">Stage 5: allocate pooled quota to DR subscriptions</w:t>
      </w:r>
      <w:r>
        <w:br/>
      </w:r>
      <w:r>
        <w:rPr>
          <w:rStyle w:val="VerbatimChar"/>
        </w:rPr>
        <w:t xml:space="preserve">Stage 6: request additional Azure quota/capacity where required</w:t>
      </w:r>
      <w:r>
        <w:br/>
      </w:r>
      <w:r>
        <w:rPr>
          <w:rStyle w:val="VerbatimChar"/>
        </w:rPr>
        <w:t xml:space="preserve">Stage 7: report unrecoverable capacity gaps</w:t>
      </w:r>
    </w:p>
    <w:p>
      <w:pPr>
        <w:pStyle w:val="FirstParagraph"/>
      </w:pPr>
      <w:r>
        <w:t xml:space="preserve">Stages 1–2 start immediately from the single pool’s headroom, so P0/P-1 recovery does not wait on throttled Azure deallocation APIs.</w:t>
      </w:r>
      <w:r>
        <w:t xml:space="preserve"> </w:t>
      </w:r>
      <w:r>
        <w:rPr>
          <w:rStyle w:val="VerbatimChar"/>
        </w:rPr>
        <w:t xml:space="preserve">[Decided]</w:t>
      </w:r>
    </w:p>
    <w:bookmarkEnd w:id="59"/>
    <w:bookmarkStart w:id="60" w:name="Xeb18f332615b34ad47697ec8c75f0afe49e0622"/>
    <w:p>
      <w:pPr>
        <w:pStyle w:val="Heading3"/>
      </w:pPr>
      <w:r>
        <w:t xml:space="preserve">9.3 Activation state tracking &amp; failback (DR-013)</w:t>
      </w:r>
    </w:p>
    <w:p>
      <w:pPr>
        <w:pStyle w:val="SourceCode"/>
      </w:pPr>
      <w:r>
        <w:rPr>
          <w:rStyle w:val="VerbatimChar"/>
        </w:rPr>
        <w:t xml:space="preserve">ActivationRecord {</w:t>
      </w:r>
      <w:r>
        <w:br/>
      </w:r>
      <w:r>
        <w:rPr>
          <w:rStyle w:val="VerbatimChar"/>
        </w:rPr>
        <w:t xml:space="preserve">    customer_realm_id, source_region, destination_region,</w:t>
      </w:r>
      <w:r>
        <w:br/>
      </w:r>
      <w:r>
        <w:rPr>
          <w:rStyle w:val="VerbatimChar"/>
        </w:rPr>
        <w:t xml:space="preserve">    priority_wave : int,</w:t>
      </w:r>
      <w:r>
        <w:br/>
      </w:r>
      <w:r>
        <w:rPr>
          <w:rStyle w:val="VerbatimChar"/>
        </w:rPr>
        <w:t xml:space="preserve">    activation_state : PENDING | ACTIVATING | ACTIVE | FAILED | FAILBACK_PENDING,</w:t>
      </w:r>
      <w:r>
        <w:br/>
      </w:r>
      <w:r>
        <w:rPr>
          <w:rStyle w:val="VerbatimChar"/>
        </w:rPr>
        <w:t xml:space="preserve">    stage_reached : int (1..7), capacity_gap_vcpu : int,</w:t>
      </w:r>
      <w:r>
        <w:br/>
      </w:r>
      <w:r>
        <w:rPr>
          <w:rStyle w:val="VerbatimChar"/>
        </w:rPr>
        <w:t xml:space="preserve">    activated_at, approved_by, incident_id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Failback reverses</w:t>
      </w:r>
      <w:r>
        <w:t xml:space="preserve"> </w:t>
      </w:r>
      <w:r>
        <w:rPr>
          <w:rStyle w:val="VerbatimChar"/>
        </w:rPr>
        <w:t xml:space="preserve">ACTIVE → FAILBACK_PENDING → STANDBY</w:t>
      </w:r>
      <w:r>
        <w:t xml:space="preserve"> </w:t>
      </w:r>
      <w:r>
        <w:t xml:space="preserve">in reverse priority order; seed record and DR index are preserved (no re-derivation).</w:t>
      </w:r>
      <w:r>
        <w:t xml:space="preserve"> </w:t>
      </w:r>
      <w:r>
        <w:rPr>
          <w:rStyle w:val="VerbatimChar"/>
        </w:rPr>
        <w:t xml:space="preserve">[Decided]</w:t>
      </w:r>
    </w:p>
    <w:bookmarkEnd w:id="60"/>
    <w:bookmarkStart w:id="61" w:name="X172962248898c341b419e07d99b3e5465ce68a9"/>
    <w:p>
      <w:pPr>
        <w:pStyle w:val="Heading3"/>
      </w:pPr>
      <w:r>
        <w:t xml:space="preserve">T11 — DR standby activation sequence (index lookup → waves → staged acquisition)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DRC as DR coordinator</w:t>
      </w:r>
      <w:r>
        <w:br/>
      </w:r>
      <w:r>
        <w:rPr>
          <w:rStyle w:val="VerbatimChar"/>
        </w:rPr>
        <w:t xml:space="preserve">    participant DRO as DR Orchestrator</w:t>
      </w:r>
      <w:r>
        <w:br/>
      </w:r>
      <w:r>
        <w:rPr>
          <w:rStyle w:val="VerbatimChar"/>
        </w:rPr>
        <w:t xml:space="preserve">    participant IDX as SourceDestinationDRIndex</w:t>
      </w:r>
      <w:r>
        <w:br/>
      </w:r>
      <w:r>
        <w:rPr>
          <w:rStyle w:val="VerbatimChar"/>
        </w:rPr>
        <w:t xml:space="preserve">    participant QPM as Quota-Pool Manager</w:t>
      </w:r>
      <w:r>
        <w:br/>
      </w:r>
      <w:r>
        <w:rPr>
          <w:rStyle w:val="VerbatimChar"/>
        </w:rPr>
        <w:t xml:space="preserve">    participant AZ as Azure</w:t>
      </w:r>
      <w:r>
        <w:br/>
      </w:r>
      <w:r>
        <w:rPr>
          <w:rStyle w:val="VerbatimChar"/>
        </w:rPr>
        <w:t xml:space="preserve">    DRC-&gt;&gt;DRO: Declare source-region failure (authorised)</w:t>
      </w:r>
      <w:r>
        <w:br/>
      </w:r>
      <w:r>
        <w:rPr>
          <w:rStyle w:val="VerbatimChar"/>
        </w:rPr>
        <w:t xml:space="preserve">    DRO-&gt;&gt;DRO: engine_mode = DR_EVENT_ACTIVE</w:t>
      </w:r>
      <w:r>
        <w:br/>
      </w:r>
      <w:r>
        <w:rPr>
          <w:rStyle w:val="VerbatimChar"/>
        </w:rPr>
        <w:t xml:space="preserve">    DRO-&gt;&gt;IDX: Query standby sets for failed source</w:t>
      </w:r>
      <w:r>
        <w:br/>
      </w:r>
      <w:r>
        <w:rPr>
          <w:rStyle w:val="VerbatimChar"/>
        </w:rPr>
        <w:t xml:space="preserve">    IDX--&gt;&gt;DRO: Customers + priority waves</w:t>
      </w:r>
      <w:r>
        <w:br/>
      </w:r>
      <w:r>
        <w:rPr>
          <w:rStyle w:val="VerbatimChar"/>
        </w:rPr>
        <w:t xml:space="preserve">    loop each priority wave (P0 -&gt; P-1 -&gt; P-N)</w:t>
      </w:r>
      <w:r>
        <w:br/>
      </w:r>
      <w:r>
        <w:rPr>
          <w:rStyle w:val="VerbatimChar"/>
        </w:rPr>
        <w:t xml:space="preserve">        DRO-&gt;&gt;QPM: Stage1-2 draw pool headroom + reservation</w:t>
      </w:r>
      <w:r>
        <w:br/>
      </w:r>
      <w:r>
        <w:rPr>
          <w:rStyle w:val="VerbatimChar"/>
        </w:rPr>
        <w:t xml:space="preserve">        QPM--&gt;&gt;DRO: Earmark released (no cross-group transfer)</w:t>
      </w:r>
      <w:r>
        <w:br/>
      </w:r>
      <w:r>
        <w:rPr>
          <w:rStyle w:val="VerbatimChar"/>
        </w:rPr>
        <w:t xml:space="preserve">        alt deficit remains</w:t>
      </w:r>
      <w:r>
        <w:br/>
      </w:r>
      <w:r>
        <w:rPr>
          <w:rStyle w:val="VerbatimChar"/>
        </w:rPr>
        <w:t xml:space="preserve">            DRO-&gt;&gt;QPM: Stage3 CVAL release / Stage4 share / Stage5 pooled quota</w:t>
      </w:r>
      <w:r>
        <w:br/>
      </w:r>
      <w:r>
        <w:rPr>
          <w:rStyle w:val="VerbatimChar"/>
        </w:rPr>
        <w:t xml:space="preserve">            DRO-&gt;&gt;AZ: Stage6 request additional capacity/quota</w:t>
      </w:r>
      <w:r>
        <w:br/>
      </w:r>
      <w:r>
        <w:rPr>
          <w:rStyle w:val="VerbatimChar"/>
        </w:rPr>
        <w:t xml:space="preserve">            AZ--&gt;&gt;DRO: Granted or deficit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DRO-&gt;&gt;DRO: associated -&gt; allocated (ActivationRecord)</w:t>
      </w:r>
      <w:r>
        <w:br/>
      </w:r>
      <w:r>
        <w:rPr>
          <w:rStyle w:val="VerbatimChar"/>
        </w:rPr>
        <w:t xml:space="preserve">        DRO-&gt;&gt;DRC: Wave complete + audit checkpoint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DRC-&gt;&gt;DRO: Failback authorised</w:t>
      </w:r>
      <w:r>
        <w:br/>
      </w:r>
      <w:r>
        <w:rPr>
          <w:rStyle w:val="VerbatimChar"/>
        </w:rPr>
        <w:t xml:space="preserve">    DRO-&gt;&gt;DRO: ACTIVE -&gt; FAILBACK_PENDING -&gt; STANDBY (reverse order)</w:t>
      </w:r>
    </w:p>
    <w:bookmarkEnd w:id="61"/>
    <w:bookmarkStart w:id="62" w:name="tier-escalation-32-see-13-baseline"/>
    <w:p>
      <w:pPr>
        <w:pStyle w:val="Heading3"/>
      </w:pPr>
      <w:r>
        <w:t xml:space="preserve">9.4 Tier escalation (§32) — see §13 baseline</w:t>
      </w:r>
    </w:p>
    <w:p>
      <w:pPr>
        <w:pStyle w:val="FirstParagraph"/>
      </w:pPr>
      <w:r>
        <w:t xml:space="preserve">Emergency capacity during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escalates Tier 1 (direct expansion) → Tier 2 (quota-neutral transfer within the shared pool) → Tier 3 (destructive, dual-approval,</w:t>
      </w:r>
      <w:r>
        <w:t xml:space="preserve"> </w:t>
      </w:r>
      <w:r>
        <w:rPr>
          <w:bCs/>
          <w:b/>
        </w:rPr>
        <w:t xml:space="preserve">blocked in Phase 1</w:t>
      </w:r>
      <w:r>
        <w:t xml:space="preserve">). In the single-pool model Tier 2 is intrinsically quota-neutral (draw and release hit the same pool).</w:t>
      </w:r>
      <w:r>
        <w:t xml:space="preserve"> </w:t>
      </w:r>
      <w:r>
        <w:rPr>
          <w:rStyle w:val="VerbatimChar"/>
        </w:rPr>
        <w:t xml:space="preserve">[Decided]</w:t>
      </w:r>
    </w:p>
    <w:bookmarkEnd w:id="62"/>
    <w:bookmarkStart w:id="63" w:name="X53b1971bd083de8f9b8d82e65f7f01daa00d46d"/>
    <w:p>
      <w:pPr>
        <w:pStyle w:val="Heading3"/>
      </w:pPr>
      <w:r>
        <w:t xml:space="preserve">T10 — Three-tier emergency transfer escalation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Ev[DR event active] --&gt; T1{Tier 1 headroom available?}</w:t>
      </w:r>
      <w:r>
        <w:br/>
      </w:r>
      <w:r>
        <w:rPr>
          <w:rStyle w:val="VerbatimChar"/>
        </w:rPr>
        <w:t xml:space="preserve">    T1 --&gt;|Yes| A1[DirectExpansion - automated additive]</w:t>
      </w:r>
      <w:r>
        <w:br/>
      </w:r>
      <w:r>
        <w:rPr>
          <w:rStyle w:val="VerbatimChar"/>
        </w:rPr>
        <w:t xml:space="preserve">    T1 --&gt;|No| T2{Tier 2 approved?}</w:t>
      </w:r>
      <w:r>
        <w:br/>
      </w:r>
      <w:r>
        <w:rPr>
          <w:rStyle w:val="VerbatimChar"/>
        </w:rPr>
        <w:t xml:space="preserve">    T2 --&gt;|Yes| A2[QuotaNeutralTransfer - reduce NonProd, expand DR in same pool]</w:t>
      </w:r>
      <w:r>
        <w:br/>
      </w:r>
      <w:r>
        <w:rPr>
          <w:rStyle w:val="VerbatimChar"/>
        </w:rPr>
        <w:t xml:space="preserve">    T2 --&gt;|No| T3{Tier 3 allowed?}</w:t>
      </w:r>
      <w:r>
        <w:br/>
      </w:r>
      <w:r>
        <w:rPr>
          <w:rStyle w:val="VerbatimChar"/>
        </w:rPr>
        <w:t xml:space="preserve">    T3 --&gt;|Phase 1: BLOCKED| M[Manual escalation]</w:t>
      </w:r>
      <w:r>
        <w:br/>
      </w:r>
      <w:r>
        <w:rPr>
          <w:rStyle w:val="VerbatimChar"/>
        </w:rPr>
        <w:t xml:space="preserve">    T3 --&gt;|Later phase: dual-approval| A3[DestructiveTransfer - changes VM associations]</w:t>
      </w:r>
    </w:p>
    <w:bookmarkEnd w:id="63"/>
    <w:bookmarkStart w:id="64" w:name="t13-distributed-dr-reference-model-12a"/>
    <w:p>
      <w:pPr>
        <w:pStyle w:val="Heading3"/>
      </w:pPr>
      <w:r>
        <w:t xml:space="preserve">T13 — Distributed DR reference model (§12A)</w:t>
      </w:r>
    </w:p>
    <w:p>
      <w:pPr>
        <w:pStyle w:val="FirstParagraph"/>
      </w:pPr>
      <w:r>
        <w:t xml:space="preserve">Reused reference diagram (ADR-005 §12A):</w:t>
      </w:r>
      <w:r>
        <w:t xml:space="preserve"> </w:t>
      </w:r>
      <w:r>
        <w:rPr>
          <w:rStyle w:val="VerbatimChar"/>
        </w:rPr>
        <w:t xml:space="preserve">adr/diagrams/acrme_three_region_capacity_model.png</w:t>
      </w:r>
      <w:r>
        <w:t xml:space="preserve"> </w:t>
      </w:r>
      <w:r>
        <w:t xml:space="preserve">— each region concurrently hosts Prod + CVAL + DR standby tagged with its</w:t>
      </w:r>
      <w:r>
        <w:t xml:space="preserve"> </w:t>
      </w:r>
      <w:r>
        <w:rPr>
          <w:rStyle w:val="VerbatimChar"/>
        </w:rPr>
        <w:t xml:space="preserve">src Rn</w:t>
      </w:r>
      <w:r>
        <w:t xml:space="preserve"> </w:t>
      </w:r>
      <w:r>
        <w:t xml:space="preserve">source; each destination is sized by max-not-sum against its largest single protected source.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steady-state-capacity-lifecycle-30"/>
    <w:p>
      <w:pPr>
        <w:pStyle w:val="Heading2"/>
      </w:pPr>
      <w:r>
        <w:t xml:space="preserve">10. Steady-State Capacity Lifecycle (§30)</w:t>
      </w:r>
    </w:p>
    <w:p>
      <w:pPr>
        <w:pStyle w:val="FirstParagraph"/>
      </w:pPr>
      <w:r>
        <w:t xml:space="preserve">The normative 10-step sequence runs only 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Detect threshold crossing (utilisation ≥ auto-increase threshold).</w:t>
      </w:r>
      <w:r>
        <w:br/>
      </w:r>
      <w:r>
        <w:rPr>
          <w:rStyle w:val="VerbatimChar"/>
        </w:rPr>
        <w:t xml:space="preserve">2. Re-read current CR, quota, sharing, assignment state.</w:t>
      </w:r>
      <w:r>
        <w:br/>
      </w:r>
      <w:r>
        <w:rPr>
          <w:rStyle w:val="VerbatimChar"/>
        </w:rPr>
        <w:t xml:space="preserve">3. Create CapacityIncreaseRequest.</w:t>
      </w:r>
      <w:r>
        <w:br/>
      </w:r>
      <w:r>
        <w:rPr>
          <w:rStyle w:val="VerbatimChar"/>
        </w:rPr>
        <w:t xml:space="preserve">4. Calculate target = max(Allocated+Buffer floor, Forecast_Quantity).</w:t>
      </w:r>
      <w:r>
        <w:br/>
      </w:r>
      <w:r>
        <w:rPr>
          <w:rStyle w:val="VerbatimChar"/>
        </w:rPr>
        <w:t xml:space="preserve">5. Require operator approval (Phase 1).</w:t>
      </w:r>
      <w:r>
        <w:br/>
      </w:r>
      <w:r>
        <w:rPr>
          <w:rStyle w:val="VerbatimChar"/>
        </w:rPr>
        <w:t xml:space="preserve">6. Submit quota action only if validated as required.</w:t>
      </w:r>
      <w:r>
        <w:br/>
      </w:r>
      <w:r>
        <w:rPr>
          <w:rStyle w:val="VerbatimChar"/>
        </w:rPr>
        <w:t xml:space="preserve">7. Wait for confirmed quota state — no assumed propagation SLA.</w:t>
      </w:r>
      <w:r>
        <w:br/>
      </w:r>
      <w:r>
        <w:rPr>
          <w:rStyle w:val="VerbatimChar"/>
        </w:rPr>
        <w:t xml:space="preserve">8. Update CR quantity.</w:t>
      </w:r>
      <w:r>
        <w:br/>
      </w:r>
      <w:r>
        <w:rPr>
          <w:rStyle w:val="VerbatimChar"/>
        </w:rPr>
        <w:t xml:space="preserve">9. Confirm actual quantity.</w:t>
      </w:r>
      <w:r>
        <w:br/>
      </w:r>
      <w:r>
        <w:rPr>
          <w:rStyle w:val="VerbatimChar"/>
        </w:rPr>
        <w:t xml:space="preserve">10. Refresh snapshot and close the request.</w:t>
      </w:r>
    </w:p>
    <w:p>
      <w:pPr>
        <w:pStyle w:val="FirstParagraph"/>
      </w:pPr>
      <w:r>
        <w:t xml:space="preserve">Triggers:</w:t>
      </w:r>
      <w:r>
        <w:t xml:space="preserve"> </w:t>
      </w:r>
      <w:r>
        <w:rPr>
          <w:rStyle w:val="VerbatimChar"/>
        </w:rPr>
        <w:t xml:space="preserve">dr_autoincrease_threshold=0.35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prod/nonprod_autoincrease_threshold=0.20</w:t>
      </w:r>
      <w:r>
        <w:t xml:space="preserve">, debounce cooldown 30 min per (region+CRG type). Guarded scale-down never drops below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, within a DR window, during maintenance exclusion, or against cost policy; reductions go to zero, never deletion (CAP-009/010).</w:t>
      </w:r>
      <w:r>
        <w:t xml:space="preserve"> </w:t>
      </w:r>
      <w:r>
        <w:rPr>
          <w:rStyle w:val="VerbatimChar"/>
        </w:rPr>
        <w:t xml:space="preserve">[Decided]</w:t>
      </w:r>
    </w:p>
    <w:bookmarkStart w:id="66" w:name="X214afb769bb3291c1ffd3537dae1b04bde56773"/>
    <w:p>
      <w:pPr>
        <w:pStyle w:val="Heading3"/>
      </w:pPr>
      <w:r>
        <w:t xml:space="preserve">T9 — Steady-state 10-step capacity lifecycle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REC as State Reconciler</w:t>
      </w:r>
      <w:r>
        <w:br/>
      </w:r>
      <w:r>
        <w:rPr>
          <w:rStyle w:val="VerbatimChar"/>
        </w:rPr>
        <w:t xml:space="preserve">    participant OP as Operator</w:t>
      </w:r>
      <w:r>
        <w:br/>
      </w:r>
      <w:r>
        <w:rPr>
          <w:rStyle w:val="VerbatimChar"/>
        </w:rPr>
        <w:t xml:space="preserve">    participant QPM as Quota-Pool Manager</w:t>
      </w:r>
      <w:r>
        <w:br/>
      </w:r>
      <w:r>
        <w:rPr>
          <w:rStyle w:val="VerbatimChar"/>
        </w:rPr>
        <w:t xml:space="preserve">    participant AZ as Azure</w:t>
      </w:r>
      <w:r>
        <w:br/>
      </w:r>
      <w:r>
        <w:rPr>
          <w:rStyle w:val="VerbatimChar"/>
        </w:rPr>
        <w:t xml:space="preserve">    REC-&gt;&gt;REC: 1. Detect threshold crossing</w:t>
      </w:r>
      <w:r>
        <w:br/>
      </w:r>
      <w:r>
        <w:rPr>
          <w:rStyle w:val="VerbatimChar"/>
        </w:rPr>
        <w:t xml:space="preserve">    REC-&gt;&gt;AZ: 2. Re-read CR/quota/sharing/assignment</w:t>
      </w:r>
      <w:r>
        <w:br/>
      </w:r>
      <w:r>
        <w:rPr>
          <w:rStyle w:val="VerbatimChar"/>
        </w:rPr>
        <w:t xml:space="preserve">    REC-&gt;&gt;REC: 3. Create CapacityIncreaseRequest</w:t>
      </w:r>
      <w:r>
        <w:br/>
      </w:r>
      <w:r>
        <w:rPr>
          <w:rStyle w:val="VerbatimChar"/>
        </w:rPr>
        <w:t xml:space="preserve">    REC-&gt;&gt;REC: 4. Target = max(Allocated+Buffer, Forecast)</w:t>
      </w:r>
      <w:r>
        <w:br/>
      </w:r>
      <w:r>
        <w:rPr>
          <w:rStyle w:val="VerbatimChar"/>
        </w:rPr>
        <w:t xml:space="preserve">    REC-&gt;&gt;OP: 5. Require approval (Phase 1)</w:t>
      </w:r>
      <w:r>
        <w:br/>
      </w:r>
      <w:r>
        <w:rPr>
          <w:rStyle w:val="VerbatimChar"/>
        </w:rPr>
        <w:t xml:space="preserve">    OP--&gt;&gt;REC: Approved</w:t>
      </w:r>
      <w:r>
        <w:br/>
      </w:r>
      <w:r>
        <w:rPr>
          <w:rStyle w:val="VerbatimChar"/>
        </w:rPr>
        <w:t xml:space="preserve">    REC-&gt;&gt;QPM: 6. Submit quota action if required</w:t>
      </w:r>
      <w:r>
        <w:br/>
      </w:r>
      <w:r>
        <w:rPr>
          <w:rStyle w:val="VerbatimChar"/>
        </w:rPr>
        <w:t xml:space="preserve">    QPM-&gt;&gt;AZ: 7. Await confirmed quota state</w:t>
      </w:r>
      <w:r>
        <w:br/>
      </w:r>
      <w:r>
        <w:rPr>
          <w:rStyle w:val="VerbatimChar"/>
        </w:rPr>
        <w:t xml:space="preserve">    AZ--&gt;&gt;QPM: Confirmed</w:t>
      </w:r>
      <w:r>
        <w:br/>
      </w:r>
      <w:r>
        <w:rPr>
          <w:rStyle w:val="VerbatimChar"/>
        </w:rPr>
        <w:t xml:space="preserve">    QPM-&gt;&gt;AZ: 8. Update CR quantity</w:t>
      </w:r>
      <w:r>
        <w:br/>
      </w:r>
      <w:r>
        <w:rPr>
          <w:rStyle w:val="VerbatimChar"/>
        </w:rPr>
        <w:t xml:space="preserve">    AZ--&gt;&gt;QPM: 9. Confirm actual quantity</w:t>
      </w:r>
      <w:r>
        <w:br/>
      </w:r>
      <w:r>
        <w:rPr>
          <w:rStyle w:val="VerbatimChar"/>
        </w:rPr>
        <w:t xml:space="preserve">    REC-&gt;&gt;REC: 10. Refresh snapshot + close request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api-architecture-35-int-001..007"/>
    <w:p>
      <w:pPr>
        <w:pStyle w:val="Heading2"/>
      </w:pPr>
      <w:r>
        <w:t xml:space="preserve">11. API Architecture (§35, INT-001..007)</w:t>
      </w:r>
    </w:p>
    <w:bookmarkStart w:id="68" w:name="contracts"/>
    <w:p>
      <w:pPr>
        <w:pStyle w:val="Heading3"/>
      </w:pPr>
      <w:r>
        <w:t xml:space="preserve">11.1 Contracts</w:t>
      </w:r>
    </w:p>
    <w:p>
      <w:pPr>
        <w:pStyle w:val="SourceCode"/>
      </w:pPr>
      <w:r>
        <w:rPr>
          <w:rStyle w:val="VerbatimChar"/>
        </w:rPr>
        <w:t xml:space="preserve">POST /readiness            → DeploymentReadinessResult   (query; idempotent)</w:t>
      </w:r>
      <w:r>
        <w:br/>
      </w:r>
      <w:r>
        <w:rPr>
          <w:rStyle w:val="VerbatimChar"/>
        </w:rPr>
        <w:t xml:space="preserve">  in : { customer_realm_id, region (exact), sku_family, environment, product, intended_demand }</w:t>
      </w:r>
      <w:r>
        <w:br/>
      </w:r>
      <w:r>
        <w:rPr>
          <w:rStyle w:val="VerbatimChar"/>
        </w:rPr>
        <w:t xml:space="preserve">  out: { readiness_state, reasons[], operation_handle, snapshot_ref, policy_version }</w:t>
      </w:r>
      <w:r>
        <w:br/>
      </w:r>
      <w:r>
        <w:br/>
      </w:r>
      <w:r>
        <w:rPr>
          <w:rStyle w:val="VerbatimChar"/>
        </w:rPr>
        <w:t xml:space="preserve">POST /placement            → PlacementResult             (idempotent; writes seed + DR index)</w:t>
      </w:r>
      <w:r>
        <w:br/>
      </w:r>
      <w:r>
        <w:rPr>
          <w:rStyle w:val="VerbatimChar"/>
        </w:rPr>
        <w:t xml:space="preserve">POST /capacity/increase    → OperationRecord             (operator-gated; idempotent)</w:t>
      </w:r>
      <w:r>
        <w:br/>
      </w:r>
      <w:r>
        <w:rPr>
          <w:rStyle w:val="VerbatimChar"/>
        </w:rPr>
        <w:t xml:space="preserve">POST /dr/declare           → OperationRecord             (authorised; flips engine_mode)</w:t>
      </w:r>
      <w:r>
        <w:br/>
      </w:r>
      <w:r>
        <w:rPr>
          <w:rStyle w:val="VerbatimChar"/>
        </w:rPr>
        <w:t xml:space="preserve">POST /dr/activate-wave     → ActivationRecord[]          (per priority wave)</w:t>
      </w:r>
      <w:r>
        <w:br/>
      </w:r>
      <w:r>
        <w:rPr>
          <w:rStyle w:val="VerbatimChar"/>
        </w:rPr>
        <w:t xml:space="preserve">POST /quota/allocate       → OperationRecord             (single-pool allocation)</w:t>
      </w:r>
      <w:r>
        <w:br/>
      </w:r>
      <w:r>
        <w:rPr>
          <w:rStyle w:val="VerbatimChar"/>
        </w:rPr>
        <w:t xml:space="preserve">POST /sharing/activate     → OperationRecord             (zone-aligned share)</w:t>
      </w:r>
      <w:r>
        <w:br/>
      </w:r>
      <w:r>
        <w:rPr>
          <w:rStyle w:val="VerbatimChar"/>
        </w:rPr>
        <w:t xml:space="preserve">GET  /audit, GET /state    → read-only</w:t>
      </w:r>
    </w:p>
    <w:bookmarkEnd w:id="68"/>
    <w:bookmarkStart w:id="69" w:name="Xbf0c8e85f6d627db120a6c14c30679497ae6450"/>
    <w:p>
      <w:pPr>
        <w:pStyle w:val="Heading3"/>
      </w:pPr>
      <w:r>
        <w:t xml:space="preserve">11.2 Idempotency, versioning, error/readiness codes</w:t>
      </w:r>
    </w:p>
    <w:p>
      <w:pPr>
        <w:numPr>
          <w:ilvl w:val="0"/>
          <w:numId w:val="1006"/>
        </w:numPr>
        <w:pStyle w:val="Compact"/>
      </w:pPr>
      <w:r>
        <w:t xml:space="preserve">Every mutating call carries an</w:t>
      </w:r>
      <w:r>
        <w:t xml:space="preserve"> </w:t>
      </w:r>
      <w:r>
        <w:rPr>
          <w:bCs/>
          <w:b/>
        </w:rPr>
        <w:t xml:space="preserve">idempotency key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expected-state version</w:t>
      </w:r>
      <w:r>
        <w:t xml:space="preserve">; retried calls return the original result, mismatched versions return a concurrency error (INT-004..006, NFR-007).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6"/>
        </w:numPr>
        <w:pStyle w:val="Compact"/>
      </w:pPr>
      <w:r>
        <w:t xml:space="preserve">Readiness states are the machine-readable contract to AEP:</w:t>
      </w:r>
    </w:p>
    <w:p>
      <w:pPr>
        <w:pStyle w:val="SourceCode"/>
      </w:pPr>
      <w:r>
        <w:rPr>
          <w:rStyle w:val="VerbatimChar"/>
        </w:rPr>
        <w:t xml:space="preserve">READY | READY_WITH_RISK | QUOTA_DEFICIT | RESERVATION_DEFICIT |</w:t>
      </w:r>
      <w:r>
        <w:br/>
      </w:r>
      <w:r>
        <w:rPr>
          <w:rStyle w:val="VerbatimChar"/>
        </w:rPr>
        <w:t xml:space="preserve">CAPACITY_UNAVAILABLE | STALE_STATE | POLICY_BLOCKED | VALIDATION_REQUIRED</w:t>
      </w:r>
    </w:p>
    <w:p>
      <w:pPr>
        <w:numPr>
          <w:ilvl w:val="0"/>
          <w:numId w:val="1007"/>
        </w:numPr>
        <w:pStyle w:val="Compact"/>
      </w:pPr>
      <w:r>
        <w:t xml:space="preserve">AEP</w:t>
      </w:r>
      <w:r>
        <w:t xml:space="preserve"> </w:t>
      </w:r>
      <w:r>
        <w:rPr>
          <w:bCs/>
          <w:b/>
        </w:rPr>
        <w:t xml:space="preserve">polls</w:t>
      </w:r>
      <w:r>
        <w:t xml:space="preserve"> </w:t>
      </w:r>
      <w:r>
        <w:t xml:space="preserve">operation handles rather than assuming synchronous completion, and never treats provider quota as proof of consumer deployability (INT-007, POC-001).</w:t>
      </w:r>
      <w:r>
        <w:t xml:space="preserve"> </w:t>
      </w:r>
      <w:r>
        <w:rPr>
          <w:rStyle w:val="VerbatimChar"/>
        </w:rPr>
        <w:t xml:space="preserve">[Assumed]</w:t>
      </w:r>
    </w:p>
    <w:bookmarkEnd w:id="69"/>
    <w:bookmarkStart w:id="70" w:name="readiness-gate-logic-rdy-001"/>
    <w:p>
      <w:pPr>
        <w:pStyle w:val="Heading3"/>
      </w:pPr>
      <w:r>
        <w:t xml:space="preserve">11.3 Readiness gate logic (RDY-001)</w:t>
      </w:r>
    </w:p>
    <w:p>
      <w:pPr>
        <w:pStyle w:val="SourceCode"/>
      </w:pPr>
      <w:r>
        <w:rPr>
          <w:rStyle w:val="VerbatimChar"/>
        </w:rPr>
        <w:t xml:space="preserve">READY requires ALL of:</w:t>
      </w:r>
      <w:r>
        <w:br/>
      </w:r>
      <w:r>
        <w:rPr>
          <w:rStyle w:val="VerbatimChar"/>
        </w:rPr>
        <w:t xml:space="preserve"> 1. target_region ∈ approved_region_catalogue                 (REG-001)</w:t>
      </w:r>
      <w:r>
        <w:br/>
      </w:r>
      <w:r>
        <w:rPr>
          <w:rStyle w:val="VerbatimChar"/>
        </w:rPr>
        <w:t xml:space="preserve"> 2. az_count ≥ 1 in target_region                             (CAP-011)</w:t>
      </w:r>
      <w:r>
        <w:br/>
      </w:r>
      <w:r>
        <w:rPr>
          <w:rStyle w:val="VerbatimChar"/>
        </w:rPr>
        <w:t xml:space="preserve"> 3. sku ∈ supported_skus(target_region)</w:t>
      </w:r>
      <w:r>
        <w:br/>
      </w:r>
      <w:r>
        <w:rPr>
          <w:rStyle w:val="VerbatimChar"/>
        </w:rPr>
        <w:t xml:space="preserve"> 4. reservation_policy known for (subscription, region, zone, sku)</w:t>
      </w:r>
      <w:r>
        <w:br/>
      </w:r>
      <w:r>
        <w:rPr>
          <w:rStyle w:val="VerbatimChar"/>
        </w:rPr>
        <w:t xml:space="preserve"> 5. reservation exists (if required by policy)</w:t>
      </w:r>
      <w:r>
        <w:br/>
      </w:r>
      <w:r>
        <w:rPr>
          <w:rStyle w:val="VerbatimChar"/>
        </w:rPr>
        <w:t xml:space="preserve"> 6. reserved_quantity ≥ requested_count OR approved_over_allocation active</w:t>
      </w:r>
      <w:r>
        <w:br/>
      </w:r>
      <w:r>
        <w:rPr>
          <w:rStyle w:val="VerbatimChar"/>
        </w:rPr>
        <w:t xml:space="preserve"> 7. consumer_subscription_quota ≥ requested_units             (QUA-013 — POC-gated)</w:t>
      </w:r>
      <w:r>
        <w:br/>
      </w:r>
      <w:r>
        <w:rPr>
          <w:rStyle w:val="VerbatimChar"/>
        </w:rPr>
        <w:t xml:space="preserve"> 8. snapshot_age ≤ max_snapshot_age_seconds                   (RDY-004)</w:t>
      </w:r>
      <w:r>
        <w:br/>
      </w:r>
      <w:r>
        <w:rPr>
          <w:rStyle w:val="VerbatimChar"/>
        </w:rPr>
        <w:t xml:space="preserve"> 9. no blocking policy exception or hard-constraint violation</w:t>
      </w:r>
      <w:r>
        <w:br/>
      </w:r>
      <w:r>
        <w:rPr>
          <w:rStyle w:val="VerbatimChar"/>
        </w:rPr>
        <w:t xml:space="preserve">Quota_Deficit = max(0, Requested_Deployment_Units - Available_Quota)</w:t>
      </w:r>
      <w:r>
        <w:br/>
      </w:r>
      <w:r>
        <w:rPr>
          <w:rStyle w:val="VerbatimChar"/>
        </w:rPr>
        <w:t xml:space="preserve">Available_Quota = Assigned_Regional_VM_Family_Quota - Current_Regional_VM_Family_Usage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security-36-gov-001..009"/>
    <w:p>
      <w:pPr>
        <w:pStyle w:val="Heading2"/>
      </w:pPr>
      <w:r>
        <w:t xml:space="preserve">12. Security (§36, GOV-001..009)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RBAC &amp; managed identity:</w:t>
      </w:r>
      <w:r>
        <w:t xml:space="preserve"> </w:t>
      </w:r>
      <w:r>
        <w:t xml:space="preserve">the control identity holds least-privilege, scoped roles per target subscription; no standing user credentials for mutations (GOV-001/002).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Approval gates:</w:t>
      </w:r>
      <w:r>
        <w:t xml:space="preserve"> </w:t>
      </w:r>
      <w:r>
        <w:t xml:space="preserve">capacity/quota increase, DR declaration, CVAL release, Tier 2 transfer, seed change, and overrides are policy-gated with recorded approver identity (GOV-005..007).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Break-glass:</w:t>
      </w:r>
      <w:r>
        <w:t xml:space="preserve"> </w:t>
      </w:r>
      <w:r>
        <w:t xml:space="preserve">an audited emergency-elevation path with dual control and time-boxed elevated RBAC; every break-glass action is immutably logged (GOV-008).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Secrets:</w:t>
      </w:r>
      <w:r>
        <w:t xml:space="preserve"> </w:t>
      </w:r>
      <w:r>
        <w:t xml:space="preserve">managed identity + platform secret store; no secrets in config or code.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Audit:</w:t>
      </w:r>
      <w:r>
        <w:t xml:space="preserve"> </w:t>
      </w:r>
      <w:r>
        <w:t xml:space="preserve">append-only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 </w:t>
      </w:r>
      <w:r>
        <w:t xml:space="preserve">for every decision and mutation with before/after values and correlation IDs (GOV-004/009, DAT-005).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72"/>
    <w:bookmarkStart w:id="73" w:name="Xe4b74ee3941a52557051ee012e96fef9bb3e09f"/>
    <w:p>
      <w:pPr>
        <w:pStyle w:val="Heading2"/>
      </w:pPr>
      <w:r>
        <w:t xml:space="preserve">13. Observability Implementation (§37, OBS-001..005)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/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 deficit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reservation_buffer_deficit</w:t>
            </w:r>
            <w:r>
              <w:t xml:space="preserve"> </w:t>
            </w:r>
            <w:r>
              <w:t xml:space="preserve">gauge; alert when reserved &lt;</w:t>
            </w:r>
            <w:r>
              <w:t xml:space="preserve"> </w:t>
            </w:r>
            <w:r>
              <w:rPr>
                <w:rStyle w:val="VerbatimChar"/>
              </w:rPr>
              <w:t xml:space="preserve">Allocated+Buffer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OBS-001, 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Per-destination DR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dr_max_source_coverage(d)</w:t>
            </w:r>
            <w:r>
              <w:t xml:space="preserve">; alert when usable &lt;</w:t>
            </w:r>
            <w:r>
              <w:t xml:space="preserve"> </w:t>
            </w:r>
            <w:r>
              <w:rPr>
                <w:rStyle w:val="VerbatimChar"/>
              </w:rPr>
              <w:t xml:space="preserve">Destination_DR_Requirement(d)</w:t>
            </w:r>
            <w:r>
              <w:t xml:space="preserve"> </w:t>
            </w:r>
            <w:r>
              <w:t xml:space="preserve">(the MAX, not the SUM)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OBS-002, DR-017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capacity 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dr_capacity_gap(d)</w:t>
            </w:r>
            <w:r>
              <w:t xml:space="preserve"> </w:t>
            </w: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Source↔destination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of the</w:t>
            </w:r>
            <w:r>
              <w:t xml:space="preserve"> </w:t>
            </w:r>
            <w:r>
              <w:rPr>
                <w:rStyle w:val="VerbatimChar"/>
              </w:rPr>
              <w:t xml:space="preserve">SourceDestinationDRIndex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Overcommit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overcommit_ratio(d)</w:t>
            </w:r>
            <w:r>
              <w:t xml:space="preserve">; alert above safety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FIN-006..008, POC-011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Activation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per-wave</w:t>
            </w:r>
            <w:r>
              <w:t xml:space="preserve"> </w:t>
            </w:r>
            <w:r>
              <w:rPr>
                <w:rStyle w:val="VerbatimChar"/>
              </w:rPr>
              <w:t xml:space="preserve">ActivationRecord</w:t>
            </w:r>
            <w:r>
              <w:t xml:space="preserve"> </w:t>
            </w: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OBS-003, DR-019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reservation cost surfaced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OBS-005, FIN-001/002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snapshot_age</w:t>
            </w:r>
            <w:r>
              <w:t xml:space="preserve">; alert/refresh on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RDY-004, NFR-002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 lead-time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ForecastApproachingQuotaLimit</w:t>
            </w:r>
            <w:r>
              <w:t xml:space="preserve"> </w:t>
            </w:r>
            <w:r>
              <w:t xml:space="preserve">(14-day lead at 80%)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OBS-001, ADR-004</w:t>
            </w:r>
          </w:p>
        </w:tc>
      </w:tr>
    </w:tbl>
    <w:p>
      <w:pPr>
        <w:pStyle w:val="BodyText"/>
      </w:pPr>
      <w:r>
        <w:t xml:space="preserve">All metrics carry region/environment/scope dimensions and policy version for replay.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73"/>
    <w:bookmarkStart w:id="74" w:name="nfrs-resilience-38-nfr-001..010"/>
    <w:p>
      <w:pPr>
        <w:pStyle w:val="Heading2"/>
      </w:pPr>
      <w:r>
        <w:t xml:space="preserve">14. NFRs &amp; Resilience (§38, NFR-001..010)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Throttling resilience:</w:t>
      </w:r>
      <w:r>
        <w:t xml:space="preserve"> </w:t>
      </w:r>
      <w:r>
        <w:t xml:space="preserve">adaptive throttle manager initialises with ARM baselines (250 reads/5 min, 1,200 writes/hour per subscription) and adapts to observed</w:t>
      </w:r>
      <w:r>
        <w:t xml:space="preserve"> </w:t>
      </w:r>
      <w:r>
        <w:rPr>
          <w:rStyle w:val="VerbatimChar"/>
        </w:rPr>
        <w:t xml:space="preserve">429/Retry-After</w:t>
      </w:r>
      <w:r>
        <w:t xml:space="preserve">; reconciliation cadence and estate size are bounded accordingly (§14 calc).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Estate sizing:</w:t>
      </w:r>
      <w:r>
        <w:t xml:space="preserve"> </w:t>
      </w:r>
      <w:r>
        <w:rPr>
          <w:rStyle w:val="VerbatimChar"/>
        </w:rPr>
        <w:t xml:space="preserve">CRG_total = R·Eclass·Z·SKUset·IsolationFactor</w:t>
      </w:r>
      <w:r>
        <w:t xml:space="preserve">;</w:t>
      </w:r>
      <w:r>
        <w:t xml:space="preserve"> </w:t>
      </w:r>
      <w:r>
        <w:rPr>
          <w:rStyle w:val="VerbatimChar"/>
        </w:rPr>
        <w:t xml:space="preserve">Requests_per_cycle</w:t>
      </w:r>
      <w:r>
        <w:t xml:space="preserve"> </w:t>
      </w:r>
      <w:r>
        <w:t xml:space="preserve">summed across read classes / 300 s cycle to stay within budget.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Degraded mode:</w:t>
      </w:r>
      <w:r>
        <w:t xml:space="preserve"> </w:t>
      </w:r>
      <w:r>
        <w:t xml:space="preserve">on untrusted/stale inputs the engine enters</w:t>
      </w:r>
      <w:r>
        <w:t xml:space="preserve"> </w:t>
      </w:r>
      <w:r>
        <w:rPr>
          <w:rStyle w:val="VerbatimChar"/>
        </w:rPr>
        <w:t xml:space="preserve">INCIDENT_HOLD</w:t>
      </w:r>
      <w:r>
        <w:t xml:space="preserve"> </w:t>
      </w:r>
      <w:r>
        <w:t xml:space="preserve">/ returns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 </w:t>
      </w:r>
      <w:r>
        <w:t xml:space="preserve">and fails safe rather than driving placement from stale data (NFR-002).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Simulation / dry-run:</w:t>
      </w:r>
      <w:r>
        <w:t xml:space="preserve"> </w:t>
      </w:r>
      <w:r>
        <w:t xml:space="preserve">placement, reconciliation, and</w:t>
      </w:r>
      <w:r>
        <w:t xml:space="preserve"> </w:t>
      </w:r>
      <w:r>
        <w:rPr>
          <w:bCs/>
          <w:b/>
        </w:rPr>
        <w:t xml:space="preserve">DR failover</w:t>
      </w:r>
      <w:r>
        <w:t xml:space="preserve"> </w:t>
      </w:r>
      <w:r>
        <w:t xml:space="preserve">can run in dry-run/simulation, producing the would-be decisions and readiness states without mutating Azure (NFR-006).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Idempotency &amp; concurrency:</w:t>
      </w:r>
      <w:r>
        <w:t xml:space="preserve"> </w:t>
      </w:r>
      <w:r>
        <w:t xml:space="preserve">all mutations idempotent + optimistic concurrency (NFR-007). Determinism/replay from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74"/>
    <w:bookmarkStart w:id="75" w:name="integration-33-6-review"/>
    <w:p>
      <w:pPr>
        <w:pStyle w:val="Heading2"/>
      </w:pPr>
      <w:r>
        <w:t xml:space="preserve">15. Integration (§33, §6 review)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AKS / VMSS:</w:t>
      </w:r>
      <w:r>
        <w:t xml:space="preserve"> </w:t>
      </w:r>
      <w:r>
        <w:t xml:space="preserve">reservations back node pools / scale sets; ACRME readiness gates their capacity before scale-out; associations are tracked for reconciliation.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AEP:</w:t>
      </w:r>
      <w:r>
        <w:t xml:space="preserve"> </w:t>
      </w:r>
      <w:r>
        <w:t xml:space="preserve">the sole provisioning consumer of readiness; interacts only through the idempotent readiness/placement contract (§11) and polls operation handles.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Azure control planes:</w:t>
      </w:r>
      <w:r>
        <w:t xml:space="preserve"> </w:t>
      </w:r>
      <w:r>
        <w:t xml:space="preserve">Compute (CRGs/reservations), Reservations, and</w:t>
      </w:r>
      <w:r>
        <w:t xml:space="preserve"> </w:t>
      </w:r>
      <w:r>
        <w:rPr>
          <w:bCs/>
          <w:b/>
        </w:rPr>
        <w:t xml:space="preserve">groupQuotas</w:t>
      </w:r>
      <w:r>
        <w:t xml:space="preserve"> </w:t>
      </w:r>
      <w:r>
        <w:t xml:space="preserve">(single-pool). Single-pool enforcement depends on</w:t>
      </w:r>
      <w:r>
        <w:t xml:space="preserve"> </w:t>
      </w:r>
      <w:r>
        <w:rPr>
          <w:rStyle w:val="VerbatimChar"/>
        </w:rPr>
        <w:t xml:space="preserve">groupQuotas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groupType</w:t>
      </w:r>
      <w:r>
        <w:t xml:space="preserve"> </w:t>
      </w:r>
      <w:r>
        <w:t xml:space="preserve">maturity (DEP-001).</w:t>
      </w:r>
      <w:r>
        <w:t xml:space="preserve"> </w:t>
      </w:r>
      <w:r>
        <w:rPr>
          <w:rStyle w:val="VerbatimChar"/>
        </w:rPr>
        <w:t xml:space="preserve">[Documented]</w:t>
      </w:r>
    </w:p>
    <w:p>
      <w:r>
        <w:pict>
          <v:rect style="width:0;height:1.5pt" o:hralign="center" o:hrstd="t" o:hr="t"/>
        </w:pict>
      </w:r>
    </w:p>
    <w:bookmarkEnd w:id="75"/>
    <w:bookmarkStart w:id="76" w:name="poc-validation-dependencies-42"/>
    <w:p>
      <w:pPr>
        <w:pStyle w:val="Heading2"/>
      </w:pPr>
      <w:r>
        <w:t xml:space="preserve">16. POC &amp; Validation Dependencies (§42)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provider quota under a shared reservation guarantee consumer deployability?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gate step 7; INT-007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topology behaves as modelled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ADR-005 §12A; DR-016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Lean bootstrap sizing is sufficient to initiate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DR-007 bootstrap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 overcommit is safe at platform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DR-017 sizing; overcommit safety ceiling; FIN-006..008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before production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state semantics (associated/allocated/deallocated)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DR-019 activation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POC-031/032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quota-neutral transfer within a group/pool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 baseline 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p>
      <w:pPr>
        <w:pStyle w:val="BodyText"/>
      </w:pPr>
      <w:r>
        <w:t xml:space="preserve">Production reliance on max-not-sum DR sizing and single-pool consumer-quota behaviour is</w:t>
      </w:r>
      <w:r>
        <w:t xml:space="preserve"> </w:t>
      </w:r>
      <w:r>
        <w:rPr>
          <w:bCs/>
          <w:b/>
        </w:rPr>
        <w:t xml:space="preserve">gated</w:t>
      </w:r>
      <w:r>
        <w:t xml:space="preserve"> </w:t>
      </w:r>
      <w:r>
        <w:t xml:space="preserve">on POC-011 and POC-001 respectively; until then, readiness validates consumer quota explicitly and DR sizing carries the SUM-override safety option.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76"/>
    <w:bookmarkStart w:id="77" w:name="X1ae8ab60b5e87de0de2c362fd57ee8868871fc2"/>
    <w:p>
      <w:pPr>
        <w:pStyle w:val="Heading2"/>
      </w:pPr>
      <w:r>
        <w:t xml:space="preserve">17. Traceability — Requirement/Deviation → Component/Algorithm/Entity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 group (v2.2 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/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/ diagram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REG-001..003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Config/Scope-File, Placement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validation; input modes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PlacementPolicy</w:t>
            </w:r>
            <w:r>
              <w:t xml:space="preserve">; 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ENV-001..007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Engine, DR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separation; role flip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CustomerSeedRecord</w:t>
            </w:r>
            <w:r>
              <w:t xml:space="preserve">; T7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CAP-001..019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Collector, State Reconciler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Allocated+Buffer</w:t>
            </w:r>
            <w:r>
              <w:t xml:space="preserve"> </w:t>
            </w:r>
            <w:r>
              <w:t xml:space="preserve">floor; zero-not-delete; over-alloc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ReservationState</w:t>
            </w:r>
            <w:r>
              <w:t xml:space="preserve">; T9, 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QUA-001..014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Quota-Pool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 pool arithmetic; earmarks; quota-as-governor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QuotaPoolState</w:t>
            </w:r>
            <w:r>
              <w:t xml:space="preserve">; 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RDY-001..004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§11.3 gate logic; staleness; quota deficit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states; T6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PLC-001..010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&amp; Scoring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PS_Prod/NonProd/DR</w:t>
            </w:r>
            <w:r>
              <w:t xml:space="preserve">; seed reuse; co-location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CustomerSeedRecord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CVALEarmarkRecord</w:t>
            </w:r>
            <w:r>
              <w:t xml:space="preserve">; T7, T8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DR-001..019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Orchestrator, Emergency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max-not-sum; gap; overcommit; activation waves; staged acquisition; tiers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SourceDestinationDRIndex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ActivationRecord</w:t>
            </w:r>
            <w:r>
              <w:t xml:space="preserve">; T11, T12, T13, T10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FIN-001..008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Emitter, Forecast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cost; overcommit ratio; cost-before-expansion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metrics; T12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INT-001..007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keys; expected-version; polling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OperationRecord</w:t>
            </w:r>
            <w:r>
              <w:t xml:space="preserve">; 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DAT-001..006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Store, Config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freshness metadata; versioning;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entities; T5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OBS-001..005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 Emitter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max-source coverage; source↔dest map; activation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dashboards; §13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GOV-001..009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&amp;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RBAC; approval gates; break-glass; immutable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AuditEvent</w:t>
            </w:r>
            <w:r>
              <w:t xml:space="preserve">; §12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NFR-001..010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(cross-cutting)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throttle resilience; degraded mode; idempotency; simulation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OperationRecord</w:t>
            </w:r>
            <w:r>
              <w:t xml:space="preserve">; §14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OPS-001..005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(runbooks)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declaration/activation/failback; quota allocation; sharing; 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ActivationRecord</w:t>
            </w:r>
            <w:r>
              <w:t xml:space="preserve">; §10, §16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POC-001..011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(gating)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quota; DR topology; bootstrap; overcommit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DEC-001..003 / 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Config/Scope-File, Quota-Pool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DR policy; failback duration; geo-exception approver; groupQuotas maturity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PlacementPolicy</w:t>
            </w:r>
            <w:r>
              <w:t xml:space="preserve">; §2.2, §5.3</w:t>
            </w:r>
          </w:p>
        </w:tc>
      </w:tr>
    </w:tbl>
    <w:p>
      <w:pPr>
        <w:pStyle w:val="BodyText"/>
      </w:pPr>
      <w:r>
        <w:rPr>
          <w:iCs/>
          <w:i/>
        </w:rPr>
        <w:t xml:space="preserve">Every Baseline v2.2 requirement group resolves to at least one component, algorithm, and entity above. Functional-level traceability is in the FDD §9.</w:t>
      </w:r>
    </w:p>
    <w:p>
      <w:r>
        <w:pict>
          <v:rect style="width:0;height:1.5pt" o:hralign="center" o:hrstd="t" o:hr="t"/>
        </w:pict>
      </w:r>
    </w:p>
    <w:bookmarkEnd w:id="77"/>
    <w:bookmarkStart w:id="79" w:name="class-diagram-updated-with-new-entities"/>
    <w:p>
      <w:pPr>
        <w:pStyle w:val="Heading2"/>
      </w:pPr>
      <w:r>
        <w:t xml:space="preserve">18. Class Diagram (updated with new entities)</w:t>
      </w:r>
    </w:p>
    <w:bookmarkStart w:id="78" w:name="Xc93dff571658be662c96a512fbb33be46c30b43"/>
    <w:p>
      <w:pPr>
        <w:pStyle w:val="Heading3"/>
      </w:pPr>
      <w:r>
        <w:t xml:space="preserve">T14 — Domain class model (updated: +CustomerSeedRecord, +SourceDestinationDRIndex, +CVALEarmarkRecord; single-pool</w:t>
      </w:r>
      <w:r>
        <w:t xml:space="preserve"> </w:t>
      </w:r>
      <w:r>
        <w:rPr>
          <w:rStyle w:val="VerbatimChar"/>
        </w:rPr>
        <w:t xml:space="preserve">QuotaPoolState</w:t>
      </w:r>
      <w:r>
        <w:t xml:space="preserve">; readiness enum)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CustomerSeedRecord {</w:t>
      </w:r>
      <w:r>
        <w:br/>
      </w:r>
      <w:r>
        <w:rPr>
          <w:rStyle w:val="VerbatimChar"/>
        </w:rPr>
        <w:t xml:space="preserve">        +string customer_realm_id</w:t>
      </w:r>
      <w:r>
        <w:br/>
      </w:r>
      <w:r>
        <w:rPr>
          <w:rStyle w:val="VerbatimChar"/>
        </w:rPr>
        <w:t xml:space="preserve">        +string geography</w:t>
      </w:r>
      <w:r>
        <w:br/>
      </w:r>
      <w:r>
        <w:rPr>
          <w:rStyle w:val="VerbatimChar"/>
        </w:rPr>
        <w:t xml:space="preserve">        +string production_region</w:t>
      </w:r>
      <w:r>
        <w:br/>
      </w:r>
      <w:r>
        <w:rPr>
          <w:rStyle w:val="VerbatimChar"/>
        </w:rPr>
        <w:t xml:space="preserve">        +string cval_region</w:t>
      </w:r>
      <w:r>
        <w:br/>
      </w:r>
      <w:r>
        <w:rPr>
          <w:rStyle w:val="VerbatimChar"/>
        </w:rPr>
        <w:t xml:space="preserve">        +string dr_region</w:t>
      </w:r>
      <w:r>
        <w:br/>
      </w:r>
      <w:r>
        <w:rPr>
          <w:rStyle w:val="VerbatimChar"/>
        </w:rPr>
        <w:t xml:space="preserve">        +string input_mode</w:t>
      </w:r>
      <w:r>
        <w:br/>
      </w:r>
      <w:r>
        <w:rPr>
          <w:rStyle w:val="VerbatimChar"/>
        </w:rPr>
        <w:t xml:space="preserve">        +string policy_version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SourceDestinationDRIndex {</w:t>
      </w:r>
      <w:r>
        <w:br/>
      </w:r>
      <w:r>
        <w:rPr>
          <w:rStyle w:val="VerbatimChar"/>
        </w:rPr>
        <w:t xml:space="preserve">        +string source_region</w:t>
      </w:r>
      <w:r>
        <w:br/>
      </w:r>
      <w:r>
        <w:rPr>
          <w:rStyle w:val="VerbatimChar"/>
        </w:rPr>
        <w:t xml:space="preserve">        +string destination_region</w:t>
      </w:r>
      <w:r>
        <w:br/>
      </w:r>
      <w:r>
        <w:rPr>
          <w:rStyle w:val="VerbatimChar"/>
        </w:rPr>
        <w:t xml:space="preserve">        +string customer_realm_id</w:t>
      </w:r>
      <w:r>
        <w:br/>
      </w:r>
      <w:r>
        <w:rPr>
          <w:rStyle w:val="VerbatimChar"/>
        </w:rPr>
        <w:t xml:space="preserve">        +int quantity_vcpu</w:t>
      </w:r>
      <w:r>
        <w:br/>
      </w:r>
      <w:r>
        <w:rPr>
          <w:rStyle w:val="VerbatimChar"/>
        </w:rPr>
        <w:t xml:space="preserve">        +ActivationState activation_state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CVALEarmarkRecord {</w:t>
      </w:r>
      <w:r>
        <w:br/>
      </w:r>
      <w:r>
        <w:rPr>
          <w:rStyle w:val="VerbatimChar"/>
        </w:rPr>
        <w:t xml:space="preserve">        +int cval_capacity_vcpu</w:t>
      </w:r>
      <w:r>
        <w:br/>
      </w:r>
      <w:r>
        <w:rPr>
          <w:rStyle w:val="VerbatimChar"/>
        </w:rPr>
        <w:t xml:space="preserve">        +int dr_earmarked_vcpu</w:t>
      </w:r>
      <w:r>
        <w:br/>
      </w:r>
      <w:r>
        <w:rPr>
          <w:rStyle w:val="VerbatimChar"/>
        </w:rPr>
        <w:t xml:space="preserve">        +bool co_located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QuotaPoolState {</w:t>
      </w:r>
      <w:r>
        <w:br/>
      </w:r>
      <w:r>
        <w:rPr>
          <w:rStyle w:val="VerbatimChar"/>
        </w:rPr>
        <w:t xml:space="preserve">        +int pool_limit</w:t>
      </w:r>
      <w:r>
        <w:br/>
      </w:r>
      <w:r>
        <w:rPr>
          <w:rStyle w:val="VerbatimChar"/>
        </w:rPr>
        <w:t xml:space="preserve">        +int prod_reserved_floor</w:t>
      </w:r>
      <w:r>
        <w:br/>
      </w:r>
      <w:r>
        <w:rPr>
          <w:rStyle w:val="VerbatimChar"/>
        </w:rPr>
        <w:t xml:space="preserve">        +int dr_earmark_vcpu</w:t>
      </w:r>
      <w:r>
        <w:br/>
      </w:r>
      <w:r>
        <w:rPr>
          <w:rStyle w:val="VerbatimChar"/>
        </w:rPr>
        <w:t xml:space="preserve">        +int allocatable_nonprod</w:t>
      </w:r>
      <w:r>
        <w:br/>
      </w:r>
      <w:r>
        <w:rPr>
          <w:rStyle w:val="VerbatimChar"/>
        </w:rPr>
        <w:t xml:space="preserve">        +int pool_headroom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PlacementPolicy {</w:t>
      </w:r>
      <w:r>
        <w:br/>
      </w:r>
      <w:r>
        <w:rPr>
          <w:rStyle w:val="VerbatimChar"/>
        </w:rPr>
        <w:t xml:space="preserve">        +float alpha_beta_gamma_delta_epsilon</w:t>
      </w:r>
      <w:r>
        <w:br/>
      </w:r>
      <w:r>
        <w:rPr>
          <w:rStyle w:val="VerbatimChar"/>
        </w:rPr>
        <w:t xml:space="preserve">        +float prod_growth_buffer</w:t>
      </w:r>
      <w:r>
        <w:br/>
      </w:r>
      <w:r>
        <w:rPr>
          <w:rStyle w:val="VerbatimChar"/>
        </w:rPr>
        <w:t xml:space="preserve">        +float nonprod_growth_buffer</w:t>
      </w:r>
      <w:r>
        <w:br/>
      </w:r>
      <w:r>
        <w:rPr>
          <w:rStyle w:val="VerbatimChar"/>
        </w:rPr>
        <w:t xml:space="preserve">        +string version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ActivationRecord {</w:t>
      </w:r>
      <w:r>
        <w:br/>
      </w:r>
      <w:r>
        <w:rPr>
          <w:rStyle w:val="VerbatimChar"/>
        </w:rPr>
        <w:t xml:space="preserve">        +int priority_wave</w:t>
      </w:r>
      <w:r>
        <w:br/>
      </w:r>
      <w:r>
        <w:rPr>
          <w:rStyle w:val="VerbatimChar"/>
        </w:rPr>
        <w:t xml:space="preserve">        +int stage_reached</w:t>
      </w:r>
      <w:r>
        <w:br/>
      </w:r>
      <w:r>
        <w:rPr>
          <w:rStyle w:val="VerbatimChar"/>
        </w:rPr>
        <w:t xml:space="preserve">        +int capacity_gap_vcpu</w:t>
      </w:r>
      <w:r>
        <w:br/>
      </w:r>
      <w:r>
        <w:rPr>
          <w:rStyle w:val="VerbatimChar"/>
        </w:rPr>
        <w:t xml:space="preserve">        +ActivationState state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ReservationState {</w:t>
      </w:r>
      <w:r>
        <w:br/>
      </w:r>
      <w:r>
        <w:rPr>
          <w:rStyle w:val="VerbatimChar"/>
        </w:rPr>
        <w:t xml:space="preserve">        +int reserved_quantity</w:t>
      </w:r>
      <w:r>
        <w:br/>
      </w:r>
      <w:r>
        <w:rPr>
          <w:rStyle w:val="VerbatimChar"/>
        </w:rPr>
        <w:t xml:space="preserve">        +int allocated_count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OperationRecord {</w:t>
      </w:r>
      <w:r>
        <w:br/>
      </w:r>
      <w:r>
        <w:rPr>
          <w:rStyle w:val="VerbatimChar"/>
        </w:rPr>
        <w:t xml:space="preserve">        +string operation_handle</w:t>
      </w:r>
      <w:r>
        <w:br/>
      </w:r>
      <w:r>
        <w:rPr>
          <w:rStyle w:val="VerbatimChar"/>
        </w:rPr>
        <w:t xml:space="preserve">        +string expected_version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CustomerSeedRecord "1" --&gt; "0..*" SourceDestinationDRIndex : reverse view</w:t>
      </w:r>
      <w:r>
        <w:br/>
      </w:r>
      <w:r>
        <w:rPr>
          <w:rStyle w:val="VerbatimChar"/>
        </w:rPr>
        <w:t xml:space="preserve">    CustomerSeedRecord "1" --&gt; "0..*" CVALEarmarkRecord</w:t>
      </w:r>
      <w:r>
        <w:br/>
      </w:r>
      <w:r>
        <w:rPr>
          <w:rStyle w:val="VerbatimChar"/>
        </w:rPr>
        <w:t xml:space="preserve">    CustomerSeedRecord --&gt; PlacementPolicy : policy_version</w:t>
      </w:r>
      <w:r>
        <w:br/>
      </w:r>
      <w:r>
        <w:rPr>
          <w:rStyle w:val="VerbatimChar"/>
        </w:rPr>
        <w:t xml:space="preserve">    SourceDestinationDRIndex "1" --&gt; "0..*" ActivationRecord</w:t>
      </w:r>
      <w:r>
        <w:br/>
      </w:r>
      <w:r>
        <w:rPr>
          <w:rStyle w:val="VerbatimChar"/>
        </w:rPr>
        <w:t xml:space="preserve">    QuotaPoolState "1" --&gt; "0..*" ReservationState</w:t>
      </w:r>
      <w:r>
        <w:br/>
      </w:r>
      <w:r>
        <w:rPr>
          <w:rStyle w:val="VerbatimChar"/>
        </w:rPr>
        <w:t xml:space="preserve">    OperationRecord --&gt; ReservationState : mutates</w:t>
      </w:r>
    </w:p>
    <w:p>
      <w:pPr>
        <w:pStyle w:val="FirstParagraph"/>
      </w:pPr>
      <w:r>
        <w:t xml:space="preserve">Note: the earlier UML summary’s</w:t>
      </w:r>
      <w:r>
        <w:t xml:space="preserve"> </w:t>
      </w:r>
      <w:r>
        <w:t xml:space="preserve">“</w:t>
      </w:r>
      <w:r>
        <w:t xml:space="preserve">two quota groups per region</w:t>
      </w:r>
      <w:r>
        <w:t xml:space="preserve">”</w:t>
      </w:r>
      <w:r>
        <w:t xml:space="preserve"> </w:t>
      </w:r>
      <w:r>
        <w:t xml:space="preserve">is superseded by the</w:t>
      </w:r>
      <w:r>
        <w:t xml:space="preserve"> </w:t>
      </w:r>
      <w:r>
        <w:rPr>
          <w:bCs/>
          <w:b/>
        </w:rPr>
        <w:t xml:space="preserve">single governed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QuotaPoolState</w:t>
      </w:r>
      <w:r>
        <w:t xml:space="preserve"> </w:t>
      </w:r>
      <w:r>
        <w:t xml:space="preserve">with logical earmarks (exception two-group topology only).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Draft for review ·</w:t>
      </w:r>
      <w:r>
        <w:t xml:space="preserve"> </w:t>
      </w:r>
      <w:r>
        <w:rPr>
          <w:bCs/>
          <w:b/>
        </w:rPr>
        <w:t xml:space="preserve">Next:</w:t>
      </w:r>
      <w:r>
        <w:t xml:space="preserve"> </w:t>
      </w:r>
      <w:r>
        <w:t xml:space="preserve">ratify alongside the FDD; supersede the Production Readiness Review (archived). Production reliance on max-not-sum DR and single-pool consumer quota is gated on POC-011 / POC-001.</w:t>
      </w:r>
    </w:p>
    <w:bookmarkEnd w:id="78"/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2026-09-02T11:37:34Z</dcterms:created>
  <dcterms:modified xsi:type="dcterms:W3CDTF">2026-09-02T11:37:34Z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