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Azure Capacity Reservation Management Engine (ACRME)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- Architecture Governance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2.2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 September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Accepted - supersedes ADR-002 v2.1 quota grouping content</w:t>
      </w:r>
      <w:r>
        <w:br/>
      </w:r>
      <w:r>
        <w:rPr>
          <w:bCs/>
          <w:b/>
        </w:rPr>
        <w:t xml:space="preserve">Part of:</w:t>
      </w:r>
      <w:r>
        <w:t xml:space="preserve"> </w:t>
      </w:r>
      <w:r>
        <w:t xml:space="preserve">ACRME Architecture Decision Records - aligned to Capacity &amp; Quota Management Requirements Baseline v2.2.</w:t>
      </w:r>
    </w:p>
    <w:p>
      <w:pPr>
        <w:pStyle w:val="BlockText"/>
      </w:pPr>
      <w:r>
        <w:rPr>
          <w:bCs/>
          <w:b/>
        </w:rPr>
        <w:t xml:space="preserve">About ADRs.</w:t>
      </w:r>
      <w:r>
        <w:t xml:space="preserve"> </w:t>
      </w:r>
      <w:r>
        <w:t xml:space="preserve">An Architecture Decision Record captures a significant architectural decision, the context that forced it, the options considered, the choice made, and its consequences. This v2.2 ADR adopts the</w:t>
      </w:r>
      <w:r>
        <w:t xml:space="preserve"> </w:t>
      </w:r>
      <w:r>
        <w:rPr>
          <w:bCs/>
          <w:b/>
        </w:rPr>
        <w:t xml:space="preserve">single governed quota pool</w:t>
      </w:r>
      <w:r>
        <w:t xml:space="preserve"> </w:t>
      </w:r>
      <w:r>
        <w:t xml:space="preserve">as the primary model per QUA-004 and updates quota and capacity accounting to match Requirements Baseline v2.2. Evidence tags: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" w:name="adr-002---quota-and-capacity-management"/>
    <w:p>
      <w:pPr>
        <w:pStyle w:val="Heading1"/>
      </w:pPr>
      <w:r>
        <w:t xml:space="preserve">ADR-002 - Quota and Capacity Management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27 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FinOps, Quota Owner</w:t>
      </w:r>
      <w:r>
        <w:br/>
      </w:r>
      <w:r>
        <w:rPr>
          <w:bCs/>
          <w:b/>
        </w:rPr>
        <w:t xml:space="preserve">Related requirements:</w:t>
      </w:r>
      <w:r>
        <w:t xml:space="preserve"> </w:t>
      </w:r>
      <w:r>
        <w:t xml:space="preserve">CAP-001..CAP-019, QUA-001..QUA-014, RDY-001..RDY-004, FIN-001..FIN-006, GOV-001..GOV-006</w:t>
      </w:r>
      <w:r>
        <w:br/>
      </w:r>
      <w:r>
        <w:rPr>
          <w:bCs/>
          <w:b/>
        </w:rPr>
        <w:t xml:space="preserve">Related POCs:</w:t>
      </w:r>
      <w:r>
        <w:t xml:space="preserve"> </w:t>
      </w:r>
      <w:r>
        <w:t xml:space="preserve">POC-001, POC-002, POC-003, POC-008, POC-011, DEP-001</w:t>
      </w:r>
    </w:p>
    <w:bookmarkStart w:id="20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Capacity reservations and VM-family quota are independent Azure control-plane resources. ACRME must validate both before deployment because a reservation without deployable consumer-subscription quota can still fail, and quota without reserved capacity does not guarantee physical capacity.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BodyText"/>
      </w:pPr>
      <w:r>
        <w:t xml:space="preserve">Requirements Baseline v2.2 also changes quota from a passive limit to a governed resource pool. Quota is deliberately used as a cost and consumption governor: teams must justify quota increases, and unused regional quota can be pooled and reallocated only under policy.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t xml:space="preserve">The earlier two-quota-group model (a Prod-only group plus a shared NonProd/DR group) protected Prod from NonProd consumption but fragments quota and forces separate, more frequent quota-increase requests to Microsoft. QUA-004 resolves this in favour of</w:t>
      </w:r>
      <w:r>
        <w:t xml:space="preserve"> </w:t>
      </w:r>
      <w:r>
        <w:rPr>
          <w:bCs/>
          <w:b/>
        </w:rPr>
        <w:t xml:space="preserve">one governed quota pool per applicable regional/quota-family scope covering Prod, NonProd/CVAL, and DR together</w:t>
      </w:r>
      <w:r>
        <w:t xml:space="preserve">, because a single pool collects all otherwise-stranded default per-region quota (QUA-003 hoarding) into one manipulable balance and lets ACRME allocate it wherever it is needed on demand — maximising manipulation flexibility, improving utilisation, and avoiding frequent quota requests to Microsoft. This ADR therefore</w:t>
      </w:r>
      <w:r>
        <w:t xml:space="preserve"> </w:t>
      </w:r>
      <w:r>
        <w:rPr>
          <w:bCs/>
          <w:b/>
        </w:rPr>
        <w:t xml:space="preserve">adopts the single governed pool as the primary model</w:t>
      </w:r>
      <w:r>
        <w:t xml:space="preserve">; a two-group (or multi-group) topology is retained only as a narrow, configuration-driven governance exception invoked when Azure Quota Group limits or a mandatory Prod-isolation governance boundary make a single pool impossible.</w:t>
      </w:r>
      <w:r>
        <w:t xml:space="preserve"> </w:t>
      </w:r>
      <w:r>
        <w:rPr>
          <w:rStyle w:val="VerbatimChar"/>
        </w:rPr>
        <w:t xml:space="preserve">[Decided]</w:t>
      </w:r>
    </w:p>
    <w:bookmarkEnd w:id="20"/>
    <w:bookmarkStart w:id="21" w:name="decision"/>
    <w:p>
      <w:pPr>
        <w:pStyle w:val="Heading2"/>
      </w:pPr>
      <w:r>
        <w:t xml:space="preserve">Decision</w:t>
      </w:r>
    </w:p>
    <w:p>
      <w:pPr>
        <w:pStyle w:val="FirstParagraph"/>
      </w:pPr>
      <w:r>
        <w:t xml:space="preserve">Adopt a</w:t>
      </w:r>
      <w:r>
        <w:t xml:space="preserve"> </w:t>
      </w:r>
      <w:r>
        <w:rPr>
          <w:bCs/>
          <w:b/>
        </w:rPr>
        <w:t xml:space="preserve">separate-but-correlated capacity and quota control plane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Capacity and quota are separate domains.</w:t>
      </w:r>
      <w:r>
        <w:t xml:space="preserve"> </w:t>
      </w:r>
      <w:r>
        <w:t xml:space="preserve">ACRME maintains reservation state and quota state independently but correlates them by subscription, region, zone, VM/quota family, SKU, environment, product, and intended demand.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Quota is a consumption governor.</w:t>
      </w:r>
      <w:r>
        <w:t xml:space="preserve"> </w:t>
      </w:r>
      <w:r>
        <w:t xml:space="preserve">Unallocated pooled quota is not a reason to increase a subscription automatically. Every increase records owner, workload, region, SKU/family, amount, existing usage, target date, and business justification.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One governed quota pool is the primary model.</w:t>
      </w:r>
      <w:r>
        <w:t xml:space="preserve"> </w:t>
      </w:r>
      <w:r>
        <w:t xml:space="preserve">Prod, NonProd/CVAL, and DR share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governed quota pool per applicable region and quota family (QUA-004). All eligible default per-region quota is hoarded into this pool (QUA-003) and allocated on demand to whichever environment needs it, maximising manipulation flexibility, improving utilisation, and minimising quota-increase requests to Microsoft. Prod protection inside the shared pool is enforced by engine controls (reserved Prod headroom floor, DR floor earmark, and priority ordering at allocation/reclamation time), not by physical group separation.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Multi-group topology is a narrow governance exception only.</w:t>
      </w:r>
      <w:r>
        <w:t xml:space="preserve"> </w:t>
      </w:r>
      <w:r>
        <w:t xml:space="preserve">A two-group (Prod-only + shared NonProd/DR) or multi-group topology is used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Azure Quota Group limits or a mandatory Prod-isolation governance boundary make a single pool impossible. Each such exception is recorded in the Decision Log with the specific limit/boundary that forced it, and reverts to the single pool when the constraint is lifted. This is the configured implementation of the</w:t>
      </w:r>
      <w:r>
        <w:t xml:space="preserve"> </w:t>
      </w:r>
      <w:r>
        <w:t xml:space="preserve">“</w:t>
      </w:r>
      <w:r>
        <w:t xml:space="preserve">unless Azure limits or governance boundaries require separation</w:t>
      </w:r>
      <w:r>
        <w:t xml:space="preserve">”</w:t>
      </w:r>
      <w:r>
        <w:t xml:space="preserve"> </w:t>
      </w:r>
      <w:r>
        <w:t xml:space="preserve">clause in QUA-004, not a competing default design.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Consumer quota validation is mandatory and POC-gated.</w:t>
      </w:r>
      <w:r>
        <w:t xml:space="preserve"> </w:t>
      </w:r>
      <w:r>
        <w:t xml:space="preserve">Until POC-001 and authoritative Azure guidance prove otherwise, ACRME assumes the deploying/consumer subscription must hold sufficient quota even when consuming a provider-owned shared reservation.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DR quota is sized by distributed DR demand.</w:t>
      </w:r>
      <w:r>
        <w:t xml:space="preserve"> </w:t>
      </w:r>
      <w:r>
        <w:t xml:space="preserve">DR floor accounting uses the ADR-003 max-not-sum formula, not a fixed percentage of production.</w:t>
      </w:r>
      <w:r>
        <w:t xml:space="preserve"> </w:t>
      </w:r>
      <w:r>
        <w:rPr>
          <w:rStyle w:val="VerbatimChar"/>
        </w:rPr>
        <w:t xml:space="preserve">[Decided]</w:t>
      </w:r>
    </w:p>
    <w:bookmarkEnd w:id="21"/>
    <w:bookmarkStart w:id="22" w:name="managed-scope-and-capacity-controls"/>
    <w:p>
      <w:pPr>
        <w:pStyle w:val="Heading2"/>
      </w:pPr>
      <w:r>
        <w:t xml:space="preserve">Managed Scope and Capacity Controls</w:t>
      </w:r>
    </w:p>
    <w:p>
      <w:pPr>
        <w:pStyle w:val="FirstParagraph"/>
      </w:pPr>
      <w:r>
        <w:t xml:space="preserve">ACRME modifies only resources declared in the approved scope file. The scope includes tenant/management scope, subscription, region, zone, resource group, CRG, reservation, SKU/family, environment, buffer policy, enabled state, effective date, and policy version.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t xml:space="preserve">Capacity controls: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</w:t>
      </w:r>
    </w:p>
    <w:p>
      <w:pPr>
        <w:pStyle w:val="FirstParagraph"/>
      </w:pPr>
      <w:r>
        <w:rPr>
          <w:rStyle w:val="VerbatimChar"/>
        </w:rPr>
        <w:t xml:space="preserve">Allocated VM Count</w:t>
      </w:r>
      <w:r>
        <w:t xml:space="preserve"> </w:t>
      </w:r>
      <w:r>
        <w:t xml:space="preserve">means running/allocated demand. Associated-but-deallocated VMs are reported separately and do not automatically preserve paid reservation quantity.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t xml:space="preserve">Azure resource creation must precede config activation: create/update the Azure CRG/reservation first, validate it, then activate deployment configuration that references it.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t xml:space="preserve">Normal reconciliation never deletes CRGs or reservation definitions. Where Azure permits, an unused managed reservation is reduced to zero instead of being deleted; deletion is a separate approved decommissioning workflow.</w:t>
      </w:r>
      <w:r>
        <w:t xml:space="preserve"> </w:t>
      </w:r>
      <w:r>
        <w:rPr>
          <w:rStyle w:val="VerbatimChar"/>
        </w:rPr>
        <w:t xml:space="preserve">[Decided]</w:t>
      </w:r>
    </w:p>
    <w:bookmarkEnd w:id="22"/>
    <w:bookmarkStart w:id="23" w:name="quota-pooling-and-allocation"/>
    <w:p>
      <w:pPr>
        <w:pStyle w:val="Heading2"/>
      </w:pPr>
      <w:r>
        <w:t xml:space="preserve">Quota Pooling and Allocation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 subscription, region, VM/quota family, assigned quota, used quota, available quota, pooled quota, and pending increase records.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subscriptions contribute unused regional VM-family quota to the governed pool when policy permits.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 quota to target subscriptions for deployment demand, production buffer, and approved DR need.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Reclamation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Reclaim quota only when it will not drop a subscription below current usage, committed demand, production buffer, or approved DR need.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all allocation, reclamation, request, approval, rejection, and failure events with before/after values and correlation IDs.</w:t>
            </w:r>
          </w:p>
        </w:tc>
      </w:tr>
    </w:tbl>
    <w:p>
      <w:pPr>
        <w:pStyle w:val="BodyText"/>
      </w:pPr>
      <w:r>
        <w:t xml:space="preserve">Production subscriptions maintain configurable quota headroom above current usage to support growth and the next approved deployment.</w:t>
      </w:r>
      <w:r>
        <w:t xml:space="preserve"> </w:t>
      </w:r>
      <w:r>
        <w:rPr>
          <w:rStyle w:val="VerbatimChar"/>
        </w:rPr>
        <w:t xml:space="preserve">[Decided]</w:t>
      </w:r>
    </w:p>
    <w:bookmarkEnd w:id="23"/>
    <w:bookmarkStart w:id="26" w:name="dr-floor-accounting"/>
    <w:p>
      <w:pPr>
        <w:pStyle w:val="Heading2"/>
      </w:pPr>
      <w:r>
        <w:t xml:space="preserve">DR Floor Accounting</w:t>
      </w:r>
    </w:p>
    <w:p>
      <w:pPr>
        <w:pStyle w:val="FirstParagraph"/>
      </w:pPr>
      <w:r>
        <w:t xml:space="preserve">DR floor is destination-, SKU-, zone-, and policy-scoped:</w:t>
      </w:r>
    </w:p>
    <w:p>
      <w:pPr>
        <w:pStyle w:val="SourceCode"/>
      </w:pPr>
      <w:r>
        <w:rPr>
          <w:rStyle w:val="VerbatimChar"/>
        </w:rPr>
        <w:t xml:space="preserve">Destination_DR_Requirement(d, sku, zone)</w:t>
      </w:r>
      <w:r>
        <w:br/>
      </w:r>
      <w:r>
        <w:rPr>
          <w:rStyle w:val="VerbatimChar"/>
        </w:rPr>
        <w:t xml:space="preserve">  = MAX over non-concurrent source regions s protected by destination d (</w:t>
      </w:r>
      <w:r>
        <w:br/>
      </w:r>
      <w:r>
        <w:rPr>
          <w:rStyle w:val="VerbatimChar"/>
        </w:rPr>
        <w:t xml:space="preserve">      Workload_Portion(s -&gt; d, sku, zone)</w:t>
      </w:r>
      <w:r>
        <w:br/>
      </w:r>
      <w:r>
        <w:rPr>
          <w:rStyle w:val="VerbatimChar"/>
        </w:rPr>
        <w:t xml:space="preserve">    )</w:t>
      </w:r>
    </w:p>
    <w:p>
      <w:pPr>
        <w:pStyle w:val="SourceCode"/>
      </w:pPr>
      <w:r>
        <w:rPr>
          <w:rStyle w:val="VerbatimChar"/>
        </w:rPr>
        <w:t xml:space="preserve">DR_Floor_vCPU(d, sku, zone)</w:t>
      </w:r>
      <w:r>
        <w:br/>
      </w:r>
      <w:r>
        <w:rPr>
          <w:rStyle w:val="VerbatimChar"/>
        </w:rPr>
        <w:t xml:space="preserve">  = Destination_DR_Requirement(d, sku, zone) * vCPU_Per_Instance(sku)</w:t>
      </w:r>
    </w:p>
    <w:p>
      <w:pPr>
        <w:pStyle w:val="FirstParagraph"/>
      </w:pPr>
      <w:r>
        <w:rPr>
          <w:rStyle w:val="VerbatimChar"/>
        </w:rPr>
        <w:t xml:space="preserve">MAX</w:t>
      </w:r>
      <w:r>
        <w:t xml:space="preserve"> </w:t>
      </w:r>
      <w:r>
        <w:t xml:space="preserve">is valid only because the baseline assumes a single failed source region at a time. A configured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basis is available where a customer contract or geography requires simultaneous source-region failure coverage.</w:t>
      </w:r>
      <w:r>
        <w:t xml:space="preserve"> </w:t>
      </w:r>
      <w:r>
        <w:rPr>
          <w:rStyle w:val="VerbatimChar"/>
        </w:rPr>
        <w:t xml:space="preserve">[Decided]</w:t>
      </w:r>
    </w:p>
    <w:bookmarkStart w:id="24" w:name="single-pool-accounting-primary-model"/>
    <w:p>
      <w:pPr>
        <w:pStyle w:val="Heading3"/>
      </w:pPr>
      <w:r>
        <w:t xml:space="preserve">Single-pool accounting (primary model)</w:t>
      </w:r>
    </w:p>
    <w:p>
      <w:pPr>
        <w:pStyle w:val="FirstParagraph"/>
      </w:pPr>
      <w:r>
        <w:t xml:space="preserve">In the single governed pool, Prod, NonProd/CVAL, and DR draw from one</w:t>
      </w:r>
      <w:r>
        <w:t xml:space="preserve"> </w:t>
      </w:r>
      <w:r>
        <w:rPr>
          <w:rStyle w:val="VerbatimChar"/>
        </w:rPr>
        <w:t xml:space="preserve">Pool_Limit</w:t>
      </w:r>
      <w:r>
        <w:t xml:space="preserve">. ACRME protects Prod and DR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shared balance using logical earmarks rather than physical groups:</w:t>
      </w:r>
    </w:p>
    <w:p>
      <w:pPr>
        <w:pStyle w:val="SourceCode"/>
      </w:pPr>
      <w:r>
        <w:rPr>
          <w:rStyle w:val="VerbatimChar"/>
        </w:rPr>
        <w:t xml:space="preserve">Pool_Headroom            = Pool_Limit - Pool_Used</w:t>
      </w:r>
      <w:r>
        <w:br/>
      </w:r>
      <w:r>
        <w:rPr>
          <w:rStyle w:val="VerbatimChar"/>
        </w:rPr>
        <w:t xml:space="preserve">Prod_Reserved_Floor      = Prod_Used_vCPU + Prod_Growth_Buffer_vCPU</w:t>
      </w:r>
      <w:r>
        <w:br/>
      </w:r>
      <w:r>
        <w:rPr>
          <w:rStyle w:val="VerbatimChar"/>
        </w:rPr>
        <w:t xml:space="preserve">DR_Earmark_vCPU          = SUM over destinations d in scope ( DR_Floor_vCPU(d, sku, zone) )</w:t>
      </w:r>
      <w:r>
        <w:br/>
      </w:r>
      <w:r>
        <w:rPr>
          <w:rStyle w:val="VerbatimChar"/>
        </w:rPr>
        <w:t xml:space="preserve">Allocatable_NonProd      = Pool_Limit - Prod_Reserved_Floor - DR_Earmark_vCPU - NonProd_Used_vCPU</w:t>
      </w:r>
      <w:r>
        <w:br/>
      </w:r>
      <w:r>
        <w:rPr>
          <w:rStyle w:val="VerbatimChar"/>
        </w:rPr>
        <w:t xml:space="preserve">Emergency_DR_Available   = Pool_Headroom + reclaimable NonProd above committed demand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Prod_Reserved_Floor</w:t>
      </w:r>
      <w:r>
        <w:t xml:space="preserve"> </w:t>
      </w:r>
      <w:r>
        <w:t xml:space="preserve">is never allocatable to NonProd; NonProd allocation stops at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 </w:t>
      </w:r>
      <w:r>
        <w:t xml:space="preserve">reaching zero (fail-safe).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DR_Earmark_vCPU</w:t>
      </w:r>
      <w:r>
        <w:t xml:space="preserve"> </w:t>
      </w:r>
      <w:r>
        <w:t xml:space="preserve">reserves the max-not-sum DR requirement inside the pool so live NonProd usage cannot consume the standby-activation headroom (see ADR-003 CVAL/DR double-count guard).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t xml:space="preserve">During a declared DR event the DR orchestrator may draw</w:t>
      </w:r>
      <w:r>
        <w:t xml:space="preserve"> </w:t>
      </w:r>
      <w:r>
        <w:rPr>
          <w:rStyle w:val="VerbatimChar"/>
        </w:rPr>
        <w:t xml:space="preserve">Emergency_DR_Available</w:t>
      </w:r>
      <w:r>
        <w:t xml:space="preserve"> </w:t>
      </w:r>
      <w:r>
        <w:t xml:space="preserve">— pool headroom first, then reclaimable NonProd above committed demand — because all three environments share one pool, no cross-group transfer is required. This is the flexibility gain that motivates the single-pool model.</w:t>
      </w:r>
      <w:r>
        <w:t xml:space="preserve"> </w:t>
      </w:r>
      <w:r>
        <w:rPr>
          <w:rStyle w:val="VerbatimChar"/>
        </w:rPr>
        <w:t xml:space="preserve">[Decided]</w:t>
      </w:r>
    </w:p>
    <w:bookmarkEnd w:id="24"/>
    <w:bookmarkStart w:id="25" w:name="X6577e5fe18d2c1285d4625d7fa0edc6f93ae969"/>
    <w:p>
      <w:pPr>
        <w:pStyle w:val="Heading3"/>
      </w:pPr>
      <w:r>
        <w:t xml:space="preserve">Two-group accounting (exception topology only)</w:t>
      </w:r>
    </w:p>
    <w:p>
      <w:pPr>
        <w:pStyle w:val="FirstParagraph"/>
      </w:pPr>
      <w:r>
        <w:t xml:space="preserve">Where the QUA-004 exception applies (Azure limit / mandatory Prod isolation), ACRME falls back to per-group accounting:</w:t>
      </w:r>
    </w:p>
    <w:p>
      <w:pPr>
        <w:pStyle w:val="SourceCode"/>
      </w:pPr>
      <w:r>
        <w:rPr>
          <w:rStyle w:val="VerbatimChar"/>
        </w:rPr>
        <w:t xml:space="preserve">Effective_NonProd_Ceiling = NonProd_DR_Group_Limit - DR_Floor_vCPU</w:t>
      </w:r>
      <w:r>
        <w:br/>
      </w:r>
      <w:r>
        <w:rPr>
          <w:rStyle w:val="VerbatimChar"/>
        </w:rPr>
        <w:t xml:space="preserve">NonProd_Headroom          = Effective_NonProd_Ceiling - NonProd_Used_vCPU</w:t>
      </w:r>
      <w:r>
        <w:br/>
      </w:r>
      <w:r>
        <w:rPr>
          <w:rStyle w:val="VerbatimChar"/>
        </w:rPr>
        <w:t xml:space="preserve">Group_Headroom            = Group_Limit - Group_Used</w:t>
      </w:r>
    </w:p>
    <w:p>
      <w:pPr>
        <w:pStyle w:val="FirstParagraph"/>
      </w:pPr>
      <w:r>
        <w:t xml:space="preserve">These are engine accounting controls in both models. They do not create a native Azure sub-reservation unless Azure later provides and ACRME validates that capability.</w:t>
      </w:r>
      <w:r>
        <w:t xml:space="preserve"> </w:t>
      </w:r>
      <w:r>
        <w:rPr>
          <w:rStyle w:val="VerbatimChar"/>
        </w:rPr>
        <w:t xml:space="preserve">[Assumed]</w:t>
      </w:r>
    </w:p>
    <w:bookmarkEnd w:id="25"/>
    <w:bookmarkEnd w:id="26"/>
    <w:bookmarkStart w:id="27" w:name="readiness-and-enforcement"/>
    <w:p>
      <w:pPr>
        <w:pStyle w:val="Heading2"/>
      </w:pPr>
      <w:r>
        <w:t xml:space="preserve">Readiness and Enforcement</w:t>
      </w:r>
    </w:p>
    <w:p>
      <w:pPr>
        <w:pStyle w:val="FirstParagraph"/>
      </w:pPr>
      <w:r>
        <w:t xml:space="preserve">For every managed deployment, ACRME validates:</w:t>
      </w:r>
    </w:p>
    <w:p>
      <w:pPr>
        <w:numPr>
          <w:ilvl w:val="0"/>
          <w:numId w:val="1003"/>
        </w:numPr>
        <w:pStyle w:val="Compact"/>
      </w:pPr>
      <w:r>
        <w:t xml:space="preserve">target region/geography policy is approved;</w:t>
      </w:r>
    </w:p>
    <w:p>
      <w:pPr>
        <w:numPr>
          <w:ilvl w:val="0"/>
          <w:numId w:val="1003"/>
        </w:numPr>
        <w:pStyle w:val="Compact"/>
      </w:pPr>
      <w:r>
        <w:t xml:space="preserve">zone and SKU are supported;</w:t>
      </w:r>
    </w:p>
    <w:p>
      <w:pPr>
        <w:numPr>
          <w:ilvl w:val="0"/>
          <w:numId w:val="1003"/>
        </w:numPr>
        <w:pStyle w:val="Compact"/>
      </w:pPr>
      <w:r>
        <w:t xml:space="preserve">reservation exists when required;</w:t>
      </w:r>
    </w:p>
    <w:p>
      <w:pPr>
        <w:numPr>
          <w:ilvl w:val="0"/>
          <w:numId w:val="1003"/>
        </w:numPr>
        <w:pStyle w:val="Compact"/>
      </w:pPr>
      <w:r>
        <w:t xml:space="preserve">reservation SKU, region, zone, and sharing authorization match;</w:t>
      </w:r>
    </w:p>
    <w:p>
      <w:pPr>
        <w:numPr>
          <w:ilvl w:val="0"/>
          <w:numId w:val="1003"/>
        </w:numPr>
        <w:pStyle w:val="Compact"/>
      </w:pPr>
      <w:r>
        <w:t xml:space="preserve">sufficient reserved capacity exists or over-allocation is explicitly approved;</w:t>
      </w:r>
    </w:p>
    <w:p>
      <w:pPr>
        <w:numPr>
          <w:ilvl w:val="0"/>
          <w:numId w:val="1003"/>
        </w:numPr>
        <w:pStyle w:val="Compact"/>
      </w:pPr>
      <w:r>
        <w:t xml:space="preserve">consumer/deploying subscription quota is sufficient;</w:t>
      </w:r>
    </w:p>
    <w:p>
      <w:pPr>
        <w:numPr>
          <w:ilvl w:val="0"/>
          <w:numId w:val="1003"/>
        </w:numPr>
        <w:pStyle w:val="Compact"/>
      </w:pPr>
      <w:r>
        <w:t xml:space="preserve">quota and reservation state are fresh enough;</w:t>
      </w:r>
    </w:p>
    <w:p>
      <w:pPr>
        <w:numPr>
          <w:ilvl w:val="0"/>
          <w:numId w:val="1003"/>
        </w:numPr>
        <w:pStyle w:val="Compact"/>
      </w:pPr>
      <w:r>
        <w:t xml:space="preserve">no policy, exception, or maintenance block is active.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Quota and capacity readiness states are defined in ADR-001. Reserved capacity greater than deployable quota must produce</w:t>
      </w:r>
      <w:r>
        <w:t xml:space="preserve"> </w:t>
      </w:r>
      <w:r>
        <w:rPr>
          <w:rStyle w:val="VerbatimChar"/>
        </w:rPr>
        <w:t xml:space="preserve">READY_WITH_RISK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QUOTA_DEFICIT</w:t>
      </w:r>
      <w:r>
        <w:t xml:space="preserve"> </w:t>
      </w:r>
      <w:r>
        <w:t xml:space="preserve">depending on policy; it must not be reported as fully ready.</w:t>
      </w:r>
      <w:r>
        <w:t xml:space="preserve"> </w:t>
      </w:r>
      <w:r>
        <w:rPr>
          <w:rStyle w:val="VerbatimChar"/>
        </w:rPr>
        <w:t xml:space="preserve">[Decided]</w:t>
      </w:r>
    </w:p>
    <w:bookmarkEnd w:id="27"/>
    <w:bookmarkStart w:id="28" w:name="quota-group-preview-dependency"/>
    <w:p>
      <w:pPr>
        <w:pStyle w:val="Heading2"/>
      </w:pPr>
      <w:r>
        <w:t xml:space="preserve">Quota Group Preview Dependency</w:t>
      </w:r>
    </w:p>
    <w:p>
      <w:pPr>
        <w:pStyle w:val="FirstParagraph"/>
      </w:pPr>
      <w:r>
        <w:t xml:space="preserve">Azure Quota Groups and</w:t>
      </w:r>
      <w:r>
        <w:t xml:space="preserve"> </w:t>
      </w:r>
      <w:r>
        <w:rPr>
          <w:rStyle w:val="VerbatimChar"/>
        </w:rPr>
        <w:t xml:space="preserve">groupType</w:t>
      </w:r>
      <w:r>
        <w:t xml:space="preserve"> </w:t>
      </w:r>
      <w:r>
        <w:t xml:space="preserve">semantics remain feature-maturity dependencies. ACRME must pin API versions, monitor version drift, and retain subscription-level quota checks until POC-001 and DEP-001 explicitly approve otherwise.</w:t>
      </w:r>
      <w:r>
        <w:t xml:space="preserve"> </w:t>
      </w:r>
      <w:r>
        <w:rPr>
          <w:rStyle w:val="VerbatimChar"/>
        </w:rPr>
        <w:t xml:space="preserve">[Assumed]</w:t>
      </w:r>
    </w:p>
    <w:bookmarkEnd w:id="28"/>
    <w:bookmarkStart w:id="29" w:name="consequences"/>
    <w:p>
      <w:pPr>
        <w:pStyle w:val="Heading2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</w:t>
      </w:r>
    </w:p>
    <w:p>
      <w:pPr>
        <w:numPr>
          <w:ilvl w:val="0"/>
          <w:numId w:val="1004"/>
        </w:numPr>
        <w:pStyle w:val="Compact"/>
      </w:pPr>
      <w:r>
        <w:t xml:space="preserve">Single governed pool maximises manipulation flexibility: all stranded default per-region quota is collected once and allocated where needed, improving utilisation and cutting the number of quota-increase requests to Microsoft (QUA-003/QUA-004).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t xml:space="preserve">Emergency DR draw needs no cross-group transfer — Prod, NonProd/CVAL, and DR share one balance — so declared-event capacity acquisition is faster and simpler.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4"/>
        </w:numPr>
        <w:pStyle w:val="Compact"/>
      </w:pPr>
      <w:r>
        <w:t xml:space="preserve">Preserves production protection via logical earmarks (</w:t>
      </w:r>
      <w:r>
        <w:rPr>
          <w:rStyle w:val="VerbatimChar"/>
        </w:rPr>
        <w:t xml:space="preserve">Prod_Reserved_Floor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) instead of physical group separation.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t xml:space="preserve">Treats quota as an auditable governance/cost control, not just a technical limit.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t xml:space="preserve">Avoids the old fixed 30-40% DR floor and aligns quota planning with distributed DR demand.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t xml:space="preserve">Makes capacity/quota readiness explicit for AEP/provisioning.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FirstParagraph"/>
      </w:pPr>
      <w:r>
        <w:rPr>
          <w:bCs/>
          <w:b/>
        </w:rPr>
        <w:t xml:space="preserve">Negative / trade-offs</w:t>
      </w:r>
    </w:p>
    <w:p>
      <w:pPr>
        <w:numPr>
          <w:ilvl w:val="0"/>
          <w:numId w:val="1005"/>
        </w:numPr>
        <w:pStyle w:val="Compact"/>
      </w:pPr>
      <w:r>
        <w:t xml:space="preserve">Single-pool topology requires strong engine controls (earmark enforcement, priority ordering, fail-safe stop) to prevent NonProd or DR from consuming Prod headroom; the protection is only as good as those controls.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5"/>
        </w:numPr>
        <w:pStyle w:val="Compact"/>
      </w:pPr>
      <w:r>
        <w:t xml:space="preserve">The exception two-group topology reduces manipulation flexibility and remains dependent on POC evidence for quota-neutral transfers; it is used only when Azure limits or Prod-isolation governance force it.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numPr>
          <w:ilvl w:val="0"/>
          <w:numId w:val="1005"/>
        </w:numPr>
        <w:pStyle w:val="Compact"/>
      </w:pPr>
      <w:r>
        <w:t xml:space="preserve">Consumer quota behavior under shared reservations remains a top technical unknown until POC-001 completes.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numPr>
          <w:ilvl w:val="0"/>
          <w:numId w:val="1005"/>
        </w:numPr>
        <w:pStyle w:val="Compact"/>
      </w:pPr>
      <w:r>
        <w:t xml:space="preserve">Max-not-sum DR floor under-protects simultaneous source-region failures unless the SUM override is configured.</w:t>
      </w:r>
      <w:r>
        <w:t xml:space="preserve"> </w:t>
      </w:r>
      <w:r>
        <w:rPr>
          <w:rStyle w:val="VerbatimChar"/>
        </w:rPr>
        <w:t xml:space="preserve">[Derived]</w:t>
      </w:r>
    </w:p>
    <w:bookmarkEnd w:id="29"/>
    <w:bookmarkStart w:id="30" w:name="alternatives-considered"/>
    <w:p>
      <w:pPr>
        <w:pStyle w:val="Heading2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two-group model for every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as the default; it fragments quota and multiplies quota-increase requests. Single governed pool is the primary model; two-group is a narrow governance exception.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pool with no Prod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Rejected; quota remains a consumption governor and Prod protection is first priority — enforced by logical earmarks inside the shared pool.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separate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Allowed only by exception; it can make emergency DR transfer non-atomic.</w:t>
            </w:r>
            <w:r>
              <w:t xml:space="preserve"> </w:t>
            </w:r>
            <w:r>
              <w:rPr>
                <w:rStyle w:val="VerbatimChar"/>
              </w:rPr>
              <w:t xml:space="preserve">[Derived]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floor as</w:t>
            </w:r>
            <w:r>
              <w:t xml:space="preserve"> </w:t>
            </w:r>
            <w:r>
              <w:rPr>
                <w:rStyle w:val="VerbatimChar"/>
              </w:rPr>
              <w:t xml:space="preserve">prod * dr_ratio_max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by requirements v2.1; replaced by max-over-non-concurrent-sources sizing.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quota as proof of consumer deployability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pending POC-001; validate consumer quota.</w:t>
            </w:r>
            <w:r>
              <w:t xml:space="preserve"> </w:t>
            </w:r>
            <w:r>
              <w:rPr>
                <w:rStyle w:val="VerbatimChar"/>
              </w:rPr>
              <w:t xml:space="preserve">[Assumed]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appendix---adr-summary"/>
    <w:p>
      <w:pPr>
        <w:pStyle w:val="Heading2"/>
      </w:pPr>
      <w:r>
        <w:t xml:space="preserve">Appendix - ADR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Applied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Open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ADR-002 Quota and 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CAP-001..019, QUA-001..014, RDY-001..004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POC-001 consumer quota; POC-008 production quota buffer; POC-011 max-not-sum safety; DEP-001 feature maturity</w:t>
            </w:r>
          </w:p>
        </w:tc>
      </w:tr>
    </w:tbl>
    <w:bookmarkEnd w:id="31"/>
    <w:bookmarkStart w:id="32" w:name="appendix---status-legend"/>
    <w:p>
      <w:pPr>
        <w:pStyle w:val="Heading2"/>
      </w:pPr>
      <w:r>
        <w:t xml:space="preserve">Appendix - Status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discussion; not yet ratified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 and in 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longer recommended but not yet 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 a later ADR</w:t>
            </w:r>
          </w:p>
        </w:tc>
      </w:tr>
    </w:tbl>
    <w:bookmarkEnd w:id="32"/>
    <w:bookmarkStart w:id="33" w:name="appendix---evidence-tag-taxonomy"/>
    <w:p>
      <w:pPr>
        <w:pStyle w:val="Heading2"/>
      </w:pPr>
      <w:r>
        <w:t xml:space="preserve">Appendix - Evidence Tag Taxonomy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[Documented]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Traceable to Azure platform behaviour or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explicit ACRME design choice recorded in this ADR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logical consequence of a documented constraint or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judgement pending proof-of-concept validation</w:t>
            </w:r>
          </w:p>
        </w:tc>
      </w:tr>
    </w:tbl>
    <w:bookmarkEnd w:id="33"/>
    <w:bookmarkStart w:id="34" w:name="related-adrs"/>
    <w:p>
      <w:pPr>
        <w:pStyle w:val="Heading2"/>
      </w:pPr>
      <w:r>
        <w:t xml:space="preserve">Related ADRs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ADR-001 - Region Selection and Customer Placement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acrme_adr_001_region_selection.md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ADR-003 - Capacity Management during Disaster Recovery (DR)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acrme_adr_003_capacity_management_during_dr.md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ADR-004 - Forecast, Reconciliation, and Increase of Capacity and Quota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acrme_adr_004_forecast_and_increase_of_capacity_and_quota.md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POC-001, POC-008, POC-011, quota-group feature review, and first end-to-end quota allocation/reclamation evidence.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2026-09-02T11:26:46Z</dcterms:created>
  <dcterms:modified xsi:type="dcterms:W3CDTF">2026-09-02T11:26:46Z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