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Project:</w:t>
      </w:r>
      <w:r>
        <w:t xml:space="preserve"> </w:t>
      </w:r>
      <w:r>
        <w:t xml:space="preserve">Azure Capacity Reservation Management Engine (ACRME)</w:t>
      </w:r>
      <w:r>
        <w:br/>
      </w:r>
      <w:r>
        <w:rPr>
          <w:bCs/>
          <w:b/>
        </w:rPr>
        <w:t xml:space="preserve">Classification:</w:t>
      </w:r>
      <w:r>
        <w:t xml:space="preserve"> </w:t>
      </w:r>
      <w:r>
        <w:t xml:space="preserve">Principal Cloud Architect - Architecture Governance</w:t>
      </w:r>
      <w:r>
        <w:br/>
      </w:r>
      <w:r>
        <w:rPr>
          <w:bCs/>
          <w:b/>
        </w:rPr>
        <w:t xml:space="preserve">Version:</w:t>
      </w:r>
      <w:r>
        <w:t xml:space="preserve"> </w:t>
      </w:r>
      <w:r>
        <w:t xml:space="preserve">1.0</w:t>
      </w:r>
      <w:r>
        <w:br/>
      </w:r>
      <w:r>
        <w:rPr>
          <w:bCs/>
          <w:b/>
        </w:rPr>
        <w:t xml:space="preserve">Date:</w:t>
      </w:r>
      <w:r>
        <w:t xml:space="preserve"> </w:t>
      </w:r>
      <w:r>
        <w:t xml:space="preserve">2 September 2026</w:t>
      </w:r>
      <w:r>
        <w:br/>
      </w:r>
      <w:r>
        <w:rPr>
          <w:bCs/>
          <w:b/>
        </w:rPr>
        <w:t xml:space="preserve">Status:</w:t>
      </w:r>
      <w:r>
        <w:t xml:space="preserve"> </w:t>
      </w:r>
      <w:r>
        <w:t xml:space="preserve">Accepted - new ADR introduced with Requirements Baseline v2.2</w:t>
      </w:r>
      <w:r>
        <w:br/>
      </w:r>
      <w:r>
        <w:rPr>
          <w:bCs/>
          <w:b/>
        </w:rPr>
        <w:t xml:space="preserve">Part of:</w:t>
      </w:r>
      <w:r>
        <w:t xml:space="preserve"> </w:t>
      </w:r>
      <w:r>
        <w:t xml:space="preserve">ACRME Architecture Decision Records - aligned to Capacity &amp; Quota Management Requirements Baseline v2.2.</w:t>
      </w:r>
    </w:p>
    <w:p>
      <w:pPr>
        <w:pStyle w:val="BlockText"/>
      </w:pPr>
      <w:r>
        <w:rPr>
          <w:bCs/>
          <w:b/>
        </w:rPr>
        <w:t xml:space="preserve">About ADRs.</w:t>
      </w:r>
      <w:r>
        <w:t xml:space="preserve"> </w:t>
      </w:r>
      <w:r>
        <w:t xml:space="preserve">An Architecture Decision Record captures a significant architectural decision, the context that forced it, the options considered, the choice made, and its consequences. This ADR consolidates the distributed DR reference model (§12A of the requirements baseline) that was previously distributed across ADR-003 and the calculation logic reference. Evidence tags:</w:t>
      </w:r>
      <w:r>
        <w:t xml:space="preserve"> </w:t>
      </w:r>
      <w:r>
        <w:rPr>
          <w:rStyle w:val="VerbatimChar"/>
        </w:rPr>
        <w:t xml:space="preserve">[Documented]</w:t>
      </w:r>
      <w:r>
        <w:t xml:space="preserve">,</w:t>
      </w:r>
      <w:r>
        <w:t xml:space="preserve"> </w:t>
      </w:r>
      <w:r>
        <w:rPr>
          <w:rStyle w:val="VerbatimChar"/>
        </w:rPr>
        <w:t xml:space="preserve">[Decided]</w:t>
      </w:r>
      <w:r>
        <w:t xml:space="preserve">,</w:t>
      </w:r>
      <w:r>
        <w:t xml:space="preserve"> </w:t>
      </w:r>
      <w:r>
        <w:rPr>
          <w:rStyle w:val="VerbatimChar"/>
        </w:rPr>
        <w:t xml:space="preserve">[Derived]</w:t>
      </w:r>
      <w:r>
        <w:t xml:space="preserve">,</w:t>
      </w:r>
      <w:r>
        <w:t xml:space="preserve"> </w:t>
      </w:r>
      <w:r>
        <w:rPr>
          <w:rStyle w:val="VerbatimChar"/>
        </w:rPr>
        <w:t xml:space="preserve">[Assumed]</w:t>
      </w:r>
      <w:r>
        <w:t xml:space="preserve">.</w:t>
      </w:r>
    </w:p>
    <w:p>
      <w:r>
        <w:pict>
          <v:rect style="width:0;height:1.5pt" o:hralign="center" o:hrstd="t" o:hr="t"/>
        </w:pict>
      </w:r>
    </w:p>
    <w:bookmarkStart w:id="34" w:name="adr-005---distributed-dr-reference-model"/>
    <w:p>
      <w:pPr>
        <w:pStyle w:val="Heading1"/>
      </w:pPr>
      <w:r>
        <w:t xml:space="preserve">ADR-005 - Distributed DR Reference Model</w:t>
      </w:r>
    </w:p>
    <w:p>
      <w:pPr>
        <w:pStyle w:val="FirstParagraph"/>
      </w:pPr>
      <w:r>
        <w:rPr>
          <w:bCs/>
          <w:b/>
        </w:rPr>
        <w:t xml:space="preserve">Status:</w:t>
      </w:r>
      <w:r>
        <w:t xml:space="preserve"> </w:t>
      </w:r>
      <w:r>
        <w:t xml:space="preserve">Accepted</w:t>
      </w:r>
      <w:r>
        <w:br/>
      </w:r>
      <w:r>
        <w:rPr>
          <w:bCs/>
          <w:b/>
        </w:rPr>
        <w:t xml:space="preserve">Date:</w:t>
      </w:r>
      <w:r>
        <w:t xml:space="preserve"> </w:t>
      </w:r>
      <w:r>
        <w:t xml:space="preserve">2 September 2026</w:t>
      </w:r>
      <w:r>
        <w:br/>
      </w:r>
      <w:r>
        <w:rPr>
          <w:bCs/>
          <w:b/>
        </w:rPr>
        <w:t xml:space="preserve">Deciders:</w:t>
      </w:r>
      <w:r>
        <w:t xml:space="preserve"> </w:t>
      </w:r>
      <w:r>
        <w:t xml:space="preserve">Principal Cloud Architect, DR Owner, Platform Engineering, FinOps, Capacity Planning</w:t>
      </w:r>
      <w:r>
        <w:br/>
      </w:r>
      <w:r>
        <w:rPr>
          <w:bCs/>
          <w:b/>
        </w:rPr>
        <w:t xml:space="preserve">Related requirements:</w:t>
      </w:r>
      <w:r>
        <w:t xml:space="preserve"> </w:t>
      </w:r>
      <w:r>
        <w:t xml:space="preserve">DR-006, DR-007, DR-009, DR-013, DR-016, DR-017, DR-018, DR-019, PLC-003..PLC-005, PLC-010, DAT-002, DAT-003, OBS-001..OBS-004</w:t>
      </w:r>
      <w:r>
        <w:br/>
      </w:r>
      <w:r>
        <w:rPr>
          <w:bCs/>
          <w:b/>
        </w:rPr>
        <w:t xml:space="preserve">Related POCs/decisions:</w:t>
      </w:r>
      <w:r>
        <w:t xml:space="preserve"> </w:t>
      </w:r>
      <w:r>
        <w:t xml:space="preserve">POC-006 (DR topology), POC-007 (bootstrap sizing), POC-011 (max-not-sum overcommit safety), DEC-001 (Middle East DR), DEC-002 (failback duration)</w:t>
      </w:r>
      <w:r>
        <w:br/>
      </w:r>
      <w:r>
        <w:rPr>
          <w:bCs/>
          <w:b/>
        </w:rPr>
        <w:t xml:space="preserve">Related ADRs:</w:t>
      </w:r>
      <w:r>
        <w:t xml:space="preserve"> </w:t>
      </w:r>
      <w:r>
        <w:t xml:space="preserve">ADR-001 (seed record), ADR-002 (single governed quota pool, DR earmark), ADR-003 (lean bootstrap, activation, CVAL earmark, state machine)</w:t>
      </w:r>
    </w:p>
    <w:bookmarkStart w:id="20" w:name="context"/>
    <w:p>
      <w:pPr>
        <w:pStyle w:val="Heading2"/>
      </w:pPr>
      <w:r>
        <w:t xml:space="preserve">Context</w:t>
      </w:r>
    </w:p>
    <w:p>
      <w:pPr>
        <w:pStyle w:val="FirstParagraph"/>
      </w:pPr>
      <w:r>
        <w:t xml:space="preserve">Requirements Baseline v2.2 replaces the fixed-ratio, per-customer DR clone with a</w:t>
      </w:r>
      <w:r>
        <w:t xml:space="preserve"> </w:t>
      </w:r>
      <w:r>
        <w:rPr>
          <w:bCs/>
          <w:b/>
        </w:rPr>
        <w:t xml:space="preserve">distributed, reciprocal DR reference model</w:t>
      </w:r>
      <w:r>
        <w:t xml:space="preserve"> </w:t>
      </w:r>
      <w:r>
        <w:t xml:space="preserve">(§12A). At platform scale, dedicating a fixed 30-40% standby copy of every production region is prohibitively expensive and does not reflect the operating assumption that</w:t>
      </w:r>
      <w:r>
        <w:t xml:space="preserve"> </w:t>
      </w:r>
      <w:r>
        <w:rPr>
          <w:bCs/>
          <w:b/>
        </w:rPr>
        <w:t xml:space="preserve">one source region fails at a time</w:t>
      </w:r>
      <w:r>
        <w:t xml:space="preserve">.</w:t>
      </w:r>
      <w:r>
        <w:t xml:space="preserve"> </w:t>
      </w:r>
      <w:r>
        <w:rPr>
          <w:rStyle w:val="VerbatimChar"/>
        </w:rPr>
        <w:t xml:space="preserve">[Decided]</w:t>
      </w:r>
    </w:p>
    <w:p>
      <w:pPr>
        <w:pStyle w:val="BodyText"/>
      </w:pPr>
      <w:r>
        <w:t xml:space="preserve">The distributed model spreads each customer’s standby capacity across the same shared regional footprint that already hosts production and CVAL. This creates a many-to-many topology in which a single region is simultaneously a</w:t>
      </w:r>
      <w:r>
        <w:t xml:space="preserve"> </w:t>
      </w:r>
      <w:r>
        <w:rPr>
          <w:bCs/>
          <w:b/>
        </w:rPr>
        <w:t xml:space="preserve">production</w:t>
      </w:r>
      <w:r>
        <w:t xml:space="preserve"> </w:t>
      </w:r>
      <w:r>
        <w:t xml:space="preserve">region for some customers, a</w:t>
      </w:r>
      <w:r>
        <w:t xml:space="preserve"> </w:t>
      </w:r>
      <w:r>
        <w:rPr>
          <w:bCs/>
          <w:b/>
        </w:rPr>
        <w:t xml:space="preserve">CVAL</w:t>
      </w:r>
      <w:r>
        <w:t xml:space="preserve"> </w:t>
      </w:r>
      <w:r>
        <w:t xml:space="preserve">host for others, and a</w:t>
      </w:r>
      <w:r>
        <w:t xml:space="preserve"> </w:t>
      </w:r>
      <w:r>
        <w:rPr>
          <w:bCs/>
          <w:b/>
        </w:rPr>
        <w:t xml:space="preserve">DR standby</w:t>
      </w:r>
      <w:r>
        <w:t xml:space="preserve"> </w:t>
      </w:r>
      <w:r>
        <w:t xml:space="preserve">host for customers whose production is in one or more</w:t>
      </w:r>
      <w:r>
        <w:t xml:space="preserve"> </w:t>
      </w:r>
      <w:r>
        <w:rPr>
          <w:iCs/>
          <w:i/>
        </w:rPr>
        <w:t xml:space="preserve">different</w:t>
      </w:r>
      <w:r>
        <w:t xml:space="preserve"> </w:t>
      </w:r>
      <w:r>
        <w:t xml:space="preserve">source regions.</w:t>
      </w:r>
      <w:r>
        <w:t xml:space="preserve"> </w:t>
      </w:r>
      <w:r>
        <w:rPr>
          <w:rStyle w:val="VerbatimChar"/>
        </w:rPr>
        <w:t xml:space="preserve">[Decided]</w:t>
      </w:r>
    </w:p>
    <w:p>
      <w:pPr>
        <w:pStyle w:val="BodyText"/>
      </w:pPr>
      <w:r>
        <w:t xml:space="preserve">Because ADR-003 already carries the operational DR decisions (bootstrap, activation waves, CVAL earmark, engine state machine), this ADR fixes the</w:t>
      </w:r>
      <w:r>
        <w:t xml:space="preserve"> </w:t>
      </w:r>
      <w:r>
        <w:rPr>
          <w:bCs/>
          <w:b/>
        </w:rPr>
        <w:t xml:space="preserve">reference model itself</w:t>
      </w:r>
      <w:r>
        <w:t xml:space="preserve">: the topology, the authoritative source→destination mapping, the destination-sizing boundary, the single-failure assumption, and the observability contract that makes the model auditable. It is the design anchor for the §12A worked example and the</w:t>
      </w:r>
      <w:r>
        <w:t xml:space="preserve"> </w:t>
      </w:r>
      <w:r>
        <w:rPr>
          <w:rStyle w:val="VerbatimChar"/>
        </w:rPr>
        <w:t xml:space="preserve">acrme_three_region_capacity_model</w:t>
      </w:r>
      <w:r>
        <w:t xml:space="preserve"> </w:t>
      </w:r>
      <w:r>
        <w:t xml:space="preserve">diagram.</w:t>
      </w:r>
      <w:r>
        <w:t xml:space="preserve"> </w:t>
      </w:r>
      <w:r>
        <w:rPr>
          <w:rStyle w:val="VerbatimChar"/>
        </w:rPr>
        <w:t xml:space="preserve">[Derived]</w:t>
      </w:r>
    </w:p>
    <w:bookmarkEnd w:id="20"/>
    <w:bookmarkStart w:id="21" w:name="decision"/>
    <w:p>
      <w:pPr>
        <w:pStyle w:val="Heading2"/>
      </w:pPr>
      <w:r>
        <w:t xml:space="preserve">Decision</w:t>
      </w:r>
    </w:p>
    <w:p>
      <w:pPr>
        <w:pStyle w:val="FirstParagraph"/>
      </w:pPr>
      <w:r>
        <w:t xml:space="preserve">Adopt the</w:t>
      </w:r>
      <w:r>
        <w:t xml:space="preserve"> </w:t>
      </w:r>
      <w:r>
        <w:rPr>
          <w:bCs/>
          <w:b/>
        </w:rPr>
        <w:t xml:space="preserve">distributed, reciprocal DR reference model</w:t>
      </w:r>
      <w:r>
        <w:t xml:space="preserve"> </w:t>
      </w:r>
      <w:r>
        <w:t xml:space="preserve">with the following normative elements:</w:t>
      </w:r>
    </w:p>
    <w:p>
      <w:pPr>
        <w:numPr>
          <w:ilvl w:val="0"/>
          <w:numId w:val="1001"/>
        </w:numPr>
      </w:pPr>
      <w:r>
        <w:rPr>
          <w:bCs/>
          <w:b/>
        </w:rPr>
        <w:t xml:space="preserve">Distributed standby, not co-located clones.</w:t>
      </w:r>
      <w:r>
        <w:t xml:space="preserve"> </w:t>
      </w:r>
      <w:r>
        <w:t xml:space="preserve">Each customer’s DR standby is placed by the ADR-001 placement engine into a destination region drawn from the shared regional footprint, recorded in the seed record, and never defaulted to a fixed percentage of production.</w:t>
      </w:r>
      <w:r>
        <w:t xml:space="preserve"> </w:t>
      </w:r>
      <w:r>
        <w:rPr>
          <w:rStyle w:val="VerbatimChar"/>
        </w:rPr>
        <w:t xml:space="preserve">[Decided]</w:t>
      </w:r>
    </w:p>
    <w:p>
      <w:pPr>
        <w:numPr>
          <w:ilvl w:val="0"/>
          <w:numId w:val="1001"/>
        </w:numPr>
      </w:pPr>
      <w:r>
        <w:rPr>
          <w:bCs/>
          <w:b/>
        </w:rPr>
        <w:t xml:space="preserve">Reciprocal, many-to-many roles.</w:t>
      </w:r>
      <w:r>
        <w:t xml:space="preserve"> </w:t>
      </w:r>
      <w:r>
        <w:t xml:space="preserve">Every managed region may concurrently hold three roles — Prod, CVAL, and DR standby for multiple different source regions. No region is a dedicated DR-only region.</w:t>
      </w:r>
      <w:r>
        <w:t xml:space="preserve"> </w:t>
      </w:r>
      <w:r>
        <w:rPr>
          <w:rStyle w:val="VerbatimChar"/>
        </w:rPr>
        <w:t xml:space="preserve">[Decided]</w:t>
      </w:r>
    </w:p>
    <w:p>
      <w:pPr>
        <w:numPr>
          <w:ilvl w:val="0"/>
          <w:numId w:val="1001"/>
        </w:numPr>
      </w:pPr>
      <w:r>
        <w:rPr>
          <w:bCs/>
          <w:b/>
        </w:rPr>
        <w:t xml:space="preserve">Authoritative source→destination index (DR-018).</w:t>
      </w:r>
      <w:r>
        <w:t xml:space="preserve"> </w:t>
      </w:r>
      <w:r>
        <w:rPr>
          <w:rStyle w:val="VerbatimChar"/>
        </w:rPr>
        <w:t xml:space="preserve">SourceDestinationDRIndex</w:t>
      </w:r>
      <w:r>
        <w:t xml:space="preserve"> </w:t>
      </w:r>
      <w:r>
        <w:t xml:space="preserve">is the required state entity that maps each protected source region to the destination regions holding its standby capacity, per customer/realm and seed. It is the reverse view of the seed record and the driver of activation.</w:t>
      </w:r>
      <w:r>
        <w:t xml:space="preserve"> </w:t>
      </w:r>
      <w:r>
        <w:rPr>
          <w:rStyle w:val="VerbatimChar"/>
        </w:rPr>
        <w:t xml:space="preserve">[Decided]</w:t>
      </w:r>
    </w:p>
    <w:p>
      <w:pPr>
        <w:numPr>
          <w:ilvl w:val="0"/>
          <w:numId w:val="1001"/>
        </w:numPr>
      </w:pPr>
      <w:r>
        <w:rPr>
          <w:bCs/>
          <w:b/>
        </w:rPr>
        <w:t xml:space="preserve">Bidirectional queryability.</w:t>
      </w:r>
      <w:r>
        <w:t xml:space="preserve"> </w:t>
      </w:r>
      <w:r>
        <w:t xml:space="preserve">The index must answer both</w:t>
      </w:r>
      <w:r>
        <w:t xml:space="preserve"> </w:t>
      </w:r>
      <w:r>
        <w:rPr>
          <w:rStyle w:val="VerbatimChar"/>
        </w:rPr>
        <w:t xml:space="preserve">source → destinations</w:t>
      </w:r>
      <w:r>
        <w:t xml:space="preserve"> </w:t>
      </w:r>
      <w:r>
        <w:t xml:space="preserve">(which standby sets activate when a source fails) and</w:t>
      </w:r>
      <w:r>
        <w:t xml:space="preserve"> </w:t>
      </w:r>
      <w:r>
        <w:rPr>
          <w:rStyle w:val="VerbatimChar"/>
        </w:rPr>
        <w:t xml:space="preserve">destination → sources</w:t>
      </w:r>
      <w:r>
        <w:t xml:space="preserve"> </w:t>
      </w:r>
      <w:r>
        <w:t xml:space="preserve">(which sources a destination protects, for max-source coverage and dashboards).</w:t>
      </w:r>
      <w:r>
        <w:t xml:space="preserve"> </w:t>
      </w:r>
      <w:r>
        <w:rPr>
          <w:rStyle w:val="VerbatimChar"/>
        </w:rPr>
        <w:t xml:space="preserve">[Decided]</w:t>
      </w:r>
    </w:p>
    <w:p>
      <w:pPr>
        <w:numPr>
          <w:ilvl w:val="0"/>
          <w:numId w:val="1001"/>
        </w:numPr>
      </w:pPr>
      <w:r>
        <w:rPr>
          <w:bCs/>
          <w:b/>
        </w:rPr>
        <w:t xml:space="preserve">Max-not-sum destination boundary (DR-017).</w:t>
      </w:r>
      <w:r>
        <w:t xml:space="preserve"> </w:t>
      </w:r>
      <w:r>
        <w:t xml:space="preserve">A destination sizes its standby capacity to the</w:t>
      </w:r>
      <w:r>
        <w:t xml:space="preserve"> </w:t>
      </w:r>
      <w:r>
        <w:rPr>
          <w:bCs/>
          <w:b/>
        </w:rPr>
        <w:t xml:space="preserve">largest single non-concurrent protected source portion</w:t>
      </w:r>
      <w:r>
        <w:t xml:space="preserve">, not the sum across sources. A configured SUM override is available where a contract or geography requires simultaneous-failure coverage.</w:t>
      </w:r>
      <w:r>
        <w:t xml:space="preserve"> </w:t>
      </w:r>
      <w:r>
        <w:rPr>
          <w:rStyle w:val="VerbatimChar"/>
        </w:rPr>
        <w:t xml:space="preserve">[Decided]</w:t>
      </w:r>
    </w:p>
    <w:p>
      <w:pPr>
        <w:numPr>
          <w:ilvl w:val="0"/>
          <w:numId w:val="1001"/>
        </w:numPr>
      </w:pPr>
      <w:r>
        <w:rPr>
          <w:bCs/>
          <w:b/>
        </w:rPr>
        <w:t xml:space="preserve">Single-source-failure assumption is explicit.</w:t>
      </w:r>
      <w:r>
        <w:t xml:space="preserve"> </w:t>
      </w:r>
      <w:r>
        <w:t xml:space="preserve">The model is valid only under the assumption that at most one protected source region is in a declared DR event at a time. Concurrent multi-source failure is an out-of-model risk mitigated only by SUM override or additional earmark.</w:t>
      </w:r>
      <w:r>
        <w:t xml:space="preserve"> </w:t>
      </w:r>
      <w:r>
        <w:rPr>
          <w:rStyle w:val="VerbatimChar"/>
        </w:rPr>
        <w:t xml:space="preserve">[Decided]</w:t>
      </w:r>
    </w:p>
    <w:p>
      <w:pPr>
        <w:numPr>
          <w:ilvl w:val="0"/>
          <w:numId w:val="1001"/>
        </w:numPr>
      </w:pPr>
      <w:r>
        <w:rPr>
          <w:bCs/>
          <w:b/>
        </w:rPr>
        <w:t xml:space="preserve">The DR earmark lives inside the single governed quota pool.</w:t>
      </w:r>
      <w:r>
        <w:t xml:space="preserve"> </w:t>
      </w:r>
      <w:r>
        <w:t xml:space="preserve">Per ADR-002, the max-not-sum destination requirement is reserved as</w:t>
      </w:r>
      <w:r>
        <w:t xml:space="preserve"> </w:t>
      </w:r>
      <w:r>
        <w:rPr>
          <w:rStyle w:val="VerbatimChar"/>
        </w:rPr>
        <w:t xml:space="preserve">DR_Earmark_vCPU</w:t>
      </w:r>
      <w:r>
        <w:t xml:space="preserve"> </w:t>
      </w:r>
      <w:r>
        <w:t xml:space="preserve">inside the one governed quota pool for that region/family, so live NonProd/CVAL usage cannot consume standby-activation headroom.</w:t>
      </w:r>
      <w:r>
        <w:t xml:space="preserve"> </w:t>
      </w:r>
      <w:r>
        <w:rPr>
          <w:rStyle w:val="VerbatimChar"/>
        </w:rPr>
        <w:t xml:space="preserve">[Decided]</w:t>
      </w:r>
    </w:p>
    <w:p>
      <w:pPr>
        <w:numPr>
          <w:ilvl w:val="0"/>
          <w:numId w:val="1001"/>
        </w:numPr>
      </w:pPr>
      <w:r>
        <w:rPr>
          <w:bCs/>
          <w:b/>
        </w:rPr>
        <w:t xml:space="preserve">Activation is source-specific and wave-ordered.</w:t>
      </w:r>
      <w:r>
        <w:t xml:space="preserve"> </w:t>
      </w:r>
      <w:r>
        <w:t xml:space="preserve">A declared source-region failure activates only that source’s mapped standby set, in business-priority waves, via the ADR-003 staged acquisition sequence, and is reversible on failback.</w:t>
      </w:r>
      <w:r>
        <w:t xml:space="preserve"> </w:t>
      </w:r>
      <w:r>
        <w:rPr>
          <w:rStyle w:val="VerbatimChar"/>
        </w:rPr>
        <w:t xml:space="preserve">[Decided]</w:t>
      </w:r>
    </w:p>
    <w:p>
      <w:pPr>
        <w:numPr>
          <w:ilvl w:val="0"/>
          <w:numId w:val="1001"/>
        </w:numPr>
      </w:pPr>
      <w:r>
        <w:rPr>
          <w:rStyle w:val="VerbatimChar"/>
          <w:bCs/>
          <w:b/>
        </w:rPr>
        <w:t xml:space="preserve">DR_NOT_OFFERED</w:t>
      </w:r>
      <w:r>
        <w:rPr>
          <w:bCs/>
          <w:b/>
        </w:rPr>
        <w:t xml:space="preserve"> </w:t>
      </w:r>
      <w:r>
        <w:rPr>
          <w:bCs/>
          <w:b/>
        </w:rPr>
        <w:t xml:space="preserve">geographies are excluded from the reciprocal model (DR-014, DEC-001).</w:t>
      </w:r>
      <w:r>
        <w:t xml:space="preserve"> </w:t>
      </w:r>
      <w:r>
        <w:t xml:space="preserve">Where legal/data-sovereignty prevents an acceptable DR design, the geography is flagged</w:t>
      </w:r>
      <w:r>
        <w:t xml:space="preserve"> </w:t>
      </w:r>
      <w:r>
        <w:rPr>
          <w:rStyle w:val="VerbatimChar"/>
        </w:rPr>
        <w:t xml:space="preserve">DR_NOT_OFFERED</w:t>
      </w:r>
      <w:r>
        <w:t xml:space="preserve"> </w:t>
      </w:r>
      <w:r>
        <w:t xml:space="preserve">and</w:t>
      </w:r>
      <w:r>
        <w:t xml:space="preserve"> </w:t>
      </w:r>
      <w:r>
        <w:rPr>
          <w:bCs/>
          <w:b/>
        </w:rPr>
        <w:t xml:space="preserve">does not participate</w:t>
      </w:r>
      <w:r>
        <w:t xml:space="preserve"> </w:t>
      </w:r>
      <w:r>
        <w:t xml:space="preserve">in the distributed, reciprocal, max-not-sum model at all: its customers get</w:t>
      </w:r>
      <w:r>
        <w:t xml:space="preserve"> </w:t>
      </w:r>
      <w:r>
        <w:rPr>
          <w:rStyle w:val="VerbatimChar"/>
        </w:rPr>
        <w:t xml:space="preserve">dr_region = NOT_OFFERED</w:t>
      </w:r>
      <w:r>
        <w:t xml:space="preserve"> </w:t>
      </w:r>
      <w:r>
        <w:t xml:space="preserve">in the seed, contribute</w:t>
      </w:r>
      <w:r>
        <w:t xml:space="preserve"> </w:t>
      </w:r>
      <w:r>
        <w:rPr>
          <w:bCs/>
          <w:b/>
        </w:rPr>
        <w:t xml:space="preserve">no</w:t>
      </w:r>
      <w:r>
        <w:t xml:space="preserve"> </w:t>
      </w:r>
      <w:r>
        <w:t xml:space="preserve">entries to the</w:t>
      </w:r>
      <w:r>
        <w:t xml:space="preserve"> </w:t>
      </w:r>
      <w:r>
        <w:rPr>
          <w:rStyle w:val="VerbatimChar"/>
        </w:rPr>
        <w:t xml:space="preserve">SourceDestinationDRIndex</w:t>
      </w:r>
      <w:r>
        <w:t xml:space="preserve">, and are</w:t>
      </w:r>
      <w:r>
        <w:t xml:space="preserve"> </w:t>
      </w:r>
      <w:r>
        <w:rPr>
          <w:bCs/>
          <w:b/>
        </w:rPr>
        <w:t xml:space="preserve">never</w:t>
      </w:r>
      <w:r>
        <w:t xml:space="preserve"> </w:t>
      </w:r>
      <w:r>
        <w:t xml:space="preserve">sized, earmarked, or activated as a source or destination. The</w:t>
      </w:r>
      <w:r>
        <w:t xml:space="preserve"> </w:t>
      </w:r>
      <w:r>
        <w:rPr>
          <w:bCs/>
          <w:b/>
        </w:rPr>
        <w:t xml:space="preserve">current legal position for the Middle East is</w:t>
      </w:r>
      <w:r>
        <w:rPr>
          <w:bCs/>
          <w:b/>
        </w:rPr>
        <w:t xml:space="preserve"> </w:t>
      </w:r>
      <w:r>
        <w:rPr>
          <w:rStyle w:val="VerbatimChar"/>
          <w:bCs/>
          <w:b/>
        </w:rPr>
        <w:t xml:space="preserve">DR_NOT_OFFERED</w:t>
      </w:r>
      <w:r>
        <w:t xml:space="preserve"> </w:t>
      </w:r>
      <w:r>
        <w:t xml:space="preserve">(see the carve-out below).</w:t>
      </w:r>
      <w:r>
        <w:t xml:space="preserve"> </w:t>
      </w:r>
      <w:r>
        <w:rPr>
          <w:rStyle w:val="VerbatimChar"/>
        </w:rPr>
        <w:t xml:space="preserve">[Decided]</w:t>
      </w:r>
    </w:p>
    <w:bookmarkEnd w:id="21"/>
    <w:bookmarkStart w:id="22" w:name="Xb03e772cdb607227afbd06c4ab23a2ff0dba6dd"/>
    <w:p>
      <w:pPr>
        <w:pStyle w:val="Heading2"/>
      </w:pPr>
      <w:r>
        <w:t xml:space="preserve">Middle East DR Carve-Out (DR-014, DEC-001) — currently</w:t>
      </w:r>
      <w:r>
        <w:t xml:space="preserve"> </w:t>
      </w:r>
      <w:r>
        <w:rPr>
          <w:rStyle w:val="VerbatimChar"/>
        </w:rPr>
        <w:t xml:space="preserve">DR_NOT_OFFERED</w:t>
      </w:r>
    </w:p>
    <w:p>
      <w:pPr>
        <w:pStyle w:val="BlockText"/>
      </w:pPr>
      <w:r>
        <w:rPr>
          <w:bCs/>
          <w:b/>
        </w:rPr>
        <w:t xml:space="preserve">As it stands, DR is NOT offered in the Middle East.</w:t>
      </w:r>
      <w:r>
        <w:t xml:space="preserve"> </w:t>
      </w:r>
      <w:r>
        <w:t xml:space="preserve">Baseline v2.2 records that Legal has taken ownership of the Middle East programme and that, because a large share of Middle East customers are government/medical-associated,</w:t>
      </w:r>
      <w:r>
        <w:t xml:space="preserve"> </w:t>
      </w:r>
      <w:r>
        <w:rPr>
          <w:bCs/>
          <w:b/>
        </w:rPr>
        <w:t xml:space="preserve">data-sovereignty / data-residency laws mean cross-border DR cannot meet residency requirements</w:t>
      </w:r>
      <w:r>
        <w:t xml:space="preserve"> </w:t>
      </w:r>
      <w:r>
        <w:t xml:space="preserve">(baseline §2 Strategic Drivers, §5.2 Out of Scope</w:t>
      </w:r>
      <w:r>
        <w:t xml:space="preserve"> </w:t>
      </w:r>
      <w:r>
        <w:t xml:space="preserve">“</w:t>
      </w:r>
      <w:r>
        <w:t xml:space="preserve">Final Middle East DR offering (pending legal/business direction)</w:t>
      </w:r>
      <w:r>
        <w:t xml:space="preserve">”</w:t>
      </w:r>
      <w:r>
        <w:t xml:space="preserve">, §6</w:t>
      </w:r>
      <w:r>
        <w:t xml:space="preserve"> </w:t>
      </w:r>
      <w:r>
        <w:t xml:space="preserve">“</w:t>
      </w:r>
      <w:r>
        <w:t xml:space="preserve">Middle East is legal-owned with no DR</w:t>
      </w:r>
      <w:r>
        <w:t xml:space="preserve">”</w:t>
      </w:r>
      <w:r>
        <w:t xml:space="preserve">, and</w:t>
      </w:r>
      <w:r>
        <w:t xml:space="preserve"> </w:t>
      </w:r>
      <w:r>
        <w:rPr>
          <w:bCs/>
          <w:b/>
        </w:rPr>
        <w:t xml:space="preserve">DR-014</w:t>
      </w:r>
      <w:r>
        <w:t xml:space="preserve">). This is an open</w:t>
      </w:r>
      <w:r>
        <w:t xml:space="preserve"> </w:t>
      </w:r>
      <w:r>
        <w:rPr>
          <w:bCs/>
          <w:b/>
        </w:rPr>
        <w:t xml:space="preserve">legal/business decision, DEC-001</w:t>
      </w:r>
      <w:r>
        <w:t xml:space="preserve">, and one of the programme’s remaining major architectural risks (baseline §25).</w:t>
      </w:r>
    </w:p>
    <w:p>
      <w:pPr>
        <w:pStyle w:val="FirstParagraph"/>
      </w:pPr>
      <w:r>
        <w:t xml:space="preserve">Normative consequences for this reference model:</w:t>
      </w:r>
    </w:p>
    <w:p>
      <w:pPr>
        <w:numPr>
          <w:ilvl w:val="0"/>
          <w:numId w:val="1002"/>
        </w:numPr>
      </w:pPr>
      <w:r>
        <w:rPr>
          <w:bCs/>
          <w:b/>
        </w:rPr>
        <w:t xml:space="preserve">No reciprocal DR topology in the Middle East.</w:t>
      </w:r>
      <w:r>
        <w:t xml:space="preserve"> </w:t>
      </w:r>
      <w:r>
        <w:t xml:space="preserve">The many-to-many Prod/CVAL/DR reciprocal roles (Decision 2) and max-not-sum sizing (Decision 5)</w:t>
      </w:r>
      <w:r>
        <w:t xml:space="preserve"> </w:t>
      </w:r>
      <w:r>
        <w:rPr>
          <w:bCs/>
          <w:b/>
        </w:rPr>
        <w:t xml:space="preserve">do not apply</w:t>
      </w:r>
      <w:r>
        <w:t xml:space="preserve"> </w:t>
      </w:r>
      <w:r>
        <w:t xml:space="preserve">to Middle East regions (Saudi Arabia Central, UAE North) while</w:t>
      </w:r>
      <w:r>
        <w:t xml:space="preserve"> </w:t>
      </w:r>
      <w:r>
        <w:rPr>
          <w:rStyle w:val="VerbatimChar"/>
        </w:rPr>
        <w:t xml:space="preserve">DR_NOT_OFFERED = true</w:t>
      </w:r>
      <w:r>
        <w:t xml:space="preserve">. Middle East regions carry Prod (and may carry CVAL) but hold</w:t>
      </w:r>
      <w:r>
        <w:t xml:space="preserve"> </w:t>
      </w:r>
      <w:r>
        <w:rPr>
          <w:bCs/>
          <w:b/>
        </w:rPr>
        <w:t xml:space="preserve">no DR standby</w:t>
      </w:r>
      <w:r>
        <w:t xml:space="preserve"> </w:t>
      </w:r>
      <w:r>
        <w:t xml:space="preserve">and are</w:t>
      </w:r>
      <w:r>
        <w:t xml:space="preserve"> </w:t>
      </w:r>
      <w:r>
        <w:rPr>
          <w:bCs/>
          <w:b/>
        </w:rPr>
        <w:t xml:space="preserve">not</w:t>
      </w:r>
      <w:r>
        <w:t xml:space="preserve"> </w:t>
      </w:r>
      <w:r>
        <w:t xml:space="preserve">DR destinations for any source.</w:t>
      </w:r>
      <w:r>
        <w:t xml:space="preserve"> </w:t>
      </w:r>
      <w:r>
        <w:rPr>
          <w:rStyle w:val="VerbatimChar"/>
        </w:rPr>
        <w:t xml:space="preserve">[Decided]</w:t>
      </w:r>
    </w:p>
    <w:p>
      <w:pPr>
        <w:numPr>
          <w:ilvl w:val="0"/>
          <w:numId w:val="1002"/>
        </w:numPr>
      </w:pPr>
      <w:r>
        <w:rPr>
          <w:bCs/>
          <w:b/>
        </w:rPr>
        <w:t xml:space="preserve">No index entries, no earmark, no activation.</w:t>
      </w:r>
      <w:r>
        <w:t xml:space="preserve"> </w:t>
      </w:r>
      <w:r>
        <w:t xml:space="preserve">Middle East customers produce</w:t>
      </w:r>
      <w:r>
        <w:t xml:space="preserve"> </w:t>
      </w:r>
      <w:r>
        <w:rPr>
          <w:rStyle w:val="VerbatimChar"/>
        </w:rPr>
        <w:t xml:space="preserve">dr_region = NOT_OFFERED</w:t>
      </w:r>
      <w:r>
        <w:t xml:space="preserve"> </w:t>
      </w:r>
      <w:r>
        <w:t xml:space="preserve">seeds (ADR-001), so they add</w:t>
      </w:r>
      <w:r>
        <w:t xml:space="preserve"> </w:t>
      </w:r>
      <w:r>
        <w:rPr>
          <w:bCs/>
          <w:b/>
        </w:rPr>
        <w:t xml:space="preserve">no</w:t>
      </w:r>
      <w:r>
        <w:t xml:space="preserve"> </w:t>
      </w:r>
      <w:r>
        <w:rPr>
          <w:rStyle w:val="VerbatimChar"/>
        </w:rPr>
        <w:t xml:space="preserve">source → destination</w:t>
      </w:r>
      <w:r>
        <w:t xml:space="preserve"> </w:t>
      </w:r>
      <w:r>
        <w:t xml:space="preserve">rows, consume</w:t>
      </w:r>
      <w:r>
        <w:t xml:space="preserve"> </w:t>
      </w:r>
      <w:r>
        <w:rPr>
          <w:bCs/>
          <w:b/>
        </w:rPr>
        <w:t xml:space="preserve">no</w:t>
      </w:r>
      <w:r>
        <w:t xml:space="preserve"> </w:t>
      </w:r>
      <w:r>
        <w:rPr>
          <w:rStyle w:val="VerbatimChar"/>
        </w:rPr>
        <w:t xml:space="preserve">DR_Earmark_vCPU</w:t>
      </w:r>
      <w:r>
        <w:t xml:space="preserve">, and are</w:t>
      </w:r>
      <w:r>
        <w:t xml:space="preserve"> </w:t>
      </w:r>
      <w:r>
        <w:rPr>
          <w:bCs/>
          <w:b/>
        </w:rPr>
        <w:t xml:space="preserve">never</w:t>
      </w:r>
      <w:r>
        <w:t xml:space="preserve"> </w:t>
      </w:r>
      <w:r>
        <w:t xml:space="preserve">included in a standby activation set. Middle East</w:t>
      </w:r>
      <w:r>
        <w:t xml:space="preserve"> </w:t>
      </w:r>
      <w:r>
        <w:rPr>
          <w:bCs/>
          <w:b/>
        </w:rPr>
        <w:t xml:space="preserve">production may still exist</w:t>
      </w:r>
      <w:r>
        <w:t xml:space="preserve"> </w:t>
      </w:r>
      <w:r>
        <w:t xml:space="preserve">without any DR obligation (DR-014).</w:t>
      </w:r>
      <w:r>
        <w:t xml:space="preserve"> </w:t>
      </w:r>
      <w:r>
        <w:rPr>
          <w:rStyle w:val="VerbatimChar"/>
        </w:rPr>
        <w:t xml:space="preserve">[Decided]</w:t>
      </w:r>
    </w:p>
    <w:p>
      <w:pPr>
        <w:numPr>
          <w:ilvl w:val="0"/>
          <w:numId w:val="1002"/>
        </w:numPr>
      </w:pPr>
      <w:r>
        <w:rPr>
          <w:bCs/>
          <w:b/>
        </w:rPr>
        <w:t xml:space="preserve">Switzerland North is a pre-configured, conditional extension only.</w:t>
      </w:r>
      <w:r>
        <w:t xml:space="preserve"> </w:t>
      </w:r>
      <w:r>
        <w:t xml:space="preserve">Switzerland North is held in</w:t>
      </w:r>
      <w:r>
        <w:t xml:space="preserve"> </w:t>
      </w:r>
      <w:r>
        <w:rPr>
          <w:rStyle w:val="VerbatimChar"/>
        </w:rPr>
        <w:t xml:space="preserve">PlacementPolicy</w:t>
      </w:r>
      <w:r>
        <w:t xml:space="preserve"> </w:t>
      </w:r>
      <w:r>
        <w:t xml:space="preserve">as the Middle East’s cross-geo DR extension so DR</w:t>
      </w:r>
      <w:r>
        <w:t xml:space="preserve"> </w:t>
      </w:r>
      <w:r>
        <w:rPr>
          <w:iCs/>
          <w:i/>
        </w:rPr>
        <w:t xml:space="preserve">can</w:t>
      </w:r>
      <w:r>
        <w:t xml:space="preserve"> </w:t>
      </w:r>
      <w:r>
        <w:t xml:space="preserve">be enabled quickly</w:t>
      </w:r>
      <w:r>
        <w:t xml:space="preserve"> </w:t>
      </w:r>
      <w:r>
        <w:rPr>
          <w:bCs/>
          <w:b/>
        </w:rPr>
        <w:t xml:space="preserve">if and only if</w:t>
      </w:r>
      <w:r>
        <w:t xml:space="preserve"> </w:t>
      </w:r>
      <w:r>
        <w:t xml:space="preserve">Legal records a DEC-001 approval that clears</w:t>
      </w:r>
      <w:r>
        <w:t xml:space="preserve"> </w:t>
      </w:r>
      <w:r>
        <w:rPr>
          <w:rStyle w:val="VerbatimChar"/>
        </w:rPr>
        <w:t xml:space="preserve">DR_NOT_OFFERED</w:t>
      </w:r>
      <w:r>
        <w:t xml:space="preserve">. Until then the path is</w:t>
      </w:r>
      <w:r>
        <w:t xml:space="preserve"> </w:t>
      </w:r>
      <w:r>
        <w:rPr>
          <w:bCs/>
          <w:b/>
        </w:rPr>
        <w:t xml:space="preserve">inactive</w:t>
      </w:r>
      <w:r>
        <w:t xml:space="preserve"> </w:t>
      </w:r>
      <w:r>
        <w:t xml:space="preserve">and the engine must</w:t>
      </w:r>
      <w:r>
        <w:t xml:space="preserve"> </w:t>
      </w:r>
      <w:r>
        <w:rPr>
          <w:bCs/>
          <w:b/>
        </w:rPr>
        <w:t xml:space="preserve">not</w:t>
      </w:r>
      <w:r>
        <w:t xml:space="preserve"> </w:t>
      </w:r>
      <w:r>
        <w:t xml:space="preserve">auto-assign it. If DEC-001 later approves ME DR, the Switzerland North destination joins the reciprocal/max-not-sum model under the standard cross-geo constraints (sovereignty/zone alignment, HC-10).</w:t>
      </w:r>
      <w:r>
        <w:t xml:space="preserve"> </w:t>
      </w:r>
      <w:r>
        <w:rPr>
          <w:rStyle w:val="VerbatimChar"/>
        </w:rPr>
        <w:t xml:space="preserve">[Decided]</w:t>
      </w:r>
    </w:p>
    <w:p>
      <w:pPr>
        <w:numPr>
          <w:ilvl w:val="0"/>
          <w:numId w:val="1002"/>
        </w:numPr>
      </w:pPr>
      <w:r>
        <w:rPr>
          <w:bCs/>
          <w:b/>
        </w:rPr>
        <w:t xml:space="preserve">DEC-001 is the single switch.</w:t>
      </w:r>
      <w:r>
        <w:t xml:space="preserve"> </w:t>
      </w:r>
      <w:r>
        <w:t xml:space="preserve">Turning ME DR on is a configuration change to</w:t>
      </w:r>
      <w:r>
        <w:t xml:space="preserve"> </w:t>
      </w:r>
      <w:r>
        <w:rPr>
          <w:rStyle w:val="VerbatimChar"/>
        </w:rPr>
        <w:t xml:space="preserve">dr_not_offered["Middle East"] = false</w:t>
      </w:r>
      <w:r>
        <w:t xml:space="preserve">, gated by a recorded legal approval; no code change is required (FIN-002, C-8). Reversible if the legal position changes.</w:t>
      </w:r>
      <w:r>
        <w:t xml:space="preserve"> </w:t>
      </w:r>
      <w:r>
        <w:rPr>
          <w:rStyle w:val="VerbatimChar"/>
        </w:rPr>
        <w:t xml:space="preserve">[Decided]</w:t>
      </w:r>
    </w:p>
    <w:bookmarkEnd w:id="22"/>
    <w:bookmarkStart w:id="23" w:name="reference-topology"/>
    <w:p>
      <w:pPr>
        <w:pStyle w:val="Heading2"/>
      </w:pPr>
      <w:r>
        <w:t xml:space="preserve">Reference Topology</w:t>
      </w:r>
    </w:p>
    <w:p>
      <w:pPr>
        <w:pStyle w:val="BlockText"/>
      </w:pPr>
      <w:r>
        <w:rPr>
          <w:bCs/>
          <w:b/>
        </w:rPr>
        <w:t xml:space="preserve">Scope note.</w:t>
      </w:r>
      <w:r>
        <w:t xml:space="preserve"> </w:t>
      </w:r>
      <w:r>
        <w:t xml:space="preserve">The three-region reciprocal footprint below is illustrative of a</w:t>
      </w:r>
      <w:r>
        <w:t xml:space="preserve"> </w:t>
      </w:r>
      <w:r>
        <w:rPr>
          <w:bCs/>
          <w:b/>
        </w:rPr>
        <w:t xml:space="preserve">DR-offered geography</w:t>
      </w:r>
      <w:r>
        <w:t xml:space="preserve"> </w:t>
      </w:r>
      <w:r>
        <w:t xml:space="preserve">(e.g., North America or Europe under the current NA+Europe focus). It is</w:t>
      </w:r>
      <w:r>
        <w:t xml:space="preserve"> </w:t>
      </w:r>
      <w:r>
        <w:rPr>
          <w:bCs/>
          <w:b/>
        </w:rPr>
        <w:t xml:space="preserve">not</w:t>
      </w:r>
      <w:r>
        <w:t xml:space="preserve"> </w:t>
      </w:r>
      <w:r>
        <w:t xml:space="preserve">the Middle East: per the carve-out above, Middle East regions are excluded from this reciprocal model while</w:t>
      </w:r>
      <w:r>
        <w:t xml:space="preserve"> </w:t>
      </w:r>
      <w:r>
        <w:rPr>
          <w:rStyle w:val="VerbatimChar"/>
        </w:rPr>
        <w:t xml:space="preserve">DR_NOT_OFFERED</w:t>
      </w:r>
      <w:r>
        <w:t xml:space="preserve"> </w:t>
      </w:r>
      <w:r>
        <w:t xml:space="preserve">holds.</w:t>
      </w:r>
    </w:p>
    <w:p>
      <w:pPr>
        <w:pStyle w:val="FirstParagraph"/>
      </w:pPr>
      <w:r>
        <w:t xml:space="preserve">The reference footprint used in the §12A worked example spans three regions (R1, R2, R3). Each region carries its own production and CVAL workloads and hosts distributed DR standby for the</w:t>
      </w:r>
      <w:r>
        <w:t xml:space="preserve"> </w:t>
      </w:r>
      <w:r>
        <w:rPr>
          <w:iCs/>
          <w:i/>
        </w:rPr>
        <w:t xml:space="preserve">other</w:t>
      </w:r>
      <w:r>
        <w:t xml:space="preserve"> </w:t>
      </w:r>
      <w:r>
        <w:t xml:space="preserve">regions’ production. The</w:t>
      </w:r>
      <w:r>
        <w:t xml:space="preserve"> </w:t>
      </w:r>
      <w:r>
        <w:rPr>
          <w:rStyle w:val="VerbatimChar"/>
        </w:rPr>
        <w:t xml:space="preserve">src Rn</w:t>
      </w:r>
      <w:r>
        <w:t xml:space="preserve"> </w:t>
      </w:r>
      <w:r>
        <w:t xml:space="preserve">tag on each standby cell identifies the source region whose production that standby protects.</w:t>
      </w:r>
    </w:p>
    <w:p>
      <w:pPr>
        <w:pStyle w:val="BodyText"/>
      </w:pPr>
      <w:r>
        <w:t xml:space="preserve">ACRME Distributed DR Reference Model</w:t>
      </w:r>
    </w:p>
    <w:p>
      <w:pPr>
        <w:pStyle w:val="BodyText"/>
      </w:pPr>
      <w:r>
        <w:rPr>
          <w:iCs/>
          <w:i/>
        </w:rPr>
        <w:t xml:space="preserve">Figure 1. Distributed DR reference model (§12A worked example). Each region simultaneously hosts Prod, CVAL, and DR standby for other source regions; every DR standby cell is tagged with its</w:t>
      </w:r>
      <w:r>
        <w:rPr>
          <w:iCs/>
          <w:i/>
        </w:rPr>
        <w:t xml:space="preserve"> </w:t>
      </w:r>
      <w:r>
        <w:rPr>
          <w:rStyle w:val="VerbatimChar"/>
          <w:iCs/>
          <w:i/>
        </w:rPr>
        <w:t xml:space="preserve">src Rn</w:t>
      </w:r>
      <w:r>
        <w:rPr>
          <w:iCs/>
          <w:i/>
        </w:rPr>
        <w:t xml:space="preserve"> </w:t>
      </w:r>
      <w:r>
        <w:rPr>
          <w:iCs/>
          <w:i/>
        </w:rPr>
        <w:t xml:space="preserve">source region. See</w:t>
      </w:r>
      <w:r>
        <w:rPr>
          <w:iCs/>
          <w:i/>
        </w:rPr>
        <w:t xml:space="preserve"> </w:t>
      </w:r>
      <w:r>
        <w:rPr>
          <w:rStyle w:val="VerbatimChar"/>
          <w:iCs/>
          <w:i/>
        </w:rPr>
        <w:t xml:space="preserve">diagrams/acrme_three_region_capacity_model.html</w:t>
      </w:r>
      <w:r>
        <w:rPr>
          <w:iCs/>
          <w:i/>
        </w:rPr>
        <w:t xml:space="preserve"> </w:t>
      </w:r>
      <w:r>
        <w:rPr>
          <w:iCs/>
          <w:i/>
        </w:rPr>
        <w:t xml:space="preserve">for the self-contained source.</w:t>
      </w:r>
    </w:p>
    <w:p>
      <w:pPr>
        <w:pStyle w:val="SourceCode"/>
      </w:pPr>
      <w:r>
        <w:rPr>
          <w:rStyle w:val="VerbatimChar"/>
        </w:rPr>
        <w:t xml:space="preserve">flowchart LR</w:t>
      </w:r>
      <w:r>
        <w:br/>
      </w:r>
      <w:r>
        <w:rPr>
          <w:rStyle w:val="VerbatimChar"/>
        </w:rPr>
        <w:t xml:space="preserve">    subgraph R1[Region R1]</w:t>
      </w:r>
      <w:r>
        <w:br/>
      </w:r>
      <w:r>
        <w:rPr>
          <w:rStyle w:val="VerbatimChar"/>
        </w:rPr>
        <w:t xml:space="preserve">        P1[Prod R1]</w:t>
      </w:r>
      <w:r>
        <w:br/>
      </w:r>
      <w:r>
        <w:rPr>
          <w:rStyle w:val="VerbatimChar"/>
        </w:rPr>
        <w:t xml:space="preserve">        C1[CVAL R1]</w:t>
      </w:r>
      <w:r>
        <w:br/>
      </w:r>
      <w:r>
        <w:rPr>
          <w:rStyle w:val="VerbatimChar"/>
        </w:rPr>
        <w:t xml:space="preserve">        D1["DR standby&lt;br/&gt;src R2, src R3"]</w:t>
      </w:r>
      <w:r>
        <w:br/>
      </w:r>
      <w:r>
        <w:rPr>
          <w:rStyle w:val="VerbatimChar"/>
        </w:rPr>
        <w:t xml:space="preserve">    end</w:t>
      </w:r>
      <w:r>
        <w:br/>
      </w:r>
      <w:r>
        <w:rPr>
          <w:rStyle w:val="VerbatimChar"/>
        </w:rPr>
        <w:t xml:space="preserve">    subgraph R2[Region R2]</w:t>
      </w:r>
      <w:r>
        <w:br/>
      </w:r>
      <w:r>
        <w:rPr>
          <w:rStyle w:val="VerbatimChar"/>
        </w:rPr>
        <w:t xml:space="preserve">        P2[Prod R2]</w:t>
      </w:r>
      <w:r>
        <w:br/>
      </w:r>
      <w:r>
        <w:rPr>
          <w:rStyle w:val="VerbatimChar"/>
        </w:rPr>
        <w:t xml:space="preserve">        C2[CVAL R2]</w:t>
      </w:r>
      <w:r>
        <w:br/>
      </w:r>
      <w:r>
        <w:rPr>
          <w:rStyle w:val="VerbatimChar"/>
        </w:rPr>
        <w:t xml:space="preserve">        D2["DR standby&lt;br/&gt;src R1, src R3"]</w:t>
      </w:r>
      <w:r>
        <w:br/>
      </w:r>
      <w:r>
        <w:rPr>
          <w:rStyle w:val="VerbatimChar"/>
        </w:rPr>
        <w:t xml:space="preserve">    end</w:t>
      </w:r>
      <w:r>
        <w:br/>
      </w:r>
      <w:r>
        <w:rPr>
          <w:rStyle w:val="VerbatimChar"/>
        </w:rPr>
        <w:t xml:space="preserve">    subgraph R3[Region R3]</w:t>
      </w:r>
      <w:r>
        <w:br/>
      </w:r>
      <w:r>
        <w:rPr>
          <w:rStyle w:val="VerbatimChar"/>
        </w:rPr>
        <w:t xml:space="preserve">        P3[Prod R3]</w:t>
      </w:r>
      <w:r>
        <w:br/>
      </w:r>
      <w:r>
        <w:rPr>
          <w:rStyle w:val="VerbatimChar"/>
        </w:rPr>
        <w:t xml:space="preserve">        C3[CVAL R3]</w:t>
      </w:r>
      <w:r>
        <w:br/>
      </w:r>
      <w:r>
        <w:rPr>
          <w:rStyle w:val="VerbatimChar"/>
        </w:rPr>
        <w:t xml:space="preserve">        D3["DR standby&lt;br/&gt;src R1, src R2"]</w:t>
      </w:r>
      <w:r>
        <w:br/>
      </w:r>
      <w:r>
        <w:rPr>
          <w:rStyle w:val="VerbatimChar"/>
        </w:rPr>
        <w:t xml:space="preserve">    end</w:t>
      </w:r>
      <w:r>
        <w:br/>
      </w:r>
      <w:r>
        <w:rPr>
          <w:rStyle w:val="VerbatimChar"/>
        </w:rPr>
        <w:t xml:space="preserve">    P1 -. protected by .-&gt; D2</w:t>
      </w:r>
      <w:r>
        <w:br/>
      </w:r>
      <w:r>
        <w:rPr>
          <w:rStyle w:val="VerbatimChar"/>
        </w:rPr>
        <w:t xml:space="preserve">    P1 -. protected by .-&gt; D3</w:t>
      </w:r>
      <w:r>
        <w:br/>
      </w:r>
      <w:r>
        <w:rPr>
          <w:rStyle w:val="VerbatimChar"/>
        </w:rPr>
        <w:t xml:space="preserve">    P2 -. protected by .-&gt; D1</w:t>
      </w:r>
      <w:r>
        <w:br/>
      </w:r>
      <w:r>
        <w:rPr>
          <w:rStyle w:val="VerbatimChar"/>
        </w:rPr>
        <w:t xml:space="preserve">    P2 -. protected by .-&gt; D3</w:t>
      </w:r>
      <w:r>
        <w:br/>
      </w:r>
      <w:r>
        <w:rPr>
          <w:rStyle w:val="VerbatimChar"/>
        </w:rPr>
        <w:t xml:space="preserve">    P3 -. protected by .-&gt; D1</w:t>
      </w:r>
      <w:r>
        <w:br/>
      </w:r>
      <w:r>
        <w:rPr>
          <w:rStyle w:val="VerbatimChar"/>
        </w:rPr>
        <w:t xml:space="preserve">    P3 -. protected by .-&gt; D2</w:t>
      </w:r>
    </w:p>
    <w:p>
      <w:pPr>
        <w:pStyle w:val="FirstParagraph"/>
      </w:pPr>
      <w:r>
        <w:rPr>
          <w:iCs/>
          <w:i/>
        </w:rPr>
        <w:t xml:space="preserve">Figure 2. Reciprocal protection: each region’s production is protected by standby distributed across the other regions; each region’s DR cell hosts standby for multiple source regions (many-to-many).</w:t>
      </w:r>
    </w:p>
    <w:bookmarkEnd w:id="23"/>
    <w:bookmarkStart w:id="24" w:name="sourcedestinationdrindex-dr-018-dat-002"/>
    <w:p>
      <w:pPr>
        <w:pStyle w:val="Heading2"/>
      </w:pPr>
      <w:r>
        <w:t xml:space="preserve">SourceDestinationDRIndex (DR-018, DAT-002)</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Purpose</w:t>
            </w:r>
          </w:p>
        </w:tc>
      </w:tr>
      <w:tr>
        <w:tc>
          <w:tcPr/>
          <w:p>
            <w:pPr>
              <w:pStyle w:val="Compact"/>
              <w:jc w:val="left"/>
            </w:pPr>
            <w:r>
              <w:rPr>
                <w:rStyle w:val="VerbatimChar"/>
              </w:rPr>
              <w:t xml:space="preserve">source_region</w:t>
            </w:r>
          </w:p>
        </w:tc>
        <w:tc>
          <w:tcPr/>
          <w:p>
            <w:pPr>
              <w:pStyle w:val="Compact"/>
              <w:jc w:val="left"/>
            </w:pPr>
            <w:r>
              <w:t xml:space="preserve">Failed or protected production source.</w:t>
            </w:r>
          </w:p>
        </w:tc>
      </w:tr>
      <w:tr>
        <w:tc>
          <w:tcPr/>
          <w:p>
            <w:pPr>
              <w:pStyle w:val="Compact"/>
              <w:jc w:val="left"/>
            </w:pPr>
            <w:r>
              <w:rPr>
                <w:rStyle w:val="VerbatimChar"/>
              </w:rPr>
              <w:t xml:space="preserve">destination_region</w:t>
            </w:r>
          </w:p>
        </w:tc>
        <w:tc>
          <w:tcPr/>
          <w:p>
            <w:pPr>
              <w:pStyle w:val="Compact"/>
              <w:jc w:val="left"/>
            </w:pPr>
            <w:r>
              <w:t xml:space="preserve">Region holding standby DR capacity for that source.</w:t>
            </w:r>
          </w:p>
        </w:tc>
      </w:tr>
      <w:tr>
        <w:tc>
          <w:tcPr/>
          <w:p>
            <w:pPr>
              <w:pStyle w:val="Compact"/>
              <w:jc w:val="left"/>
            </w:pPr>
            <w:r>
              <w:rPr>
                <w:rStyle w:val="VerbatimChar"/>
              </w:rPr>
              <w:t xml:space="preserve">customer_or_realm_id</w:t>
            </w:r>
          </w:p>
        </w:tc>
        <w:tc>
          <w:tcPr/>
          <w:p>
            <w:pPr>
              <w:pStyle w:val="Compact"/>
              <w:jc w:val="left"/>
            </w:pPr>
            <w:r>
              <w:t xml:space="preserve">Customer/realm whose standby set is mapped.</w:t>
            </w:r>
          </w:p>
        </w:tc>
      </w:tr>
      <w:tr>
        <w:tc>
          <w:tcPr/>
          <w:p>
            <w:pPr>
              <w:pStyle w:val="Compact"/>
              <w:jc w:val="left"/>
            </w:pPr>
            <w:r>
              <w:rPr>
                <w:rStyle w:val="VerbatimChar"/>
              </w:rPr>
              <w:t xml:space="preserve">seed_id</w:t>
            </w:r>
          </w:p>
        </w:tc>
        <w:tc>
          <w:tcPr/>
          <w:p>
            <w:pPr>
              <w:pStyle w:val="Compact"/>
              <w:jc w:val="left"/>
            </w:pPr>
            <w:r>
              <w:t xml:space="preserve">Link back to</w:t>
            </w:r>
            <w:r>
              <w:t xml:space="preserve"> </w:t>
            </w:r>
            <w:r>
              <w:rPr>
                <w:rStyle w:val="VerbatimChar"/>
              </w:rPr>
              <w:t xml:space="preserve">CustomerSeedRecord</w:t>
            </w:r>
            <w:r>
              <w:t xml:space="preserve"> </w:t>
            </w:r>
            <w:r>
              <w:t xml:space="preserve">(ADR-001).</w:t>
            </w:r>
          </w:p>
        </w:tc>
      </w:tr>
      <w:tr>
        <w:tc>
          <w:tcPr/>
          <w:p>
            <w:pPr>
              <w:pStyle w:val="Compact"/>
              <w:jc w:val="left"/>
            </w:pPr>
            <w:r>
              <w:rPr>
                <w:rStyle w:val="VerbatimChar"/>
              </w:rPr>
              <w:t xml:space="preserve">standby_instance_set</w:t>
            </w:r>
          </w:p>
        </w:tc>
        <w:tc>
          <w:tcPr/>
          <w:p>
            <w:pPr>
              <w:pStyle w:val="Compact"/>
              <w:jc w:val="left"/>
            </w:pPr>
            <w:r>
              <w:t xml:space="preserve">VM/VMSS/node-pool/application set eligible for activation.</w:t>
            </w:r>
          </w:p>
        </w:tc>
      </w:tr>
      <w:tr>
        <w:tc>
          <w:tcPr/>
          <w:p>
            <w:pPr>
              <w:pStyle w:val="Compact"/>
              <w:jc w:val="left"/>
            </w:pPr>
            <w:r>
              <w:rPr>
                <w:rStyle w:val="VerbatimChar"/>
              </w:rPr>
              <w:t xml:space="preserve">sku_family</w:t>
            </w:r>
            <w:r>
              <w:t xml:space="preserve">,</w:t>
            </w:r>
            <w:r>
              <w:t xml:space="preserve"> </w:t>
            </w:r>
            <w:r>
              <w:rPr>
                <w:rStyle w:val="VerbatimChar"/>
              </w:rPr>
              <w:t xml:space="preserve">sku</w:t>
            </w:r>
            <w:r>
              <w:t xml:space="preserve">,</w:t>
            </w:r>
            <w:r>
              <w:t xml:space="preserve"> </w:t>
            </w:r>
            <w:r>
              <w:rPr>
                <w:rStyle w:val="VerbatimChar"/>
              </w:rPr>
              <w:t xml:space="preserve">zone</w:t>
            </w:r>
            <w:r>
              <w:t xml:space="preserve">,</w:t>
            </w:r>
            <w:r>
              <w:t xml:space="preserve"> </w:t>
            </w:r>
            <w:r>
              <w:rPr>
                <w:rStyle w:val="VerbatimChar"/>
              </w:rPr>
              <w:t xml:space="preserve">quantity</w:t>
            </w:r>
          </w:p>
        </w:tc>
        <w:tc>
          <w:tcPr/>
          <w:p>
            <w:pPr>
              <w:pStyle w:val="Compact"/>
              <w:jc w:val="left"/>
            </w:pPr>
            <w:r>
              <w:t xml:space="preserve">Capacity/quota dimensions.</w:t>
            </w:r>
          </w:p>
        </w:tc>
      </w:tr>
      <w:tr>
        <w:tc>
          <w:tcPr/>
          <w:p>
            <w:pPr>
              <w:pStyle w:val="Compact"/>
              <w:jc w:val="left"/>
            </w:pPr>
            <w:r>
              <w:rPr>
                <w:rStyle w:val="VerbatimChar"/>
              </w:rPr>
              <w:t xml:space="preserve">activation_state</w:t>
            </w:r>
          </w:p>
        </w:tc>
        <w:tc>
          <w:tcPr/>
          <w:p>
            <w:pPr>
              <w:pStyle w:val="Compact"/>
              <w:jc w:val="left"/>
            </w:pPr>
            <w:r>
              <w:rPr>
                <w:rStyle w:val="VerbatimChar"/>
              </w:rPr>
              <w:t xml:space="preserve">standby</w:t>
            </w:r>
            <w:r>
              <w:t xml:space="preserve">,</w:t>
            </w:r>
            <w:r>
              <w:t xml:space="preserve"> </w:t>
            </w:r>
            <w:r>
              <w:rPr>
                <w:rStyle w:val="VerbatimChar"/>
              </w:rPr>
              <w:t xml:space="preserve">activation_pending</w:t>
            </w:r>
            <w:r>
              <w:t xml:space="preserve">,</w:t>
            </w:r>
            <w:r>
              <w:t xml:space="preserve"> </w:t>
            </w:r>
            <w:r>
              <w:rPr>
                <w:rStyle w:val="VerbatimChar"/>
              </w:rPr>
              <w:t xml:space="preserve">active</w:t>
            </w:r>
            <w:r>
              <w:t xml:space="preserve">,</w:t>
            </w:r>
            <w:r>
              <w:t xml:space="preserve"> </w:t>
            </w:r>
            <w:r>
              <w:rPr>
                <w:rStyle w:val="VerbatimChar"/>
              </w:rPr>
              <w:t xml:space="preserve">failback_pending</w:t>
            </w:r>
            <w:r>
              <w:t xml:space="preserve">,</w:t>
            </w:r>
            <w:r>
              <w:t xml:space="preserve"> </w:t>
            </w:r>
            <w:r>
              <w:rPr>
                <w:rStyle w:val="VerbatimChar"/>
              </w:rPr>
              <w:t xml:space="preserve">returned</w:t>
            </w:r>
            <w:r>
              <w:t xml:space="preserve">.</w:t>
            </w:r>
          </w:p>
        </w:tc>
      </w:tr>
      <w:tr>
        <w:tc>
          <w:tcPr/>
          <w:p>
            <w:pPr>
              <w:pStyle w:val="Compact"/>
              <w:jc w:val="left"/>
            </w:pPr>
            <w:r>
              <w:rPr>
                <w:rStyle w:val="VerbatimChar"/>
              </w:rPr>
              <w:t xml:space="preserve">priority_wave</w:t>
            </w:r>
          </w:p>
        </w:tc>
        <w:tc>
          <w:tcPr/>
          <w:p>
            <w:pPr>
              <w:pStyle w:val="Compact"/>
              <w:jc w:val="left"/>
            </w:pPr>
            <w:r>
              <w:t xml:space="preserve">Business-priority order for activation (DR-009).</w:t>
            </w:r>
          </w:p>
        </w:tc>
      </w:tr>
      <w:tr>
        <w:tc>
          <w:tcPr/>
          <w:p>
            <w:pPr>
              <w:pStyle w:val="Compact"/>
              <w:jc w:val="left"/>
            </w:pPr>
            <w:r>
              <w:rPr>
                <w:rStyle w:val="VerbatimChar"/>
              </w:rPr>
              <w:t xml:space="preserve">policy_version</w:t>
            </w:r>
            <w:r>
              <w:t xml:space="preserve">,</w:t>
            </w:r>
            <w:r>
              <w:t xml:space="preserve"> </w:t>
            </w:r>
            <w:r>
              <w:rPr>
                <w:rStyle w:val="VerbatimChar"/>
              </w:rPr>
              <w:t xml:space="preserve">last_updated</w:t>
            </w:r>
          </w:p>
        </w:tc>
        <w:tc>
          <w:tcPr/>
          <w:p>
            <w:pPr>
              <w:pStyle w:val="Compact"/>
              <w:jc w:val="left"/>
            </w:pPr>
            <w:r>
              <w:t xml:space="preserve">Replay, freshness, and audit fields.</w:t>
            </w:r>
          </w:p>
        </w:tc>
      </w:tr>
    </w:tbl>
    <w:p>
      <w:pPr>
        <w:pStyle w:val="BodyText"/>
      </w:pPr>
      <w:r>
        <w:t xml:space="preserve">The index is derived from the seed records but is maintained as a first-class, independently queryable entity so activation does not require scanning all seeds at declaration time.</w:t>
      </w:r>
      <w:r>
        <w:t xml:space="preserve"> </w:t>
      </w:r>
      <w:r>
        <w:rPr>
          <w:rStyle w:val="VerbatimChar"/>
        </w:rPr>
        <w:t xml:space="preserve">[Decided]</w:t>
      </w:r>
    </w:p>
    <w:bookmarkEnd w:id="24"/>
    <w:bookmarkStart w:id="25" w:name="destination-sizing-boundary-dr-017"/>
    <w:p>
      <w:pPr>
        <w:pStyle w:val="Heading2"/>
      </w:pPr>
      <w:r>
        <w:t xml:space="preserve">Destination Sizing Boundary (DR-017)</w:t>
      </w:r>
    </w:p>
    <w:p>
      <w:pPr>
        <w:pStyle w:val="FirstParagraph"/>
      </w:pPr>
      <w:r>
        <w:t xml:space="preserve">For each destination</w:t>
      </w:r>
      <w:r>
        <w:t xml:space="preserve"> </w:t>
      </w:r>
      <w:r>
        <w:rPr>
          <w:rStyle w:val="VerbatimChar"/>
        </w:rPr>
        <w:t xml:space="preserve">d</w:t>
      </w:r>
      <w:r>
        <w:t xml:space="preserve">, SKU, zone, and policy scope:</w:t>
      </w:r>
    </w:p>
    <w:p>
      <w:pPr>
        <w:pStyle w:val="SourceCode"/>
      </w:pPr>
      <w:r>
        <w:rPr>
          <w:rStyle w:val="VerbatimChar"/>
        </w:rPr>
        <w:t xml:space="preserve">Destination_DR_Requirement(d, sku, zone)</w:t>
      </w:r>
      <w:r>
        <w:br/>
      </w:r>
      <w:r>
        <w:rPr>
          <w:rStyle w:val="VerbatimChar"/>
        </w:rPr>
        <w:t xml:space="preserve">  = MAX over non-concurrent source regions s protected by d (</w:t>
      </w:r>
      <w:r>
        <w:br/>
      </w:r>
      <w:r>
        <w:rPr>
          <w:rStyle w:val="VerbatimChar"/>
        </w:rPr>
        <w:t xml:space="preserve">      Workload_Portion(s -&gt; d, sku, zone)</w:t>
      </w:r>
      <w:r>
        <w:br/>
      </w:r>
      <w:r>
        <w:rPr>
          <w:rStyle w:val="VerbatimChar"/>
        </w:rPr>
        <w:t xml:space="preserve">    )</w:t>
      </w:r>
      <w:r>
        <w:br/>
      </w:r>
      <w:r>
        <w:br/>
      </w:r>
      <w:r>
        <w:rPr>
          <w:rStyle w:val="VerbatimChar"/>
        </w:rPr>
        <w:t xml:space="preserve">DR_Floor_vCPU(d, sku, zone)</w:t>
      </w:r>
      <w:r>
        <w:br/>
      </w:r>
      <w:r>
        <w:rPr>
          <w:rStyle w:val="VerbatimChar"/>
        </w:rPr>
        <w:t xml:space="preserve">  = Destination_DR_Requirement(d, sku, zone) * vCPU_Per_Instance(sku)</w:t>
      </w:r>
      <w:r>
        <w:br/>
      </w:r>
      <w:r>
        <w:br/>
      </w:r>
      <w:r>
        <w:rPr>
          <w:rStyle w:val="VerbatimChar"/>
        </w:rPr>
        <w:t xml:space="preserve"># Overcommit visibility (App. A.8):</w:t>
      </w:r>
      <w:r>
        <w:br/>
      </w:r>
      <w:r>
        <w:rPr>
          <w:rStyle w:val="VerbatimChar"/>
        </w:rPr>
        <w:t xml:space="preserve">Overcommit_Ratio(d) = ( SUM over sources s ( Workload_Portion(s -&gt; d) ) )</w:t>
      </w:r>
      <w:r>
        <w:br/>
      </w:r>
      <w:r>
        <w:rPr>
          <w:rStyle w:val="VerbatimChar"/>
        </w:rPr>
        <w:t xml:space="preserve">                      / Destination_DR_Requirement(d)</w:t>
      </w:r>
      <w:r>
        <w:br/>
      </w:r>
      <w:r>
        <w:br/>
      </w:r>
      <w:r>
        <w:rPr>
          <w:rStyle w:val="VerbatimChar"/>
        </w:rPr>
        <w:t xml:space="preserve"># Coverage gap (App. A.7):</w:t>
      </w:r>
      <w:r>
        <w:br/>
      </w:r>
      <w:r>
        <w:rPr>
          <w:rStyle w:val="VerbatimChar"/>
        </w:rPr>
        <w:t xml:space="preserve">DR_Capacity_Gap(d) = Destination_DR_Requirement(d) - Standby_Provisioned(d)</w:t>
      </w:r>
    </w:p>
    <w:p>
      <w:pPr>
        <w:numPr>
          <w:ilvl w:val="0"/>
          <w:numId w:val="1003"/>
        </w:numPr>
        <w:pStyle w:val="Compact"/>
      </w:pPr>
      <w:r>
        <w:rPr>
          <w:rStyle w:val="VerbatimChar"/>
        </w:rPr>
        <w:t xml:space="preserve">MAX</w:t>
      </w:r>
      <w:r>
        <w:t xml:space="preserve"> </w:t>
      </w:r>
      <w:r>
        <w:t xml:space="preserve">is valid only under the single-source-failure assumption (Decision 6).</w:t>
      </w:r>
      <w:r>
        <w:t xml:space="preserve"> </w:t>
      </w:r>
      <w:r>
        <w:rPr>
          <w:rStyle w:val="VerbatimChar"/>
        </w:rPr>
        <w:t xml:space="preserve">[Decided]</w:t>
      </w:r>
    </w:p>
    <w:p>
      <w:pPr>
        <w:numPr>
          <w:ilvl w:val="0"/>
          <w:numId w:val="1003"/>
        </w:numPr>
        <w:pStyle w:val="Compact"/>
      </w:pPr>
      <w:r>
        <w:rPr>
          <w:rStyle w:val="VerbatimChar"/>
        </w:rPr>
        <w:t xml:space="preserve">Overcommit_Ratio(d) &gt; 1</w:t>
      </w:r>
      <w:r>
        <w:t xml:space="preserve"> </w:t>
      </w:r>
      <w:r>
        <w:t xml:space="preserve">is expected and healthy — it quantifies how much cheaper the distributed max-not-sum model is than summed clones. It is surfaced, not alerted, unless it exceeds a configured safety ceiling (POC-011).</w:t>
      </w:r>
      <w:r>
        <w:t xml:space="preserve"> </w:t>
      </w:r>
      <w:r>
        <w:rPr>
          <w:rStyle w:val="VerbatimChar"/>
        </w:rPr>
        <w:t xml:space="preserve">[Derived]</w:t>
      </w:r>
    </w:p>
    <w:p>
      <w:pPr>
        <w:numPr>
          <w:ilvl w:val="0"/>
          <w:numId w:val="1003"/>
        </w:numPr>
        <w:pStyle w:val="Compact"/>
      </w:pPr>
      <w:r>
        <w:rPr>
          <w:rStyle w:val="VerbatimChar"/>
        </w:rPr>
        <w:t xml:space="preserve">DR_Capacity_Gap(d) &gt; 0</w:t>
      </w:r>
      <w:r>
        <w:t xml:space="preserve"> </w:t>
      </w:r>
      <w:r>
        <w:t xml:space="preserve">means the destination cannot currently satisfy its worst-case single-source activation and must raise a coverage alert.</w:t>
      </w:r>
      <w:r>
        <w:t xml:space="preserve"> </w:t>
      </w:r>
      <w:r>
        <w:rPr>
          <w:rStyle w:val="VerbatimChar"/>
        </w:rPr>
        <w:t xml:space="preserve">[Decided]</w:t>
      </w:r>
    </w:p>
    <w:bookmarkEnd w:id="25"/>
    <w:bookmarkStart w:id="26" w:name="worked-example-12a"/>
    <w:p>
      <w:pPr>
        <w:pStyle w:val="Heading2"/>
      </w:pPr>
      <w:r>
        <w:t xml:space="preserve">Worked Example (§12A)</w:t>
      </w:r>
    </w:p>
    <w:p>
      <w:pPr>
        <w:pStyle w:val="FirstParagraph"/>
      </w:pPr>
      <w:r>
        <w:t xml:space="preserve">Using the reference footprint, assume for one SKU/zone that region R1’s DR cell protects R2 (portion 40 instances) and R3 (portion 55 instances), non-concurrently:</w:t>
      </w:r>
    </w:p>
    <w:p>
      <w:pPr>
        <w:pStyle w:val="SourceCode"/>
      </w:pPr>
      <w:r>
        <w:rPr>
          <w:rStyle w:val="VerbatimChar"/>
        </w:rPr>
        <w:t xml:space="preserve">Destination_DR_Requirement(R1) = MAX(40, 55) = 55 instances     # not 40 + 55 = 95</w:t>
      </w:r>
      <w:r>
        <w:br/>
      </w:r>
      <w:r>
        <w:rPr>
          <w:rStyle w:val="VerbatimChar"/>
        </w:rPr>
        <w:t xml:space="preserve">Overcommit_Ratio(R1)           = (40 + 55) / 55 = 1.73           # 73% cheaper than summed clones</w:t>
      </w:r>
    </w:p>
    <w:p>
      <w:pPr>
        <w:pStyle w:val="FirstParagraph"/>
      </w:pPr>
      <w:r>
        <w:t xml:space="preserve">R1 reserves standby for</w:t>
      </w:r>
      <w:r>
        <w:t xml:space="preserve"> </w:t>
      </w:r>
      <w:r>
        <w:rPr>
          <w:bCs/>
          <w:b/>
        </w:rPr>
        <w:t xml:space="preserve">55</w:t>
      </w:r>
      <w:r>
        <w:t xml:space="preserve"> </w:t>
      </w:r>
      <w:r>
        <w:t xml:space="preserve">instances (the larger single source), earmarked inside R1’s single governed quota pool. If R3 is declared failed, R1 activates R3’s 55-instance standby set in priority waves; R2’s mapped standby (which may sit in a different destination) is untouched.</w:t>
      </w:r>
      <w:r>
        <w:t xml:space="preserve"> </w:t>
      </w:r>
      <w:r>
        <w:rPr>
          <w:rStyle w:val="VerbatimChar"/>
        </w:rPr>
        <w:t xml:space="preserve">[Decided]</w:t>
      </w:r>
    </w:p>
    <w:bookmarkEnd w:id="26"/>
    <w:bookmarkStart w:id="27" w:name="observability-contract-obs-001..004"/>
    <w:p>
      <w:pPr>
        <w:pStyle w:val="Heading2"/>
      </w:pPr>
      <w:r>
        <w:t xml:space="preserve">Observability Contract (OBS-001..004)</w:t>
      </w:r>
    </w:p>
    <w:p>
      <w:pPr>
        <w:pStyle w:val="FirstParagraph"/>
      </w:pPr>
      <w:r>
        <w:t xml:space="preserve">The distributed model is auditable only if the following are exposed:</w:t>
      </w:r>
    </w:p>
    <w:p>
      <w:pPr>
        <w:numPr>
          <w:ilvl w:val="0"/>
          <w:numId w:val="1004"/>
        </w:numPr>
        <w:pStyle w:val="Compact"/>
      </w:pPr>
      <w:r>
        <w:t xml:space="preserve">per-destination</w:t>
      </w:r>
      <w:r>
        <w:t xml:space="preserve"> </w:t>
      </w:r>
      <w:r>
        <w:rPr>
          <w:bCs/>
          <w:b/>
        </w:rPr>
        <w:t xml:space="preserve">max-source coverage</w:t>
      </w:r>
      <w:r>
        <w:t xml:space="preserve"> </w:t>
      </w:r>
      <w:r>
        <w:t xml:space="preserve">metric and a</w:t>
      </w:r>
      <w:r>
        <w:t xml:space="preserve"> </w:t>
      </w:r>
      <w:r>
        <w:rPr>
          <w:bCs/>
          <w:b/>
        </w:rPr>
        <w:t xml:space="preserve">coverage-gap</w:t>
      </w:r>
      <w:r>
        <w:t xml:space="preserve"> </w:t>
      </w:r>
      <w:r>
        <w:t xml:space="preserve">alert when</w:t>
      </w:r>
      <w:r>
        <w:t xml:space="preserve"> </w:t>
      </w:r>
      <w:r>
        <w:rPr>
          <w:rStyle w:val="VerbatimChar"/>
        </w:rPr>
        <w:t xml:space="preserve">DR_Capacity_Gap(d) &gt; 0</w:t>
      </w:r>
      <w:r>
        <w:t xml:space="preserve"> </w:t>
      </w:r>
      <w:r>
        <w:t xml:space="preserve">(OBS-001/002);</w:t>
      </w:r>
    </w:p>
    <w:p>
      <w:pPr>
        <w:numPr>
          <w:ilvl w:val="0"/>
          <w:numId w:val="1004"/>
        </w:numPr>
        <w:pStyle w:val="Compact"/>
      </w:pPr>
      <w:r>
        <w:rPr>
          <w:bCs/>
          <w:b/>
        </w:rPr>
        <w:t xml:space="preserve">overcommit ratio</w:t>
      </w:r>
      <w:r>
        <w:t xml:space="preserve"> </w:t>
      </w:r>
      <w:r>
        <w:t xml:space="preserve">per destination, with a POC-011 safety-ceiling alert (OBS-002);</w:t>
      </w:r>
    </w:p>
    <w:p>
      <w:pPr>
        <w:numPr>
          <w:ilvl w:val="0"/>
          <w:numId w:val="1004"/>
        </w:numPr>
        <w:pStyle w:val="Compact"/>
      </w:pPr>
      <w:r>
        <w:t xml:space="preserve">a</w:t>
      </w:r>
      <w:r>
        <w:t xml:space="preserve"> </w:t>
      </w:r>
      <w:r>
        <w:rPr>
          <w:bCs/>
          <w:b/>
        </w:rPr>
        <w:t xml:space="preserve">source ↔ destination DR mapping</w:t>
      </w:r>
      <w:r>
        <w:t xml:space="preserve"> </w:t>
      </w:r>
      <w:r>
        <w:t xml:space="preserve">dashboard view driven by the index (OBS-004);</w:t>
      </w:r>
    </w:p>
    <w:p>
      <w:pPr>
        <w:numPr>
          <w:ilvl w:val="0"/>
          <w:numId w:val="1004"/>
        </w:numPr>
        <w:pStyle w:val="Compact"/>
      </w:pPr>
      <w:r>
        <w:t xml:space="preserve">activation state by customer and priority wave, and failback-pending age (OBS-003/004).</w:t>
      </w:r>
      <w:r>
        <w:t xml:space="preserve"> </w:t>
      </w:r>
      <w:r>
        <w:rPr>
          <w:rStyle w:val="VerbatimChar"/>
        </w:rPr>
        <w:t xml:space="preserve">[Decided]</w:t>
      </w:r>
    </w:p>
    <w:bookmarkEnd w:id="27"/>
    <w:bookmarkStart w:id="28" w:name="consequences"/>
    <w:p>
      <w:pPr>
        <w:pStyle w:val="Heading2"/>
      </w:pPr>
      <w:r>
        <w:t xml:space="preserve">Consequences</w:t>
      </w:r>
    </w:p>
    <w:p>
      <w:pPr>
        <w:pStyle w:val="FirstParagraph"/>
      </w:pPr>
      <w:r>
        <w:rPr>
          <w:bCs/>
          <w:b/>
        </w:rPr>
        <w:t xml:space="preserve">Positive</w:t>
      </w:r>
    </w:p>
    <w:p>
      <w:pPr>
        <w:numPr>
          <w:ilvl w:val="0"/>
          <w:numId w:val="1005"/>
        </w:numPr>
        <w:pStyle w:val="Compact"/>
      </w:pPr>
      <w:r>
        <w:t xml:space="preserve">Removes fixed 30-40% idle standby as the default; distributed max-not-sum is materially cheaper.</w:t>
      </w:r>
      <w:r>
        <w:t xml:space="preserve"> </w:t>
      </w:r>
      <w:r>
        <w:rPr>
          <w:rStyle w:val="VerbatimChar"/>
        </w:rPr>
        <w:t xml:space="preserve">[Decided]</w:t>
      </w:r>
    </w:p>
    <w:p>
      <w:pPr>
        <w:numPr>
          <w:ilvl w:val="0"/>
          <w:numId w:val="1005"/>
        </w:numPr>
        <w:pStyle w:val="Compact"/>
      </w:pPr>
      <w:r>
        <w:t xml:space="preserve">Reuses the shared regional footprint (Prod/CVAL/DR reciprocal roles) instead of dedicated DR regions.</w:t>
      </w:r>
      <w:r>
        <w:t xml:space="preserve"> </w:t>
      </w:r>
      <w:r>
        <w:rPr>
          <w:rStyle w:val="VerbatimChar"/>
        </w:rPr>
        <w:t xml:space="preserve">[Decided]</w:t>
      </w:r>
    </w:p>
    <w:p>
      <w:pPr>
        <w:numPr>
          <w:ilvl w:val="0"/>
          <w:numId w:val="1005"/>
        </w:numPr>
        <w:pStyle w:val="Compact"/>
      </w:pPr>
      <w:r>
        <w:t xml:space="preserve">Makes activation deterministic and source-specific via the index and seed.</w:t>
      </w:r>
      <w:r>
        <w:t xml:space="preserve"> </w:t>
      </w:r>
      <w:r>
        <w:rPr>
          <w:rStyle w:val="VerbatimChar"/>
        </w:rPr>
        <w:t xml:space="preserve">[Decided]</w:t>
      </w:r>
    </w:p>
    <w:p>
      <w:pPr>
        <w:numPr>
          <w:ilvl w:val="0"/>
          <w:numId w:val="1005"/>
        </w:numPr>
        <w:pStyle w:val="Compact"/>
      </w:pPr>
      <w:r>
        <w:t xml:space="preserve">Pairs naturally with the single governed quota pool: the DR earmark is one line item inside the shared pool.</w:t>
      </w:r>
      <w:r>
        <w:t xml:space="preserve"> </w:t>
      </w:r>
      <w:r>
        <w:rPr>
          <w:rStyle w:val="VerbatimChar"/>
        </w:rPr>
        <w:t xml:space="preserve">[Derived]</w:t>
      </w:r>
    </w:p>
    <w:p>
      <w:pPr>
        <w:pStyle w:val="FirstParagraph"/>
      </w:pPr>
      <w:r>
        <w:rPr>
          <w:bCs/>
          <w:b/>
        </w:rPr>
        <w:t xml:space="preserve">Negative / trade-offs</w:t>
      </w:r>
    </w:p>
    <w:p>
      <w:pPr>
        <w:numPr>
          <w:ilvl w:val="0"/>
          <w:numId w:val="1006"/>
        </w:numPr>
        <w:pStyle w:val="Compact"/>
      </w:pPr>
      <w:r>
        <w:t xml:space="preserve">Under-protects genuinely concurrent multi-source failures unless SUM override or extra earmark is configured.</w:t>
      </w:r>
      <w:r>
        <w:t xml:space="preserve"> </w:t>
      </w:r>
      <w:r>
        <w:rPr>
          <w:rStyle w:val="VerbatimChar"/>
        </w:rPr>
        <w:t xml:space="preserve">[Derived]</w:t>
      </w:r>
    </w:p>
    <w:p>
      <w:pPr>
        <w:numPr>
          <w:ilvl w:val="0"/>
          <w:numId w:val="1006"/>
        </w:numPr>
        <w:pStyle w:val="Compact"/>
      </w:pPr>
      <w:r>
        <w:t xml:space="preserve">Requires the</w:t>
      </w:r>
      <w:r>
        <w:t xml:space="preserve"> </w:t>
      </w:r>
      <w:r>
        <w:rPr>
          <w:rStyle w:val="VerbatimChar"/>
        </w:rPr>
        <w:t xml:space="preserve">SourceDestinationDRIndex</w:t>
      </w:r>
      <w:r>
        <w:t xml:space="preserve"> </w:t>
      </w:r>
      <w:r>
        <w:t xml:space="preserve">to be kept fresh and consistent with seeds.</w:t>
      </w:r>
      <w:r>
        <w:t xml:space="preserve"> </w:t>
      </w:r>
      <w:r>
        <w:rPr>
          <w:rStyle w:val="VerbatimChar"/>
        </w:rPr>
        <w:t xml:space="preserve">[Decided]</w:t>
      </w:r>
    </w:p>
    <w:p>
      <w:pPr>
        <w:numPr>
          <w:ilvl w:val="0"/>
          <w:numId w:val="1006"/>
        </w:numPr>
        <w:pStyle w:val="Compact"/>
      </w:pPr>
      <w:r>
        <w:t xml:space="preserve">Overcommit visibility and safety ceilings depend on POC-011 evidence.</w:t>
      </w:r>
      <w:r>
        <w:t xml:space="preserve"> </w:t>
      </w:r>
      <w:r>
        <w:rPr>
          <w:rStyle w:val="VerbatimChar"/>
        </w:rPr>
        <w:t xml:space="preserve">[Assumed]</w:t>
      </w:r>
    </w:p>
    <w:p>
      <w:pPr>
        <w:numPr>
          <w:ilvl w:val="0"/>
          <w:numId w:val="1006"/>
        </w:numPr>
        <w:pStyle w:val="Compact"/>
      </w:pPr>
      <w:r>
        <w:t xml:space="preserve">Cross-geo cases add sovereignty/zone-alignment constraints to the mapping — and where sovereignty forbids DR entirely (the</w:t>
      </w:r>
      <w:r>
        <w:t xml:space="preserve"> </w:t>
      </w:r>
      <w:r>
        <w:rPr>
          <w:bCs/>
          <w:b/>
        </w:rPr>
        <w:t xml:space="preserve">Middle East, currently</w:t>
      </w:r>
      <w:r>
        <w:rPr>
          <w:bCs/>
          <w:b/>
        </w:rPr>
        <w:t xml:space="preserve"> </w:t>
      </w:r>
      <w:r>
        <w:rPr>
          <w:rStyle w:val="VerbatimChar"/>
          <w:bCs/>
          <w:b/>
        </w:rPr>
        <w:t xml:space="preserve">DR_NOT_OFFERED</w:t>
      </w:r>
      <w:r>
        <w:rPr>
          <w:bCs/>
          <w:b/>
        </w:rPr>
        <w:t xml:space="preserve"> </w:t>
      </w:r>
      <w:r>
        <w:rPr>
          <w:bCs/>
          <w:b/>
        </w:rPr>
        <w:t xml:space="preserve">pending DEC-001</w:t>
      </w:r>
      <w:r>
        <w:t xml:space="preserve">), the geography is excluded from the model altogether (see the Middle East DR Carve-Out above); the Switzerland North extension is pre-configured but inactive until legal approval.</w:t>
      </w:r>
      <w:r>
        <w:t xml:space="preserve"> </w:t>
      </w:r>
      <w:r>
        <w:rPr>
          <w:rStyle w:val="VerbatimChar"/>
        </w:rPr>
        <w:t xml:space="preserve">[Derived]</w:t>
      </w:r>
    </w:p>
    <w:bookmarkEnd w:id="28"/>
    <w:bookmarkStart w:id="29" w:name="alternatives-considered"/>
    <w:p>
      <w:pPr>
        <w:pStyle w:val="Heading2"/>
      </w:pPr>
      <w:r>
        <w:t xml:space="preserve">Alternatives Considered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Alternative</w:t>
            </w:r>
          </w:p>
        </w:tc>
        <w:tc>
          <w:tcPr/>
          <w:p>
            <w:pPr>
              <w:pStyle w:val="Compact"/>
              <w:jc w:val="left"/>
            </w:pPr>
            <w:r>
              <w:t xml:space="preserve">Disposition</w:t>
            </w:r>
          </w:p>
        </w:tc>
      </w:tr>
      <w:tr>
        <w:tc>
          <w:tcPr/>
          <w:p>
            <w:pPr>
              <w:pStyle w:val="Compact"/>
              <w:jc w:val="left"/>
            </w:pPr>
            <w:r>
              <w:t xml:space="preserve">Fixed 30-40% per-customer DR clone</w:t>
            </w:r>
          </w:p>
        </w:tc>
        <w:tc>
          <w:tcPr/>
          <w:p>
            <w:pPr>
              <w:pStyle w:val="Compact"/>
              <w:jc w:val="left"/>
            </w:pPr>
            <w:r>
              <w:t xml:space="preserve">Rejected as default — idle cost, ignores single-failure assumption.</w:t>
            </w:r>
            <w:r>
              <w:t xml:space="preserve"> </w:t>
            </w:r>
            <w:r>
              <w:rPr>
                <w:rStyle w:val="VerbatimChar"/>
              </w:rPr>
              <w:t xml:space="preserve">[Decided]</w:t>
            </w:r>
          </w:p>
        </w:tc>
      </w:tr>
      <w:tr>
        <w:tc>
          <w:tcPr/>
          <w:p>
            <w:pPr>
              <w:pStyle w:val="Compact"/>
              <w:jc w:val="left"/>
            </w:pPr>
            <w:r>
              <w:t xml:space="preserve">Dedicated DR-only regions</w:t>
            </w:r>
          </w:p>
        </w:tc>
        <w:tc>
          <w:tcPr/>
          <w:p>
            <w:pPr>
              <w:pStyle w:val="Compact"/>
              <w:jc w:val="left"/>
            </w:pPr>
            <w:r>
              <w:t xml:space="preserve">Rejected — wastes the reciprocal capacity already present in shared regions.</w:t>
            </w:r>
            <w:r>
              <w:t xml:space="preserve"> </w:t>
            </w:r>
            <w:r>
              <w:rPr>
                <w:rStyle w:val="VerbatimChar"/>
              </w:rPr>
              <w:t xml:space="preserve">[Decided]</w:t>
            </w:r>
          </w:p>
        </w:tc>
      </w:tr>
      <w:tr>
        <w:tc>
          <w:tcPr/>
          <w:p>
            <w:pPr>
              <w:pStyle w:val="Compact"/>
              <w:jc w:val="left"/>
            </w:pPr>
            <w:r>
              <w:t xml:space="preserve">Sum-of-sources destination sizing as default</w:t>
            </w:r>
          </w:p>
        </w:tc>
        <w:tc>
          <w:tcPr/>
          <w:p>
            <w:pPr>
              <w:pStyle w:val="Compact"/>
              <w:jc w:val="left"/>
            </w:pPr>
            <w:r>
              <w:t xml:space="preserve">Rejected as default; retained as configurable SUM override.</w:t>
            </w:r>
            <w:r>
              <w:t xml:space="preserve"> </w:t>
            </w:r>
            <w:r>
              <w:rPr>
                <w:rStyle w:val="VerbatimChar"/>
              </w:rPr>
              <w:t xml:space="preserve">[Decided]</w:t>
            </w:r>
          </w:p>
        </w:tc>
      </w:tr>
      <w:tr>
        <w:tc>
          <w:tcPr/>
          <w:p>
            <w:pPr>
              <w:pStyle w:val="Compact"/>
              <w:jc w:val="left"/>
            </w:pPr>
            <w:r>
              <w:t xml:space="preserve">Compute activation set by scanning all seeds at declaration</w:t>
            </w:r>
          </w:p>
        </w:tc>
        <w:tc>
          <w:tcPr/>
          <w:p>
            <w:pPr>
              <w:pStyle w:val="Compact"/>
              <w:jc w:val="left"/>
            </w:pPr>
            <w:r>
              <w:t xml:space="preserve">Rejected — too slow;</w:t>
            </w:r>
            <w:r>
              <w:t xml:space="preserve"> </w:t>
            </w:r>
            <w:r>
              <w:rPr>
                <w:rStyle w:val="VerbatimChar"/>
              </w:rPr>
              <w:t xml:space="preserve">SourceDestinationDRIndex</w:t>
            </w:r>
            <w:r>
              <w:t xml:space="preserve"> </w:t>
            </w:r>
            <w:r>
              <w:t xml:space="preserve">precomputes it.</w:t>
            </w:r>
            <w:r>
              <w:t xml:space="preserve"> </w:t>
            </w:r>
            <w:r>
              <w:rPr>
                <w:rStyle w:val="VerbatimChar"/>
              </w:rPr>
              <w:t xml:space="preserve">[Decided]</w:t>
            </w:r>
          </w:p>
        </w:tc>
      </w:tr>
      <w:tr>
        <w:tc>
          <w:tcPr/>
          <w:p>
            <w:pPr>
              <w:pStyle w:val="Compact"/>
              <w:jc w:val="left"/>
            </w:pPr>
            <w:r>
              <w:t xml:space="preserve">Earmark DR in a separate quota group</w:t>
            </w:r>
          </w:p>
        </w:tc>
        <w:tc>
          <w:tcPr/>
          <w:p>
            <w:pPr>
              <w:pStyle w:val="Compact"/>
              <w:jc w:val="left"/>
            </w:pPr>
            <w:r>
              <w:t xml:space="preserve">Rejected as default — single governed pool with a logical DR earmark is preferred (ADR-002).</w:t>
            </w:r>
            <w:r>
              <w:t xml:space="preserve"> </w:t>
            </w:r>
            <w:r>
              <w:rPr>
                <w:rStyle w:val="VerbatimChar"/>
              </w:rPr>
              <w:t xml:space="preserve">[Decided]</w:t>
            </w:r>
          </w:p>
        </w:tc>
      </w:tr>
    </w:tbl>
    <w:p>
      <w:r>
        <w:pict>
          <v:rect style="width:0;height:1.5pt" o:hralign="center" o:hrstd="t" o:hr="t"/>
        </w:pict>
      </w:r>
    </w:p>
    <w:bookmarkEnd w:id="29"/>
    <w:bookmarkStart w:id="30" w:name="appendix---adr-summary"/>
    <w:p>
      <w:pPr>
        <w:pStyle w:val="Heading2"/>
      </w:pPr>
      <w:r>
        <w:t xml:space="preserve">Appendix - ADR Summary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ADR</w:t>
            </w:r>
          </w:p>
        </w:tc>
        <w:tc>
          <w:tcPr/>
          <w:p>
            <w:pPr>
              <w:pStyle w:val="Compact"/>
              <w:jc w:val="left"/>
            </w:pPr>
            <w:r>
              <w:t xml:space="preserve">Requirements Applied</w:t>
            </w:r>
          </w:p>
        </w:tc>
        <w:tc>
          <w:tcPr/>
          <w:p>
            <w:pPr>
              <w:pStyle w:val="Compact"/>
              <w:jc w:val="left"/>
            </w:pPr>
            <w:r>
              <w:t xml:space="preserve">Key Open Items</w:t>
            </w:r>
          </w:p>
        </w:tc>
      </w:tr>
      <w:tr>
        <w:tc>
          <w:tcPr/>
          <w:p>
            <w:pPr>
              <w:pStyle w:val="Compact"/>
              <w:jc w:val="left"/>
            </w:pPr>
            <w:r>
              <w:t xml:space="preserve">ADR-005 Distributed DR Reference Model</w:t>
            </w:r>
          </w:p>
        </w:tc>
        <w:tc>
          <w:tcPr/>
          <w:p>
            <w:pPr>
              <w:pStyle w:val="Compact"/>
              <w:jc w:val="left"/>
            </w:pPr>
            <w:r>
              <w:t xml:space="preserve">DR-006/007/009/013/016..019, PLC-003..005/010, DAT-002/003, OBS-001..004</w:t>
            </w:r>
          </w:p>
        </w:tc>
        <w:tc>
          <w:tcPr/>
          <w:p>
            <w:pPr>
              <w:pStyle w:val="Compact"/>
              <w:jc w:val="left"/>
            </w:pPr>
            <w:r>
              <w:t xml:space="preserve">POC-006 topology; POC-007 bootstrap sizing; POC-011 overcommit safety ceiling; DEC-001 Middle East DR</w:t>
            </w:r>
          </w:p>
        </w:tc>
      </w:tr>
    </w:tbl>
    <w:bookmarkEnd w:id="30"/>
    <w:bookmarkStart w:id="31" w:name="appendix---status-legend"/>
    <w:p>
      <w:pPr>
        <w:pStyle w:val="Heading2"/>
      </w:pPr>
      <w:r>
        <w:t xml:space="preserve">Appendix - Status Legend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rPr>
                <w:bCs/>
                <w:b/>
              </w:rPr>
              <w:t xml:space="preserve">Proposed</w:t>
            </w:r>
          </w:p>
        </w:tc>
        <w:tc>
          <w:tcPr/>
          <w:p>
            <w:pPr>
              <w:pStyle w:val="Compact"/>
              <w:jc w:val="left"/>
            </w:pPr>
            <w:r>
              <w:t xml:space="preserve">Under discussion; not yet ratified</w:t>
            </w:r>
          </w:p>
        </w:tc>
      </w:tr>
      <w:tr>
        <w:tc>
          <w:tcPr/>
          <w:p>
            <w:pPr>
              <w:pStyle w:val="Compact"/>
              <w:jc w:val="left"/>
            </w:pPr>
            <w:r>
              <w:rPr>
                <w:bCs/>
                <w:b/>
              </w:rPr>
              <w:t xml:space="preserve">Accepted</w:t>
            </w:r>
          </w:p>
        </w:tc>
        <w:tc>
          <w:tcPr/>
          <w:p>
            <w:pPr>
              <w:pStyle w:val="Compact"/>
              <w:jc w:val="left"/>
            </w:pPr>
            <w:r>
              <w:t xml:space="preserve">Ratified and in force</w:t>
            </w:r>
          </w:p>
        </w:tc>
      </w:tr>
      <w:tr>
        <w:tc>
          <w:tcPr/>
          <w:p>
            <w:pPr>
              <w:pStyle w:val="Compact"/>
              <w:jc w:val="left"/>
            </w:pPr>
            <w:r>
              <w:rPr>
                <w:bCs/>
                <w:b/>
              </w:rPr>
              <w:t xml:space="preserve">Deprecated</w:t>
            </w:r>
          </w:p>
        </w:tc>
        <w:tc>
          <w:tcPr/>
          <w:p>
            <w:pPr>
              <w:pStyle w:val="Compact"/>
              <w:jc w:val="left"/>
            </w:pPr>
            <w:r>
              <w:t xml:space="preserve">No longer recommended but not yet replaced</w:t>
            </w:r>
          </w:p>
        </w:tc>
      </w:tr>
      <w:tr>
        <w:tc>
          <w:tcPr/>
          <w:p>
            <w:pPr>
              <w:pStyle w:val="Compact"/>
              <w:jc w:val="left"/>
            </w:pPr>
            <w:r>
              <w:rPr>
                <w:bCs/>
                <w:b/>
              </w:rPr>
              <w:t xml:space="preserve">Superseded</w:t>
            </w:r>
          </w:p>
        </w:tc>
        <w:tc>
          <w:tcPr/>
          <w:p>
            <w:pPr>
              <w:pStyle w:val="Compact"/>
              <w:jc w:val="left"/>
            </w:pPr>
            <w:r>
              <w:t xml:space="preserve">Replaced by a later ADR</w:t>
            </w:r>
          </w:p>
        </w:tc>
      </w:tr>
    </w:tbl>
    <w:bookmarkEnd w:id="31"/>
    <w:bookmarkStart w:id="32" w:name="appendix---evidence-tag-taxonomy"/>
    <w:p>
      <w:pPr>
        <w:pStyle w:val="Heading2"/>
      </w:pPr>
      <w:r>
        <w:t xml:space="preserve">Appendix - Evidence Tag Taxonomy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Tag</w:t>
            </w:r>
          </w:p>
        </w:tc>
        <w:tc>
          <w:tcPr/>
          <w:p>
            <w:pPr>
              <w:pStyle w:val="Compact"/>
              <w:jc w:val="left"/>
            </w:pPr>
            <w:r>
              <w:t xml:space="preserve">Meaning</w:t>
            </w:r>
          </w:p>
        </w:tc>
      </w:tr>
      <w:tr>
        <w:tc>
          <w:tcPr/>
          <w:p>
            <w:pPr>
              <w:pStyle w:val="Compact"/>
              <w:jc w:val="left"/>
            </w:pPr>
            <w:r>
              <w:rPr>
                <w:rStyle w:val="VerbatimChar"/>
              </w:rPr>
              <w:t xml:space="preserve">[Documented]</w:t>
            </w:r>
          </w:p>
        </w:tc>
        <w:tc>
          <w:tcPr/>
          <w:p>
            <w:pPr>
              <w:pStyle w:val="Compact"/>
              <w:jc w:val="left"/>
            </w:pPr>
            <w:r>
              <w:t xml:space="preserve">Traceable to Azure platform behaviour or documentation</w:t>
            </w:r>
          </w:p>
        </w:tc>
      </w:tr>
      <w:tr>
        <w:tc>
          <w:tcPr/>
          <w:p>
            <w:pPr>
              <w:pStyle w:val="Compact"/>
              <w:jc w:val="left"/>
            </w:pPr>
            <w:r>
              <w:rPr>
                <w:rStyle w:val="VerbatimChar"/>
              </w:rPr>
              <w:t xml:space="preserve">[Decided]</w:t>
            </w:r>
          </w:p>
        </w:tc>
        <w:tc>
          <w:tcPr/>
          <w:p>
            <w:pPr>
              <w:pStyle w:val="Compact"/>
              <w:jc w:val="left"/>
            </w:pPr>
            <w:r>
              <w:t xml:space="preserve">An explicit ACRME design choice recorded in this ADR set</w:t>
            </w:r>
          </w:p>
        </w:tc>
      </w:tr>
      <w:tr>
        <w:tc>
          <w:tcPr/>
          <w:p>
            <w:pPr>
              <w:pStyle w:val="Compact"/>
              <w:jc w:val="left"/>
            </w:pPr>
            <w:r>
              <w:rPr>
                <w:rStyle w:val="VerbatimChar"/>
              </w:rPr>
              <w:t xml:space="preserve">[Derived]</w:t>
            </w:r>
          </w:p>
        </w:tc>
        <w:tc>
          <w:tcPr/>
          <w:p>
            <w:pPr>
              <w:pStyle w:val="Compact"/>
              <w:jc w:val="left"/>
            </w:pPr>
            <w:r>
              <w:t xml:space="preserve">A logical consequence of a documented constraint or decision</w:t>
            </w:r>
          </w:p>
        </w:tc>
      </w:tr>
      <w:tr>
        <w:tc>
          <w:tcPr/>
          <w:p>
            <w:pPr>
              <w:pStyle w:val="Compact"/>
              <w:jc w:val="left"/>
            </w:pPr>
            <w:r>
              <w:rPr>
                <w:rStyle w:val="VerbatimChar"/>
              </w:rPr>
              <w:t xml:space="preserve">[Assumed]</w:t>
            </w:r>
          </w:p>
        </w:tc>
        <w:tc>
          <w:tcPr/>
          <w:p>
            <w:pPr>
              <w:pStyle w:val="Compact"/>
              <w:jc w:val="left"/>
            </w:pPr>
            <w:r>
              <w:t xml:space="preserve">Architectural judgement pending proof-of-concept validation</w:t>
            </w:r>
          </w:p>
        </w:tc>
      </w:tr>
    </w:tbl>
    <w:bookmarkEnd w:id="32"/>
    <w:bookmarkStart w:id="33" w:name="related-adrs"/>
    <w:p>
      <w:pPr>
        <w:pStyle w:val="Heading2"/>
      </w:pPr>
      <w:r>
        <w:t xml:space="preserve">Related ADRs</w:t>
      </w:r>
    </w:p>
    <w:p>
      <w:pPr>
        <w:numPr>
          <w:ilvl w:val="0"/>
          <w:numId w:val="1007"/>
        </w:numPr>
        <w:pStyle w:val="Compact"/>
      </w:pPr>
      <w:r>
        <w:rPr>
          <w:bCs/>
          <w:b/>
        </w:rPr>
        <w:t xml:space="preserve">ADR-001 - Region Selection and Customer Placement</w:t>
      </w:r>
      <w:r>
        <w:t xml:space="preserve"> </w:t>
      </w:r>
      <w:r>
        <w:t xml:space="preserve">(</w:t>
      </w:r>
      <w:r>
        <w:rPr>
          <w:rStyle w:val="VerbatimChar"/>
        </w:rPr>
        <w:t xml:space="preserve">acrme_adr_001_region_selection.md</w:t>
      </w:r>
      <w:r>
        <w:t xml:space="preserve">)</w:t>
      </w:r>
    </w:p>
    <w:p>
      <w:pPr>
        <w:numPr>
          <w:ilvl w:val="0"/>
          <w:numId w:val="1007"/>
        </w:numPr>
        <w:pStyle w:val="Compact"/>
      </w:pPr>
      <w:r>
        <w:rPr>
          <w:bCs/>
          <w:b/>
        </w:rPr>
        <w:t xml:space="preserve">ADR-002 - Quota and Capacity Management</w:t>
      </w:r>
      <w:r>
        <w:t xml:space="preserve"> </w:t>
      </w:r>
      <w:r>
        <w:t xml:space="preserve">(</w:t>
      </w:r>
      <w:r>
        <w:rPr>
          <w:rStyle w:val="VerbatimChar"/>
        </w:rPr>
        <w:t xml:space="preserve">acrme_adr_002_quota_and_capacity_management.md</w:t>
      </w:r>
      <w:r>
        <w:t xml:space="preserve">)</w:t>
      </w:r>
    </w:p>
    <w:p>
      <w:pPr>
        <w:numPr>
          <w:ilvl w:val="0"/>
          <w:numId w:val="1007"/>
        </w:numPr>
        <w:pStyle w:val="Compact"/>
      </w:pPr>
      <w:r>
        <w:rPr>
          <w:bCs/>
          <w:b/>
        </w:rPr>
        <w:t xml:space="preserve">ADR-003 - Capacity Management during Disaster Recovery (DR)</w:t>
      </w:r>
      <w:r>
        <w:t xml:space="preserve"> </w:t>
      </w:r>
      <w:r>
        <w:t xml:space="preserve">(</w:t>
      </w:r>
      <w:r>
        <w:rPr>
          <w:rStyle w:val="VerbatimChar"/>
        </w:rPr>
        <w:t xml:space="preserve">acrme_adr_003_capacity_management_during_dr.md</w:t>
      </w:r>
      <w:r>
        <w:t xml:space="preserve">)</w:t>
      </w:r>
    </w:p>
    <w:p>
      <w:pPr>
        <w:numPr>
          <w:ilvl w:val="0"/>
          <w:numId w:val="1007"/>
        </w:numPr>
        <w:pStyle w:val="Compact"/>
      </w:pPr>
      <w:r>
        <w:rPr>
          <w:bCs/>
          <w:b/>
        </w:rPr>
        <w:t xml:space="preserve">ADR-004 - Forecast, Reconciliation, and Increase of Capacity and Quota</w:t>
      </w:r>
      <w:r>
        <w:t xml:space="preserve"> </w:t>
      </w:r>
      <w:r>
        <w:t xml:space="preserve">(</w:t>
      </w:r>
      <w:r>
        <w:rPr>
          <w:rStyle w:val="VerbatimChar"/>
        </w:rPr>
        <w:t xml:space="preserve">acrme_adr_004_forecast_and_increase_of_capacity_and_quota.md</w:t>
      </w:r>
      <w:r>
        <w:t xml:space="preserve">)</w:t>
      </w:r>
    </w:p>
    <w:p>
      <w:r>
        <w:pict>
          <v:rect style="width:0;height:1.5pt" o:hralign="center" o:hrstd="t" o:hr="t"/>
        </w:pict>
      </w:r>
    </w:p>
    <w:p>
      <w:pPr>
        <w:pStyle w:val="FirstParagraph"/>
      </w:pPr>
      <w:r>
        <w:rPr>
          <w:bCs/>
          <w:b/>
        </w:rPr>
        <w:t xml:space="preserve">Document Status:</w:t>
      </w:r>
      <w:r>
        <w:t xml:space="preserve"> </w:t>
      </w:r>
      <w:r>
        <w:t xml:space="preserve">Accepted</w:t>
      </w:r>
      <w:r>
        <w:br/>
      </w:r>
      <w:r>
        <w:rPr>
          <w:bCs/>
          <w:b/>
        </w:rPr>
        <w:t xml:space="preserve">Next Review:</w:t>
      </w:r>
      <w:r>
        <w:t xml:space="preserve"> </w:t>
      </w:r>
      <w:r>
        <w:t xml:space="preserve">After POC-006, POC-007, POC-011, DEC-001, and first</w:t>
      </w:r>
      <w:r>
        <w:t xml:space="preserve"> </w:t>
      </w:r>
      <w:r>
        <w:rPr>
          <w:rStyle w:val="VerbatimChar"/>
        </w:rPr>
        <w:t xml:space="preserve">SourceDestinationDRIndex</w:t>
      </w:r>
      <w:r>
        <w:t xml:space="preserve"> </w:t>
      </w:r>
      <w:r>
        <w:t xml:space="preserve">implementation test.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2026-09-02T13:04:46Z</dcterms:created>
  <dcterms:modified xsi:type="dcterms:W3CDTF">2026-09-02T13:04:46Z</dcterms:modified>
</cp:coreProperties>
</file>

<file path=docProps/custom.xml><?xml version="1.0" encoding="utf-8"?>
<Properties xmlns="http://schemas.openxmlformats.org/officeDocument/2006/custom-properties" xmlns:vt="http://schemas.openxmlformats.org/officeDocument/2006/docPropsVTypes"/>
</file>