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7" w:name="acrme-complete-requirements-reference"/>
    <w:p>
      <w:pPr>
        <w:pStyle w:val="Heading1"/>
      </w:pPr>
      <w:r>
        <w:t xml:space="preserve">ACRME Complete Requirements Reference</w:t>
      </w:r>
    </w:p>
    <w:p>
      <w:pPr>
        <w:pStyle w:val="FirstParagraph"/>
      </w:pPr>
      <w:r>
        <w:t xml:space="preserve">This document consolidates</w:t>
      </w:r>
      <w:r>
        <w:t xml:space="preserve"> </w:t>
      </w:r>
      <w:r>
        <w:rPr>
          <w:bCs/>
          <w:b/>
        </w:rPr>
        <w:t xml:space="preserve">every requirement for the Azure Capacity Reservation Management Engine (ACRME)</w:t>
      </w:r>
      <w:r>
        <w:t xml:space="preserve">,</w:t>
      </w:r>
      <w:r>
        <w:t xml:space="preserve"> </w:t>
      </w:r>
      <w:r>
        <w:t xml:space="preserve">spanning Functional Requirements (FR), Non-Functional Requirements (NFR), and Placement-Specific Requirements (R),</w:t>
      </w:r>
      <w:r>
        <w:t xml:space="preserve"> </w:t>
      </w:r>
      <w:r>
        <w:t xml:space="preserve">organized by category with evidence of coverage and design maturity.</w:t>
      </w:r>
    </w:p>
    <w:p>
      <w:pPr>
        <w:pStyle w:val="BodyText"/>
      </w:pPr>
      <w:r>
        <w:rPr>
          <w:bCs/>
          <w:b/>
        </w:rPr>
        <w:t xml:space="preserve">Sources: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azure_cr_management_engine_design.md</w:t>
      </w:r>
      <w:r>
        <w:t xml:space="preserve"> </w:t>
      </w:r>
      <w:r>
        <w:t xml:space="preserve">(FR-1..8, NFR-1..7)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acrme_production_readiness_review_and_architecture.md</w:t>
      </w:r>
      <w:r>
        <w:t xml:space="preserve"> </w:t>
      </w:r>
      <w:r>
        <w:t xml:space="preserve">(Section 22 Must/Should/Could; cross-references to PRR)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acrme_requirements_traceability_review.md</w:t>
      </w:r>
      <w:r>
        <w:t xml:space="preserve"> </w:t>
      </w:r>
      <w:r>
        <w:t xml:space="preserve">(coverage matrix + blockers)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multi_region_placement_design.md</w:t>
      </w:r>
      <w:r>
        <w:t xml:space="preserve"> </w:t>
      </w:r>
      <w:r>
        <w:t xml:space="preserve">(Placement Requirements R1..R8, NFR-R1..R3)</w:t>
      </w:r>
    </w:p>
    <w:p>
      <w:pPr>
        <w:pStyle w:val="BlockText"/>
      </w:pPr>
      <w:r>
        <w:rPr>
          <w:bCs/>
          <w:b/>
        </w:rPr>
        <w:t xml:space="preserve">Classification:</w:t>
      </w:r>
      <w:r>
        <w:t xml:space="preserve"> </w:t>
      </w:r>
      <w:r>
        <w:t xml:space="preserve">Principal Cloud Architect — System Design</w:t>
      </w:r>
      <w:r>
        <w:br/>
      </w:r>
      <w:r>
        <w:rPr>
          <w:bCs/>
          <w:b/>
        </w:rPr>
        <w:t xml:space="preserve">Maturity:</w:t>
      </w:r>
      <w:r>
        <w:t xml:space="preserve"> </w:t>
      </w:r>
      <w:r>
        <w:t xml:space="preserve">Production Readiness Review Complete; POC-gated execution ready</w:t>
      </w:r>
    </w:p>
    <w:p>
      <w:r>
        <w:pict>
          <v:rect style="width:0;height:1.5pt" o:hralign="center" o:hrstd="t" o:hr="t"/>
        </w:pict>
      </w:r>
    </w:p>
    <w:bookmarkStart w:id="28" w:name="X8b4f24b83f46d372c28cef048befa992dd7deb0"/>
    <w:p>
      <w:pPr>
        <w:pStyle w:val="Heading2"/>
      </w:pPr>
      <w:r>
        <w:t xml:space="preserve">Part 1 — Functional Requirements (FR-1 through FR-8)</w:t>
      </w:r>
    </w:p>
    <w:bookmarkStart w:id="20" w:name="Xa3db987d70c0bc7510570bff63c439b486fb663"/>
    <w:p>
      <w:pPr>
        <w:pStyle w:val="Heading3"/>
      </w:pPr>
      <w:r>
        <w:t xml:space="preserve">FR-1 — Capacity Reservation Lifecycle Management</w:t>
      </w:r>
    </w:p>
    <w:p>
      <w:pPr>
        <w:pStyle w:val="FirstParagraph"/>
      </w:pPr>
      <w:r>
        <w:t xml:space="preserve">Manages the full CRUD lifecycle of Capacity Reservation Groups (CRGs) and Capacity Reservations (CRs) across</w:t>
      </w:r>
      <w:r>
        <w:t xml:space="preserve"> </w:t>
      </w:r>
      <w:r>
        <w:t xml:space="preserve">the Azure estate at</w:t>
      </w:r>
      <w:r>
        <w:t xml:space="preserve"> </w:t>
      </w:r>
      <w:r>
        <w:rPr>
          <w:rStyle w:val="VerbatimChar"/>
        </w:rPr>
        <w:t xml:space="preserve">api-version=2024-03-01</w:t>
      </w:r>
      <w:r>
        <w:t xml:space="preserve"> </w:t>
      </w:r>
      <w:r>
        <w:t xml:space="preserve">or later.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FR-1.1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CRG create, read, update, delete via Azure Compute REST API at API version 2024-03-01+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COVERED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EPIC-02</w:t>
            </w:r>
            <w:r>
              <w:t xml:space="preserve"> </w:t>
            </w:r>
            <w:r>
              <w:t xml:space="preserve">(Provisioning Engine); API endpoints:</w:t>
            </w:r>
            <w:r>
              <w:t xml:space="preserve"> </w:t>
            </w:r>
            <w:r>
              <w:rPr>
                <w:rStyle w:val="VerbatimChar"/>
              </w:rPr>
              <w:t xml:space="preserve">POST/GET/PATCH/DELETE /api/v1/crgs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FR-1.2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 create, read, update, delete within managed CRGs; support quantity modification without VM disruption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COVERED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EPIC-02</w:t>
            </w:r>
            <w:r>
              <w:t xml:space="preserve"> </w:t>
            </w:r>
            <w:r>
              <w:t xml:space="preserve">stories E02-S03, E02-S04;</w:t>
            </w:r>
            <w:r>
              <w:t xml:space="preserve"> </w:t>
            </w:r>
            <w:r>
              <w:rPr>
                <w:rStyle w:val="VerbatimChar"/>
              </w:rPr>
              <w:t xml:space="preserve">PATCH /crgs/{id}/reservations/{cr_id}</w:t>
            </w:r>
            <w:r>
              <w:t xml:space="preserve"> </w:t>
            </w:r>
            <w:r>
              <w:t xml:space="preserve">accepts new quantity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FR-1.3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Zero-size reservation pattern: create CRs at</w:t>
            </w:r>
            <w:r>
              <w:t xml:space="preserve"> </w:t>
            </w:r>
            <w:r>
              <w:rPr>
                <w:rStyle w:val="VerbatimChar"/>
              </w:rPr>
              <w:t xml:space="preserve">quantity=0</w:t>
            </w:r>
            <w:r>
              <w:t xml:space="preserve">, increment as VMs associate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E02-S07; CapacityReservation.desired_quantity permits 0; P1 backlog item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FR-1.4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Track</w:t>
            </w:r>
            <w:r>
              <w:t xml:space="preserve"> </w:t>
            </w:r>
            <w:r>
              <w:rPr>
                <w:rStyle w:val="VerbatimChar"/>
              </w:rPr>
              <w:t xml:space="preserve">allocated</w:t>
            </w:r>
            <w:r>
              <w:t xml:space="preserve"> </w:t>
            </w:r>
            <w:r>
              <w:t xml:space="preserve">(VMs currently associated) vs</w:t>
            </w:r>
            <w:r>
              <w:t xml:space="preserve"> </w:t>
            </w:r>
            <w:r>
              <w:rPr>
                <w:rStyle w:val="VerbatimChar"/>
              </w:rPr>
              <w:t xml:space="preserve">quantity</w:t>
            </w:r>
            <w:r>
              <w:t xml:space="preserve"> </w:t>
            </w:r>
            <w:r>
              <w:t xml:space="preserve">(reserved capacity) independently; alert on overallocation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CapacityReservation entity; E05-S06 (Overallocation Detection);</w:t>
            </w:r>
            <w:r>
              <w:t xml:space="preserve"> </w:t>
            </w:r>
            <w:r>
              <w:rPr>
                <w:rStyle w:val="VerbatimChar"/>
              </w:rPr>
              <w:t xml:space="preserve">GET .../utilization</w:t>
            </w:r>
            <w:r>
              <w:t xml:space="preserve"> </w:t>
            </w:r>
            <w:r>
              <w:t xml:space="preserve">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FR-1.5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Enforce CR deletion sequencing: disassociate all VMs → delete all CRs → delete CRG; reject out-of-order deletes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E02-S05, E02-S06; cascade validation guards in Provisioning Service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FR-1.6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 CR quantity reduction; enforce floor constraint (</w:t>
            </w:r>
            <w:r>
              <w:rPr>
                <w:rStyle w:val="VerbatimChar"/>
              </w:rPr>
              <w:t xml:space="preserve">quantity ≥ allocated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E02-S04; floor validation guard prevents reduction below allocated count</w:t>
            </w:r>
          </w:p>
        </w:tc>
      </w:tr>
    </w:tbl>
    <w:p>
      <w:pPr>
        <w:pStyle w:val="BodyText"/>
      </w:pPr>
      <w:r>
        <w:rPr>
          <w:bCs/>
          <w:b/>
        </w:rPr>
        <w:t xml:space="preserve">FR-1 Verdict:</w:t>
      </w:r>
      <w:r>
        <w:t xml:space="preserve"> </w:t>
      </w:r>
      <w:r>
        <w:t xml:space="preserve">✅</w:t>
      </w:r>
      <w:r>
        <w:t xml:space="preserve"> </w:t>
      </w:r>
      <w:r>
        <w:rPr>
          <w:bCs/>
          <w:b/>
        </w:rPr>
        <w:t xml:space="preserve">6/6 covered — Fully Implemented</w:t>
      </w:r>
    </w:p>
    <w:p>
      <w:r>
        <w:pict>
          <v:rect style="width:0;height:1.5pt" o:hralign="center" o:hrstd="t" o:hr="t"/>
        </w:pict>
      </w:r>
    </w:p>
    <w:bookmarkEnd w:id="20"/>
    <w:bookmarkStart w:id="21" w:name="Xc2b084485cac901237aba2d5f683c74d970bf43"/>
    <w:p>
      <w:pPr>
        <w:pStyle w:val="Heading3"/>
      </w:pPr>
      <w:r>
        <w:t xml:space="preserve">FR-2 — Capacity Reservation Sharing Management</w:t>
      </w:r>
    </w:p>
    <w:p>
      <w:pPr>
        <w:pStyle w:val="FirstParagraph"/>
      </w:pPr>
      <w:r>
        <w:t xml:space="preserve">Orchestrates the three-step RBAC setup for Provider-Consumer CRG sharing, managing subscription membership</w:t>
      </w:r>
      <w:r>
        <w:t xml:space="preserve"> </w:t>
      </w:r>
      <w:r>
        <w:t xml:space="preserve">and enforcing constraints.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FR-2.1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</w:t>
            </w:r>
            <w:r>
              <w:t xml:space="preserve"> </w:t>
            </w:r>
            <w:r>
              <w:rPr>
                <w:rStyle w:val="VerbatimChar"/>
              </w:rPr>
              <w:t xml:space="preserve">sharingProfile.subscriptionIds</w:t>
            </w:r>
            <w:r>
              <w:t xml:space="preserve">: add, remove, list Consumer subscriptions on CRGs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COVERED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EPIC-04</w:t>
            </w:r>
            <w:r>
              <w:t xml:space="preserve"> </w:t>
            </w:r>
            <w:r>
              <w:t xml:space="preserve">(Sharing Management);</w:t>
            </w:r>
            <w:r>
              <w:t xml:space="preserve"> </w:t>
            </w:r>
            <w:r>
              <w:rPr>
                <w:rStyle w:val="VerbatimChar"/>
              </w:rPr>
              <w:t xml:space="preserve">POST/GET/DELETE /crgs/{id}/consumers</w:t>
            </w:r>
            <w:r>
              <w:t xml:space="preserve">; updates ARM sharingProfile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FR-2.2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Orchestrate complete three-step RBAC setup for each Provider-Consumer pair: (1) grant Provider</w:t>
            </w:r>
            <w:r>
              <w:t xml:space="preserve"> </w:t>
            </w:r>
            <w:r>
              <w:rPr>
                <w:rStyle w:val="VerbatimChar"/>
              </w:rPr>
              <w:t xml:space="preserve">deploy/action</w:t>
            </w:r>
            <w:r>
              <w:t xml:space="preserve"> </w:t>
            </w:r>
            <w:r>
              <w:t xml:space="preserve">on Consumer sub, (2) add Consumer to CRG sharingProfile, (3) grant Consumer identity read +</w:t>
            </w:r>
            <w:r>
              <w:t xml:space="preserve"> </w:t>
            </w:r>
            <w:r>
              <w:rPr>
                <w:rStyle w:val="VerbatimChar"/>
              </w:rPr>
              <w:t xml:space="preserve">deploy/action</w:t>
            </w:r>
            <w:r>
              <w:t xml:space="preserve"> </w:t>
            </w:r>
            <w:r>
              <w:t xml:space="preserve">on CRG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E04-S02, E04-S06 (RBAC Orchestration); three-step sequence in SharingService; atomic guard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FR-2.3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Enforce 100-Consumer-per-CRG limit; return structured error with remediation when limit reached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E04-S01 (Constraint Validation); CRG.max_consumer_count = 100; HC-2 hard constraint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FR-2.4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</w:t>
            </w:r>
            <w:r>
              <w:t xml:space="preserve"> </w:t>
            </w:r>
            <w:r>
              <w:rPr>
                <w:rStyle w:val="VerbatimChar"/>
              </w:rPr>
              <w:t xml:space="preserve">Microsoft.Compute</w:t>
            </w:r>
            <w:r>
              <w:t xml:space="preserve"> </w:t>
            </w:r>
            <w:r>
              <w:t xml:space="preserve">provider registration in all Consumer subscriptions before completing sharing setup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E04-S07 (Provider Registration Validation); pre-gate in onboarding workflow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FR-2.5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 safe unsharing: detect active Consumer VM associations before removal; require explicit force-override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E04-S03 (Safe Unsharing); check allocated count before removal; warn on forced unsharing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FR-2.6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Warn operators when forced unsharing is requested with active Consumer VMs citing silent hazard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E04-S03; alert</w:t>
            </w:r>
            <w:r>
              <w:t xml:space="preserve"> </w:t>
            </w:r>
            <w:r>
              <w:rPr>
                <w:rStyle w:val="VerbatimChar"/>
              </w:rPr>
              <w:t xml:space="preserve">ForceUnsharingWithActiveVMs</w:t>
            </w:r>
            <w:r>
              <w:t xml:space="preserve"> </w:t>
            </w:r>
            <w:r>
              <w:t xml:space="preserve">(Warning severity)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FR-2.7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Maintain current and historical sharing profile state per CRG; record timestamps of add/remove operations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SharingRelationship entity; audit log; E04-S09 (History Tracking)</w:t>
            </w:r>
          </w:p>
        </w:tc>
      </w:tr>
    </w:tbl>
    <w:p>
      <w:pPr>
        <w:pStyle w:val="BodyText"/>
      </w:pPr>
      <w:r>
        <w:rPr>
          <w:bCs/>
          <w:b/>
        </w:rPr>
        <w:t xml:space="preserve">FR-2 Verdict:</w:t>
      </w:r>
      <w:r>
        <w:t xml:space="preserve"> </w:t>
      </w:r>
      <w:r>
        <w:t xml:space="preserve">✅</w:t>
      </w:r>
      <w:r>
        <w:t xml:space="preserve"> </w:t>
      </w:r>
      <w:r>
        <w:rPr>
          <w:bCs/>
          <w:b/>
        </w:rPr>
        <w:t xml:space="preserve">7/7 covered — Fully Implemented</w:t>
      </w:r>
    </w:p>
    <w:p>
      <w:r>
        <w:pict>
          <v:rect style="width:0;height:1.5pt" o:hralign="center" o:hrstd="t" o:hr="t"/>
        </w:pict>
      </w:r>
    </w:p>
    <w:bookmarkEnd w:id="21"/>
    <w:bookmarkStart w:id="22" w:name="X0cbe30bb7eeb03c558726a29e99e09ae667d68b"/>
    <w:p>
      <w:pPr>
        <w:pStyle w:val="Heading3"/>
      </w:pPr>
      <w:r>
        <w:t xml:space="preserve">FR-3 — Availability Zone Mapping Management</w:t>
      </w:r>
    </w:p>
    <w:p>
      <w:pPr>
        <w:pStyle w:val="FirstParagraph"/>
      </w:pPr>
      <w:r>
        <w:t xml:space="preserve">Discovers, stores, and resolves logical-to-physical zone mappings across Provider-Consumer subscription pairs.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FR-3.1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Discover and store logical-to-physical zone mapping for every managed subscription in every managed region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COVERED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EPIC-09</w:t>
            </w:r>
            <w:r>
              <w:t xml:space="preserve"> </w:t>
            </w:r>
            <w:r>
              <w:t xml:space="preserve">(Zone Management); ZoneMappingService; E09-S01 (Discovery)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FR-3.2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Check Zone Peers API to compute cross-subscription zone equivalence for all Provider-Consumer pairs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E09-S02 (Cross-Subscription Equivalence); stores in zone mapping registry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FR-3.3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Maintain zone mapping registry:</w:t>
            </w:r>
            <w:r>
              <w:t xml:space="preserve"> </w:t>
            </w:r>
            <w:r>
              <w:rPr>
                <w:rStyle w:val="VerbatimChar"/>
              </w:rPr>
              <w:t xml:space="preserve">(provider_sub_id, region, provider_zone) → [(consumer_sub_id, consumer_zone)]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ZoneMappingRecord entity (Cosmos DB); E09-S01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FR-3.4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Automatically resolve correct Consumer logical zone when accepting VM deployment against shared CRG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E09-S03 (Zone Resolution); used in placement decision tree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FR-3.5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Detect and reject VM deployment where Consumer zone does not map to same physical zone as target CR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E09-S04 (Zone Mismatch Rejection); hard constraint HC-8 (ZONE_ALIGNMENT)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FR-3.6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Refresh zone mappings on configurable schedule and on new subscription onboarding 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E09-S05 (Scheduled Refresh); refresh cadence in</w:t>
            </w:r>
            <w:r>
              <w:t xml:space="preserve"> </w:t>
            </w:r>
            <w:r>
              <w:rPr>
                <w:rStyle w:val="VerbatimChar"/>
              </w:rPr>
              <w:t xml:space="preserve">PlacementPolicy</w:t>
            </w:r>
            <w:r>
              <w:t xml:space="preserve">; triggered on onboarding</w:t>
            </w:r>
          </w:p>
        </w:tc>
      </w:tr>
    </w:tbl>
    <w:p>
      <w:pPr>
        <w:pStyle w:val="BodyText"/>
      </w:pPr>
      <w:r>
        <w:rPr>
          <w:bCs/>
          <w:b/>
        </w:rPr>
        <w:t xml:space="preserve">FR-3 Verdict:</w:t>
      </w:r>
      <w:r>
        <w:t xml:space="preserve"> </w:t>
      </w:r>
      <w:r>
        <w:t xml:space="preserve">✅</w:t>
      </w:r>
      <w:r>
        <w:t xml:space="preserve"> </w:t>
      </w:r>
      <w:r>
        <w:rPr>
          <w:bCs/>
          <w:b/>
        </w:rPr>
        <w:t xml:space="preserve">6/6 covered — Fully Implemented</w:t>
      </w:r>
    </w:p>
    <w:p>
      <w:r>
        <w:pict>
          <v:rect style="width:0;height:1.5pt" o:hralign="center" o:hrstd="t" o:hr="t"/>
        </w:pict>
      </w:r>
    </w:p>
    <w:bookmarkEnd w:id="22"/>
    <w:bookmarkStart w:id="23" w:name="fr-4-quota-management"/>
    <w:p>
      <w:pPr>
        <w:pStyle w:val="Heading3"/>
      </w:pPr>
      <w:r>
        <w:t xml:space="preserve">FR-4 — Quota Management</w:t>
      </w:r>
    </w:p>
    <w:p>
      <w:pPr>
        <w:pStyle w:val="FirstParagraph"/>
      </w:pPr>
      <w:r>
        <w:t xml:space="preserve">Queries, tracks, and enforces quota constraints across managed subscriptions and quota groups.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FR-4.1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Query and store regional compute quota (</w:t>
            </w:r>
            <w:r>
              <w:rPr>
                <w:rStyle w:val="VerbatimChar"/>
              </w:rPr>
              <w:t xml:space="preserve">currentValue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limit</w:t>
            </w:r>
            <w:r>
              <w:t xml:space="preserve">) for all tracked VM SKUs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COVERED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EPIC-03</w:t>
            </w:r>
            <w:r>
              <w:t xml:space="preserve"> </w:t>
            </w:r>
            <w:r>
              <w:t xml:space="preserve">(Quota Management); E03-S01 (Quota Discovery); QuotaRecord entity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FR-4.2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Calculate and expose derived quota metrics: available = limit − current; committed = Σ(CR qty × vCPU); headroom; overcommit flag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E03-S02 (Quota Metrics); RegionalSnapshot.quota_fields;</w:t>
            </w:r>
            <w:r>
              <w:t xml:space="preserve"> </w:t>
            </w:r>
            <w:r>
              <w:rPr>
                <w:rStyle w:val="VerbatimChar"/>
              </w:rPr>
              <w:t xml:space="preserve">GET /quota/{region}</w:t>
            </w:r>
            <w:r>
              <w:t xml:space="preserve"> </w:t>
            </w:r>
            <w:r>
              <w:t xml:space="preserve">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FR-4.3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Detect quota exhaustion before CR creation; block and return pre-validation failure with remediation guidance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E03-S05 (Pre-Validation); hard constraint HC-3 (QUOTA_FLOOR); placement gate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FR-4.4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Initiate Azure quota increase requests via Support REST API when thresholds breached; subject to operator approval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E03-S06 (Quota Increase Workflow); operator approval gate in Phase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FR-4.5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Track Consumer quota independently; warn when Consumer available quota insufficient for implied VM deployment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E03-S05 (Consumer Quota Validation); quota pre-check before placement recommendation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FR-4.6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Unified quota dashboard across all managed subscriptions: aggregate reserved, consumed, available per region, zone, SKU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COVERED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EPIC-11</w:t>
            </w:r>
            <w:r>
              <w:t xml:space="preserve"> </w:t>
            </w:r>
            <w:r>
              <w:t xml:space="preserve">(Observability); E11-S02 (Grafana Dashboards);</w:t>
            </w:r>
            <w:r>
              <w:t xml:space="preserve"> </w:t>
            </w:r>
            <w:r>
              <w:rPr>
                <w:rStyle w:val="VerbatimChar"/>
              </w:rPr>
              <w:t xml:space="preserve">GET /dashboards/quota-overview</w:t>
            </w:r>
          </w:p>
        </w:tc>
      </w:tr>
    </w:tbl>
    <w:p>
      <w:pPr>
        <w:pStyle w:val="BodyText"/>
      </w:pPr>
      <w:r>
        <w:rPr>
          <w:bCs/>
          <w:b/>
        </w:rPr>
        <w:t xml:space="preserve">FR-4 Verdict:</w:t>
      </w:r>
      <w:r>
        <w:t xml:space="preserve"> </w:t>
      </w:r>
      <w:r>
        <w:t xml:space="preserve">✅</w:t>
      </w:r>
      <w:r>
        <w:t xml:space="preserve"> </w:t>
      </w:r>
      <w:r>
        <w:rPr>
          <w:bCs/>
          <w:b/>
        </w:rPr>
        <w:t xml:space="preserve">6/6 covered — Fully Implemented</w:t>
      </w:r>
    </w:p>
    <w:p>
      <w:r>
        <w:pict>
          <v:rect style="width:0;height:1.5pt" o:hralign="center" o:hrstd="t" o:hr="t"/>
        </w:pict>
      </w:r>
    </w:p>
    <w:bookmarkEnd w:id="23"/>
    <w:bookmarkStart w:id="24" w:name="Xbe483d6850d1d944bf1ee96dc1b35b6706b3dcf"/>
    <w:p>
      <w:pPr>
        <w:pStyle w:val="Heading3"/>
      </w:pPr>
      <w:r>
        <w:t xml:space="preserve">FR-5 — Disaster Recovery Failover Management</w:t>
      </w:r>
    </w:p>
    <w:p>
      <w:pPr>
        <w:pStyle w:val="FirstParagraph"/>
      </w:pPr>
      <w:r>
        <w:t xml:space="preserve">Manages pre-positioned DR capacity pairs, failover triggering, and failback orchestration.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FR-5.1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 definition of DR capacity pairs:</w:t>
            </w:r>
            <w:r>
              <w:t xml:space="preserve"> </w:t>
            </w:r>
            <w:r>
              <w:rPr>
                <w:rStyle w:val="VerbatimChar"/>
              </w:rPr>
              <w:t xml:space="preserve">(primary_crg, dr_crg)</w:t>
            </w:r>
            <w:r>
              <w:t xml:space="preserve"> </w:t>
            </w:r>
            <w:r>
              <w:t xml:space="preserve">where DR CRG is pre-positioned shared reserve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COVERED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EPIC-06</w:t>
            </w:r>
            <w:r>
              <w:t xml:space="preserve"> </w:t>
            </w:r>
            <w:r>
              <w:t xml:space="preserve">(DR Management); DRCapacityPair entity; E06-S01 (Pair Definition)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FR-5.2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 DR CRG sharing profiles; ensure DR Consumer has correct RBAC and zone mapping at all times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E06-S02 (DR Pair Setup); pre-positions sharing before failover event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FR-5.3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 failover trigger: validate DR CRG capacity, initiate bulk VM deployment from DR Consumer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E06-S03 (Failover Trigger); pre-gated by state machine (EngineModeState); requires DR_EVENT_ACTIVE mode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FR-5.4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 failback trigger: deallocate DR VMs, restore primary CRG to pre-failover config, record failback metadata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E06-S04 (Failback Trigger); state transition FAILBACK_PENDING → STEADY_STATE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FR-5.5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 DR CRG capacity continuously; alert if DR reserved capacity consumed in steady-state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E05-S01 (Reconciliation Engine); alert</w:t>
            </w:r>
            <w:r>
              <w:t xml:space="preserve"> </w:t>
            </w:r>
            <w:r>
              <w:rPr>
                <w:rStyle w:val="VerbatimChar"/>
              </w:rPr>
              <w:t xml:space="preserve">UnauthorizedDRConsumption</w:t>
            </w:r>
            <w:r>
              <w:t xml:space="preserve"> </w:t>
            </w:r>
            <w:r>
              <w:t xml:space="preserve">(Critical)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FR-5.6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Enforce minimum DR capacity floor per destination region; alert when quota changes would violate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E03-S11 (DR Floor Enforcement); HC-6, HC-7;</w:t>
            </w:r>
            <w:r>
              <w:t xml:space="preserve"> </w:t>
            </w:r>
            <w:r>
              <w:rPr>
                <w:bCs/>
                <w:b/>
              </w:rPr>
              <w:t xml:space="preserve">max-not-sum</w:t>
            </w:r>
            <w:r>
              <w:t xml:space="preserve"> </w:t>
            </w:r>
            <w:r>
              <w:t xml:space="preserve">floor</w:t>
            </w:r>
            <w:r>
              <w:t xml:space="preserve"> </w:t>
            </w:r>
            <w:r>
              <w:rPr>
                <w:rStyle w:val="VerbatimChar"/>
              </w:rPr>
              <w:t xml:space="preserve">DR_Floor_vCPU(R) = Destination_DR_Requirement(R) × vCPU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w:r>
              <w:rPr>
                <w:rStyle w:val="VerbatimChar"/>
              </w:rPr>
              <w:t xml:space="preserve">Destination_DR_Requirement(R) = MAX(source portions)</w:t>
            </w:r>
            <w:r>
              <w:t xml:space="preserve"> </w:t>
            </w:r>
            <w:r>
              <w:t xml:space="preserve">(A.6/DR-017); per-workload configurable DR bootstrap (DR-007). Fixed</w:t>
            </w:r>
            <w:r>
              <w:t xml:space="preserve"> </w:t>
            </w:r>
            <w:r>
              <w:rPr>
                <w:rStyle w:val="VerbatimChar"/>
              </w:rPr>
              <w:t xml:space="preserve">dr_ratio_*</w:t>
            </w:r>
            <w:r>
              <w:t xml:space="preserve"> </w:t>
            </w:r>
            <w:r>
              <w:t xml:space="preserve">(30–40%) model</w:t>
            </w:r>
            <w:r>
              <w:t xml:space="preserve"> </w:t>
            </w:r>
            <w:r>
              <w:rPr>
                <w:bCs/>
                <w:b/>
              </w:rPr>
              <w:t xml:space="preserve">retired</w:t>
            </w:r>
            <w:r>
              <w:t xml:space="preserve"> </w:t>
            </w:r>
            <w:r>
              <w:t xml:space="preserve">— see Calc Logic Reference Scenario 15 → 17.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FR-5.7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 cross-region DR pair definitions with separate CRGs per region, independent sharing profiles and zone mappings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E06-S01, E06-S05 (Cross-Region DR);</w:t>
            </w:r>
            <w:r>
              <w:t xml:space="preserve"> </w:t>
            </w:r>
            <w:r>
              <w:rPr>
                <w:bCs/>
                <w:b/>
              </w:rPr>
              <w:t xml:space="preserve">[v2.4]</w:t>
            </w:r>
            <w:r>
              <w:t xml:space="preserve"> </w:t>
            </w:r>
            <w:r>
              <w:t xml:space="preserve">Middle East cross-geo DR into Europe (DR-020, PLC-010b)</w:t>
            </w:r>
          </w:p>
        </w:tc>
      </w:tr>
    </w:tbl>
    <w:p>
      <w:pPr>
        <w:pStyle w:val="BodyText"/>
      </w:pPr>
      <w:r>
        <w:rPr>
          <w:bCs/>
          <w:b/>
        </w:rPr>
        <w:t xml:space="preserve">FR-5 Verdict:</w:t>
      </w:r>
      <w:r>
        <w:t xml:space="preserve"> </w:t>
      </w:r>
      <w:r>
        <w:t xml:space="preserve">✅</w:t>
      </w:r>
      <w:r>
        <w:t xml:space="preserve"> </w:t>
      </w:r>
      <w:r>
        <w:rPr>
          <w:bCs/>
          <w:b/>
        </w:rPr>
        <w:t xml:space="preserve">7/7 covered — Fully Implemented</w:t>
      </w:r>
    </w:p>
    <w:p>
      <w:r>
        <w:pict>
          <v:rect style="width:0;height:1.5pt" o:hralign="center" o:hrstd="t" o:hr="t"/>
        </w:pict>
      </w:r>
    </w:p>
    <w:bookmarkEnd w:id="24"/>
    <w:bookmarkStart w:id="25" w:name="fr-6-regional-placement-decisions"/>
    <w:p>
      <w:pPr>
        <w:pStyle w:val="Heading3"/>
      </w:pPr>
      <w:r>
        <w:t xml:space="preserve">FR-6 — Regional Placement Decisions</w:t>
      </w:r>
    </w:p>
    <w:p>
      <w:pPr>
        <w:pStyle w:val="FirstParagraph"/>
      </w:pPr>
      <w:r>
        <w:t xml:space="preserve">Evaluates VM placement against multi-dimensional constraints and returns ranked recommendations.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FR-6.1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Evaluate placement against: AZ physical alignment, CR capacity, Consumer quota headroom, SKU availability, cost, DR buffer 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COVERED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EPIC-08</w:t>
            </w:r>
            <w:r>
              <w:t xml:space="preserve"> </w:t>
            </w:r>
            <w:r>
              <w:t xml:space="preserve">(Placement Engine); E08-S01 through E08-S04; placement decision tree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FR-6.2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Return ranked list of valid placements when multiple CRGs/regions satisfy constraints, ordered by configurable 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E08-S05 (Policy-Driven Ranking);</w:t>
            </w:r>
            <w:r>
              <w:t xml:space="preserve"> </w:t>
            </w:r>
            <w:r>
              <w:rPr>
                <w:rStyle w:val="VerbatimChar"/>
              </w:rPr>
              <w:t xml:space="preserve">argmax(PS_Prod)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argmax(PS_NonProd)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argmax(PS_DR)</w:t>
            </w:r>
            <w:r>
              <w:t xml:space="preserve"> </w:t>
            </w:r>
            <w:r>
              <w:t xml:space="preserve">scoring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FR-6.3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Enforce placement policies as code: operators define placement rules as structured policy documents; engine evaluates against policy DAG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PlacementPolicy entity; version-controlled config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FR-6.4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Detect single-zone dependency (all VMs in same physical zone) and warn operator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E08-S06 (Zone Diversity Warning); alert</w:t>
            </w:r>
            <w:r>
              <w:t xml:space="preserve"> </w:t>
            </w:r>
            <w:r>
              <w:rPr>
                <w:rStyle w:val="VerbatimChar"/>
              </w:rPr>
              <w:t xml:space="preserve">SingleZoneDependency</w:t>
            </w:r>
            <w:r>
              <w:t xml:space="preserve"> </w:t>
            </w:r>
            <w:r>
              <w:t xml:space="preserve">(Warning)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FR-6.5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Surface SKU availability constraints per region and zone; integrate Azure Compute SKU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E08-S03 (SKU Availability); RegionalSnapshot.sku_availability_flags</w:t>
            </w:r>
          </w:p>
        </w:tc>
      </w:tr>
    </w:tbl>
    <w:p>
      <w:pPr>
        <w:pStyle w:val="BodyText"/>
      </w:pPr>
      <w:r>
        <w:rPr>
          <w:bCs/>
          <w:b/>
        </w:rPr>
        <w:t xml:space="preserve">FR-6 Verdict:</w:t>
      </w:r>
      <w:r>
        <w:t xml:space="preserve"> </w:t>
      </w:r>
      <w:r>
        <w:t xml:space="preserve">✅</w:t>
      </w:r>
      <w:r>
        <w:t xml:space="preserve"> </w:t>
      </w:r>
      <w:r>
        <w:rPr>
          <w:bCs/>
          <w:b/>
        </w:rPr>
        <w:t xml:space="preserve">5/5 covered — Fully Implemented</w:t>
      </w:r>
    </w:p>
    <w:p>
      <w:r>
        <w:pict>
          <v:rect style="width:0;height:1.5pt" o:hralign="center" o:hrstd="t" o:hr="t"/>
        </w:pict>
      </w:r>
    </w:p>
    <w:bookmarkEnd w:id="25"/>
    <w:bookmarkStart w:id="26" w:name="fr-7-capacity-forecasting"/>
    <w:p>
      <w:pPr>
        <w:pStyle w:val="Heading3"/>
      </w:pPr>
      <w:r>
        <w:t xml:space="preserve">FR-7 — Capacity Forecasting</w:t>
      </w:r>
    </w:p>
    <w:p>
      <w:pPr>
        <w:pStyle w:val="FirstParagraph"/>
      </w:pPr>
      <w:r>
        <w:t xml:space="preserve">Analyzes historical allocation patterns and produces demand forecasts with sizing recommendations.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FR-7.1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Analyze historical CR allocation patterns; produce demand forecasts for configurable period (30/60/90 days)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COVERED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EPIC-09</w:t>
            </w:r>
            <w:r>
              <w:t xml:space="preserve"> </w:t>
            </w:r>
            <w:r>
              <w:t xml:space="preserve">(Forecasting); E09-S01 (Historical Analysis)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FR-7.2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Produce capacity recommendations: increase CR qty when forecast &gt; current, decrease when forecast consistently below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E09-S02 (Recommendations); feeds into approval-gated auto-increase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FR-7.3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capacity buffer:</w:t>
            </w:r>
            <w:r>
              <w:t xml:space="preserve"> </w:t>
            </w:r>
            <w:r>
              <w:rPr>
                <w:rStyle w:val="VerbatimChar"/>
              </w:rPr>
              <w:t xml:space="preserve">recommended_qty = ceil(forecast_peak × (1 + growth_buffer) + dr_buffer)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Forecast_Quantity formula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FR-7.4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Alert when forecast demand approaches quota limits (default 80% threshold) with 14-day lead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E09-S03 (Quota Alert);</w:t>
            </w:r>
            <w:r>
              <w:t xml:space="preserve"> </w:t>
            </w:r>
            <w:r>
              <w:rPr>
                <w:rStyle w:val="VerbatimChar"/>
              </w:rPr>
              <w:t xml:space="preserve">ForecastApproachingQuotaLimit</w:t>
            </w:r>
            <w:r>
              <w:t xml:space="preserve"> </w:t>
            </w:r>
            <w:r>
              <w:t xml:space="preserve">alert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FR-7.5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 workload tagging: associate VMs and CRs with named workloads; enable per-workload capacity forecasts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🔶 PARTIALLY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E09-S04 (Workload Tagging); implementation detail incomplete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FR-7.6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Expose raw forecast data (time series) and derived recommendations via API for external capacity planning tools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COVERED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/forecasts/{crg_id}</w:t>
            </w:r>
            <w:r>
              <w:t xml:space="preserve"> </w:t>
            </w:r>
            <w:r>
              <w:t xml:space="preserve">API; returns</w:t>
            </w:r>
            <w:r>
              <w:t xml:space="preserve"> </w:t>
            </w:r>
            <w:r>
              <w:rPr>
                <w:rStyle w:val="VerbatimChar"/>
              </w:rPr>
              <w:t xml:space="preserve">forecast_peak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recommendations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time_series</w:t>
            </w:r>
          </w:p>
        </w:tc>
      </w:tr>
    </w:tbl>
    <w:p>
      <w:pPr>
        <w:pStyle w:val="BodyText"/>
      </w:pPr>
      <w:r>
        <w:rPr>
          <w:bCs/>
          <w:b/>
        </w:rPr>
        <w:t xml:space="preserve">FR-7 Verdict:</w:t>
      </w:r>
      <w:r>
        <w:t xml:space="preserve"> </w:t>
      </w:r>
      <w:r>
        <w:t xml:space="preserve">✅</w:t>
      </w:r>
      <w:r>
        <w:t xml:space="preserve"> </w:t>
      </w:r>
      <w:r>
        <w:rPr>
          <w:bCs/>
          <w:b/>
        </w:rPr>
        <w:t xml:space="preserve">5/6 covered; 1 partially</w:t>
      </w:r>
      <w:r>
        <w:t xml:space="preserve"> </w:t>
      </w:r>
      <w:r>
        <w:t xml:space="preserve">— Workload tagging implementation detail deferred</w:t>
      </w:r>
    </w:p>
    <w:p>
      <w:r>
        <w:pict>
          <v:rect style="width:0;height:1.5pt" o:hralign="center" o:hrstd="t" o:hr="t"/>
        </w:pict>
      </w:r>
    </w:p>
    <w:bookmarkEnd w:id="26"/>
    <w:bookmarkStart w:id="27" w:name="fr-8-cost-optimization"/>
    <w:p>
      <w:pPr>
        <w:pStyle w:val="Heading3"/>
      </w:pPr>
      <w:r>
        <w:t xml:space="preserve">FR-8 — Cost Optimization</w:t>
      </w:r>
    </w:p>
    <w:p>
      <w:pPr>
        <w:pStyle w:val="FirstParagraph"/>
      </w:pPr>
      <w:r>
        <w:t xml:space="preserve">Monitors utilization, calculates costs, and recommends right-sizing and chargeback attribution.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FR-8.1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 utilization ratio (</w:t>
            </w:r>
            <w:r>
              <w:rPr>
                <w:rStyle w:val="VerbatimChar"/>
              </w:rPr>
              <w:t xml:space="preserve">allocated / quantity</w:t>
            </w:r>
            <w:r>
              <w:t xml:space="preserve">) for every CR; flag underutilization below threshold (60%) sustained 7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COVERED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EPIC-10</w:t>
            </w:r>
            <w:r>
              <w:t xml:space="preserve"> </w:t>
            </w:r>
            <w:r>
              <w:t xml:space="preserve">(Cost Optimization); E10-S01 (Utilization Monitoring);</w:t>
            </w:r>
            <w:r>
              <w:t xml:space="preserve"> </w:t>
            </w:r>
            <w:r>
              <w:rPr>
                <w:rStyle w:val="VerbatimChar"/>
              </w:rPr>
              <w:t xml:space="preserve">GET /utilization/{crg_id}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FR-8.2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Calculate daily/monthly cost of unused reserved capacity per CR, CRG, Provider sub, and Consumer workload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E10-S02 (Cost Calculation); uses Azure Cost Management APIs; per-workload breakdown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FR-8.3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Produce right-sizing recommendations: suggested CR qty reductions with projected savings and risk assessment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E10-S03 (Right-Sizing); includes risk rating (HIGH/MEDIUM/LOW)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FR-8.4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 chargeback and showback reporting: attribute reserved capacity cost to Consumer subs/workloads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E10-S04 (Chargeback Reporting);</w:t>
            </w:r>
            <w:r>
              <w:t xml:space="preserve"> </w:t>
            </w:r>
            <w:r>
              <w:rPr>
                <w:rStyle w:val="VerbatimChar"/>
              </w:rPr>
              <w:t xml:space="preserve">POST /chargeback-reports</w:t>
            </w:r>
            <w:r>
              <w:t xml:space="preserve"> </w:t>
            </w:r>
            <w:r>
              <w:t xml:space="preserve">generates CSV export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FR-8.5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Identify idle CRs (</w:t>
            </w:r>
            <w:r>
              <w:rPr>
                <w:rStyle w:val="VerbatimChar"/>
              </w:rPr>
              <w:t xml:space="preserve">qty &gt; 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allocated = 0</w:t>
            </w:r>
            <w:r>
              <w:t xml:space="preserve"> </w:t>
            </w:r>
            <w:r>
              <w:t xml:space="preserve">for configurable period); generate deletion recommendations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E10-S05 (Idle Reservation Detection); alert</w:t>
            </w:r>
            <w:r>
              <w:t xml:space="preserve"> </w:t>
            </w:r>
            <w:r>
              <w:rPr>
                <w:rStyle w:val="VerbatimChar"/>
              </w:rPr>
              <w:t xml:space="preserve">IdleReservationDetected</w:t>
            </w:r>
            <w:r>
              <w:t xml:space="preserve"> </w:t>
            </w:r>
            <w:r>
              <w:t xml:space="preserve">(Warning)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FR-8.6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Integrate with Azure Cost Management APIs; validate engine-computed costs against realized charges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E10-S06 (Cost Validation); reconciliation loop with billing data</w:t>
            </w:r>
          </w:p>
        </w:tc>
      </w:tr>
    </w:tbl>
    <w:p>
      <w:pPr>
        <w:pStyle w:val="BodyText"/>
      </w:pPr>
      <w:r>
        <w:rPr>
          <w:bCs/>
          <w:b/>
        </w:rPr>
        <w:t xml:space="preserve">FR-8 Verdict:</w:t>
      </w:r>
      <w:r>
        <w:t xml:space="preserve"> </w:t>
      </w:r>
      <w:r>
        <w:t xml:space="preserve">✅</w:t>
      </w:r>
      <w:r>
        <w:t xml:space="preserve"> </w:t>
      </w:r>
      <w:r>
        <w:rPr>
          <w:bCs/>
          <w:b/>
        </w:rPr>
        <w:t xml:space="preserve">6/6 covered — Fully Implemented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X6dd26efaa8d305c5d81dc20a6aab15b3693f317"/>
    <w:p>
      <w:pPr>
        <w:pStyle w:val="Heading2"/>
      </w:pPr>
      <w:r>
        <w:t xml:space="preserve">Part 1A — v2.4 Reservation-Model Additions (Baseline v2.4)</w:t>
      </w:r>
    </w:p>
    <w:p>
      <w:pPr>
        <w:pStyle w:val="FirstParagraph"/>
      </w:pPr>
      <w:r>
        <w:t xml:space="preserve">These requirements were folded into Requirements Baseline</w:t>
      </w:r>
      <w:r>
        <w:t xml:space="preserve"> </w:t>
      </w:r>
      <w:r>
        <w:rPr>
          <w:bCs/>
          <w:b/>
        </w:rPr>
        <w:t xml:space="preserve">v2.4</w:t>
      </w:r>
      <w:r>
        <w:t xml:space="preserve"> </w:t>
      </w:r>
      <w:r>
        <w:t xml:space="preserve">from the reviewed architecture-diagram gaps. They refine the capacity-reservation lifecycle (FR-1), availability-zone handling (FR-3), and regional placement (FR-6) above, and are specified normatively in ADR-002 (</w:t>
      </w:r>
      <w:r>
        <w:rPr>
          <w:iCs/>
          <w:i/>
        </w:rPr>
        <w:t xml:space="preserve">Capacity Reservation Model (v2.4)</w:t>
      </w:r>
      <w:r>
        <w:t xml:space="preserve">), the FDD (§4.1, §4.4), the TDD (§5.2, §8.1, §8.5, §10, §17), and the Calculation Logic Reference (Scenario 21 / Appendix A.9).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Baseline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Implementation / cross-reference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CAP-001a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shared</w:t>
            </w:r>
            <w:r>
              <w:t xml:space="preserve"> </w:t>
            </w:r>
            <w:r>
              <w:rPr>
                <w:bCs/>
                <w:b/>
              </w:rPr>
              <w:t xml:space="preserve">core subscription is classified entirely production</w:t>
            </w:r>
            <w:r>
              <w:t xml:space="preserve"> </w:t>
            </w:r>
            <w:r>
              <w:t xml:space="preserve">— every reservation it holds is governed under production rules regardless of workload label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Config/Scope-File classification; ADR-002 (v2.4); FDD §4.1; TDD §17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CAP-020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Availability-Set VMs are ineligible</w:t>
            </w:r>
            <w:r>
              <w:t xml:space="preserve"> </w:t>
            </w:r>
            <w:r>
              <w:t xml:space="preserve">for zonal capacity reservations (mutually exclusive Azure placement constructs) —</w:t>
            </w:r>
            <w:r>
              <w:t xml:space="preserve"> </w:t>
            </w:r>
            <w:r>
              <w:rPr>
                <w:bCs/>
                <w:b/>
              </w:rPr>
              <w:t xml:space="preserve">hard constraint HC-11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Onboarding Validator eligibility gate; TDD §8.1; Hard Constraints Reference HC-11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CAP-021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Deallocate/redeploy-to-AZ onboarding precondition</w:t>
            </w:r>
            <w:r>
              <w:t xml:space="preserve"> </w:t>
            </w:r>
            <w:r>
              <w:t xml:space="preserve">— a non-zone-pinned VM is deallocated and redeployed into a target AZ before it can back a per-AZ reservation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Governed onboarding/migration workflow; TDD §8.1; ADR-002 (v2.4)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CAP-022</w:t>
            </w:r>
            <w:r>
              <w:t xml:space="preserve"> </w:t>
            </w:r>
            <w:r>
              <w:t xml:space="preserve">(extends CAP-009)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Seed matrix</w:t>
            </w:r>
            <w:r>
              <w:t xml:space="preserve"> </w:t>
            </w:r>
            <w:r>
              <w:t xml:space="preserve">of count-0 (</w:t>
            </w:r>
            <w:r>
              <w:rPr>
                <w:rStyle w:val="VerbatimChar"/>
              </w:rPr>
              <w:t xml:space="preserve">seed</w:t>
            </w:r>
            <w:r>
              <w:t xml:space="preserve">) reservations per eligible SKU×region×AZ, bounded by</w:t>
            </w:r>
            <w:r>
              <w:t xml:space="preserve"> </w:t>
            </w:r>
            <w:r>
              <w:rPr>
                <w:bCs/>
                <w:b/>
              </w:rPr>
              <w:t xml:space="preserve">per-product-team budget governance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Extends FR-1.3 zero-size pattern; Inventory Collector + scope-file budget; ADR-002 (v2.4); FDD §4.1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CAP-023</w:t>
            </w:r>
            <w:r>
              <w:t xml:space="preserve"> </w:t>
            </w:r>
            <w:r>
              <w:t xml:space="preserve">(extends CAP-011)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One zonal CRG per environment</w:t>
            </w:r>
            <w:r>
              <w:t xml:space="preserve"> </w:t>
            </w:r>
            <w:r>
              <w:t xml:space="preserve">(zones fixed at creation; one reservation per VM size per zone). A no-zone group is the pinned-zone exception, not a region-wide pool.</w:t>
            </w:r>
            <w:r>
              <w:t xml:space="preserve"> </w:t>
            </w:r>
            <w:r>
              <w:rPr>
                <w:bCs/>
                <w:b/>
              </w:rPr>
              <w:t xml:space="preserve">[v2.5]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Provisioning/topology; baseline CAP-023; naming per OPS-006. TDD §5.2 still describes the earlier regional + per-AZ layout and needs a follow-up edit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CAP-024</w:t>
            </w:r>
            <w:r>
              <w:t xml:space="preserve"> </w:t>
            </w:r>
            <w:r>
              <w:t xml:space="preserve">(reconciles CAP-019)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Reactive SKU/AZ discovery</w:t>
            </w:r>
            <w:r>
              <w:t xml:space="preserve"> </w:t>
            </w:r>
            <w:r>
              <w:t xml:space="preserve">auto-creates the backing reservation</w:t>
            </w:r>
            <w:r>
              <w:t xml:space="preserve"> </w:t>
            </w:r>
            <w:r>
              <w:rPr>
                <w:bCs/>
                <w:b/>
              </w:rPr>
              <w:t xml:space="preserve">and simultaneously raises a scope-file governance 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Inventory Collector + Governance &amp; Audit; ADR-002 (v2.4); FDD §4.1; TDD §17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CAP-008 / CAP-010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Decommissioning-workflow boundary</w:t>
            </w:r>
            <w:r>
              <w:t xml:space="preserve"> </w:t>
            </w:r>
            <w:r>
              <w:t xml:space="preserve">— automatic reconciliation only right-sizes to</w:t>
            </w:r>
            <w:r>
              <w:t xml:space="preserve"> </w:t>
            </w:r>
            <w:r>
              <w:rPr>
                <w:rStyle w:val="VerbatimChar"/>
              </w:rPr>
              <w:t xml:space="preserve">Allocated + Buffer</w:t>
            </w:r>
            <w:r>
              <w:t xml:space="preserve">; reduce-to-zero / retire / delete are</w:t>
            </w:r>
            <w:r>
              <w:t xml:space="preserve"> </w:t>
            </w:r>
            <w:r>
              <w:rPr>
                <w:bCs/>
                <w:b/>
              </w:rPr>
              <w:t xml:space="preserve">gated</w:t>
            </w:r>
            <w:r>
              <w:t xml:space="preserve"> </w:t>
            </w:r>
            <w:r>
              <w:t xml:space="preserve">workflow actions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COVERED (boundary clarified)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Refines FR-1.5/FR-1.6 and FR-8.5; TDD §10; ADR-002 (v2.4) decommissioning boundary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PLC-011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Even ≈1/zone_count per-zone distribution target + rebalancing</w:t>
            </w:r>
            <w:r>
              <w:t xml:space="preserve"> </w:t>
            </w:r>
            <w:r>
              <w:t xml:space="preserve">(greatest-deficit-first placement; drift →</w:t>
            </w:r>
            <w:r>
              <w:t xml:space="preserve"> </w:t>
            </w:r>
            <w:r>
              <w:rPr>
                <w:rStyle w:val="VerbatimChar"/>
              </w:rPr>
              <w:t xml:space="preserve">ZoneRebalanceAction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Extends FR-3/FR-6; Calc Logic Scenario 21 / A.9; TDD §8.5; config C-13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OPS-006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Deterministic</w:t>
            </w:r>
            <w:r>
              <w:t xml:space="preserve"> </w:t>
            </w:r>
            <w:r>
              <w:rPr>
                <w:bCs/>
                <w:b/>
              </w:rPr>
              <w:t xml:space="preserve">RG/CRG/subscription naming convention + counter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Config-driven naming (C-12); ADR-002 (v2.4); TDD §5.1/§5.2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C-12 / C-13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 items: naming pattern (C-12); zone target + tolerance (C-13, default ±10 pp)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COVERED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PlacementPolicy</w:t>
            </w:r>
            <w:r>
              <w:t xml:space="preserve"> </w:t>
            </w:r>
            <w:r>
              <w:t xml:space="preserve">config-as-code; Calc Logic §B constant table</w:t>
            </w:r>
          </w:p>
        </w:tc>
      </w:tr>
    </w:tbl>
    <w:p>
      <w:pPr>
        <w:pStyle w:val="BodyText"/>
      </w:pPr>
      <w:r>
        <w:rPr>
          <w:bCs/>
          <w:b/>
        </w:rPr>
        <w:t xml:space="preserve">Part 1A Verdict:</w:t>
      </w:r>
      <w:r>
        <w:t xml:space="preserve"> </w:t>
      </w:r>
      <w:r>
        <w:t xml:space="preserve">✅</w:t>
      </w:r>
      <w:r>
        <w:t xml:space="preserve"> </w:t>
      </w:r>
      <w:r>
        <w:rPr>
          <w:bCs/>
          <w:b/>
        </w:rPr>
        <w:t xml:space="preserve">All v2.4 reservation-model additions covered</w:t>
      </w:r>
      <w:r>
        <w:t xml:space="preserve"> </w:t>
      </w:r>
      <w:r>
        <w:t xml:space="preserve">— normative detail resides in the baseline, ADR-002, FDD, TDD, and Calculation Logic Reference.</w:t>
      </w:r>
    </w:p>
    <w:p>
      <w:r>
        <w:pict>
          <v:rect style="width:0;height:1.5pt" o:hralign="center" o:hrstd="t" o:hr="t"/>
        </w:pict>
      </w:r>
    </w:p>
    <w:bookmarkEnd w:id="29"/>
    <w:bookmarkStart w:id="37" w:name="Xad2ed4bb9f718f3cd3d4ad12a310e3967fa0ed0"/>
    <w:p>
      <w:pPr>
        <w:pStyle w:val="Heading2"/>
      </w:pPr>
      <w:r>
        <w:t xml:space="preserve">Part 2 — Non-Functional Requirements (NFR-1 through NFR-7)</w:t>
      </w:r>
    </w:p>
    <w:bookmarkStart w:id="30" w:name="nfr-1-availability"/>
    <w:p>
      <w:pPr>
        <w:pStyle w:val="Heading3"/>
      </w:pPr>
      <w:r>
        <w:t xml:space="preserve">NFR-1 — Availability</w:t>
      </w:r>
    </w:p>
    <w:p>
      <w:pPr>
        <w:pStyle w:val="FirstParagraph"/>
      </w:pPr>
      <w:r>
        <w:t xml:space="preserve">Targets 99.9% uptime with zone redundancy and graceful degradation.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NFR-1.1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99.9% availability (≤ 8.7 hours downtime/year) for API and control-plane operations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SLA target documented; E01-S11 (SLA Reporting) tracks uptime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NFR-1.2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Deploy across minimum two Availability Zones in primary region to eliminate single-zone dependency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AKS deployment model; two-node minimum per zone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NFR-1.3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 and configuration stores use zone-redundant storage with async cross-region replication for 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Cosmos DB (ZRS); Redis (zone-redundant); backup replication to secondary region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NFR-1.4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 circuit breakers on all outbound ARM API calls; degrade gracefully when ARM unavailable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E01-S04 (Resilience Controls); Polly circuit breaker policy on ARM client</w:t>
            </w:r>
          </w:p>
        </w:tc>
      </w:tr>
    </w:tbl>
    <w:p>
      <w:pPr>
        <w:pStyle w:val="BodyText"/>
      </w:pPr>
      <w:r>
        <w:rPr>
          <w:bCs/>
          <w:b/>
        </w:rPr>
        <w:t xml:space="preserve">NFR-1 Verdict:</w:t>
      </w:r>
      <w:r>
        <w:t xml:space="preserve"> </w:t>
      </w:r>
      <w:r>
        <w:t xml:space="preserve">✅</w:t>
      </w:r>
      <w:r>
        <w:t xml:space="preserve"> </w:t>
      </w:r>
      <w:r>
        <w:rPr>
          <w:bCs/>
          <w:b/>
        </w:rPr>
        <w:t xml:space="preserve">4/4 covered — Fully Implemented</w:t>
      </w:r>
    </w:p>
    <w:p>
      <w:r>
        <w:pict>
          <v:rect style="width:0;height:1.5pt" o:hralign="center" o:hrstd="t" o:hr="t"/>
        </w:pict>
      </w:r>
    </w:p>
    <w:bookmarkEnd w:id="30"/>
    <w:bookmarkStart w:id="31" w:name="nfr-2-performance"/>
    <w:p>
      <w:pPr>
        <w:pStyle w:val="Heading3"/>
      </w:pPr>
      <w:r>
        <w:t xml:space="preserve">NFR-2 — Performance</w:t>
      </w:r>
    </w:p>
    <w:p>
      <w:pPr>
        <w:pStyle w:val="FirstParagraph"/>
      </w:pPr>
      <w:r>
        <w:t xml:space="preserve">Targets API latency SLOs and reconciliation cycle time.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NFR-2.1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read operations return within 500ms at P95 under normal 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E01-S13 (Performance Instrumentation); Redis caching (1-5min TTL)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NFR-2.2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write operations return accepted acknowledgment within 2 seconds; async ARM operations tracked via polling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E02-S01, E04-S02; async pattern with webhook callbacks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NFR-2.3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 reconciliation loop (desired vs. actual) completes full cycle within 5 minutes for ≤500 managed CRGs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E05-S01 (Reconciliation Engine); 5-min cadence target; delta-based optimization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NFR-2.4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Forecast computation for 90-day window across all CRGs completes within 10 minutes as background job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E09-S01; scheduled nightly; independent compute pool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NFR-2.5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 minimum 200 concurrent API clients without performance degradation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E01-S13; load-test story E11-S07 (200-concurrent target)</w:t>
            </w:r>
          </w:p>
        </w:tc>
      </w:tr>
    </w:tbl>
    <w:p>
      <w:pPr>
        <w:pStyle w:val="BodyText"/>
      </w:pPr>
      <w:r>
        <w:rPr>
          <w:bCs/>
          <w:b/>
        </w:rPr>
        <w:t xml:space="preserve">NFR-2 Verdict:</w:t>
      </w:r>
      <w:r>
        <w:t xml:space="preserve"> </w:t>
      </w:r>
      <w:r>
        <w:t xml:space="preserve">✅</w:t>
      </w:r>
      <w:r>
        <w:t xml:space="preserve"> </w:t>
      </w:r>
      <w:r>
        <w:rPr>
          <w:bCs/>
          <w:b/>
        </w:rPr>
        <w:t xml:space="preserve">5/5 covered — Fully Implemented</w:t>
      </w:r>
    </w:p>
    <w:p>
      <w:r>
        <w:pict>
          <v:rect style="width:0;height:1.5pt" o:hralign="center" o:hrstd="t" o:hr="t"/>
        </w:pict>
      </w:r>
    </w:p>
    <w:bookmarkEnd w:id="31"/>
    <w:bookmarkStart w:id="32" w:name="nfr-3-scalability"/>
    <w:p>
      <w:pPr>
        <w:pStyle w:val="Heading3"/>
      </w:pPr>
      <w:r>
        <w:t xml:space="preserve">NFR-3 — Scalability</w:t>
      </w:r>
    </w:p>
    <w:p>
      <w:pPr>
        <w:pStyle w:val="FirstParagraph"/>
      </w:pPr>
      <w:r>
        <w:t xml:space="preserve">Supports horizontal scaling to hundreds of subscriptions and thousands of CRGs.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NFR-3.1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Scale to 100 Provider subscriptions and 10,000 Consumer subscription relationships without architectural change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Cardinality model documented; CRG_total = R × Eclass × Z × SKUset × IsolationFactor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NFR-3.2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 5,000 managed CRGs, 50,000 managed CRs, 500,000 VM associations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Scale testing stories: E11-S08 (capacity test at 5K CRG / 50K CR targets)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NFR-3.3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Reconciliation and forecasting independently scalable (separate compute pools)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E01-S05 (Worker Pool Architecture); HPA configuration E01-S16</w:t>
            </w:r>
          </w:p>
        </w:tc>
      </w:tr>
    </w:tbl>
    <w:p>
      <w:pPr>
        <w:pStyle w:val="BodyText"/>
      </w:pPr>
      <w:r>
        <w:rPr>
          <w:bCs/>
          <w:b/>
        </w:rPr>
        <w:t xml:space="preserve">NFR-3 Verdict:</w:t>
      </w:r>
      <w:r>
        <w:t xml:space="preserve"> </w:t>
      </w:r>
      <w:r>
        <w:t xml:space="preserve">✅</w:t>
      </w:r>
      <w:r>
        <w:t xml:space="preserve"> </w:t>
      </w:r>
      <w:r>
        <w:rPr>
          <w:bCs/>
          <w:b/>
        </w:rPr>
        <w:t xml:space="preserve">3/3 covered — Fully Implemented</w:t>
      </w:r>
    </w:p>
    <w:p>
      <w:r>
        <w:pict>
          <v:rect style="width:0;height:1.5pt" o:hralign="center" o:hrstd="t" o:hr="t"/>
        </w:pict>
      </w:r>
    </w:p>
    <w:bookmarkEnd w:id="32"/>
    <w:bookmarkStart w:id="33" w:name="nfr-4-reliability"/>
    <w:p>
      <w:pPr>
        <w:pStyle w:val="Heading3"/>
      </w:pPr>
      <w:r>
        <w:t xml:space="preserve">NFR-4 — Reliability</w:t>
      </w:r>
    </w:p>
    <w:p>
      <w:pPr>
        <w:pStyle w:val="FirstParagraph"/>
      </w:pPr>
      <w:r>
        <w:t xml:space="preserve">Ensures idempotency, exponential backoff, drift detection, and audit trail.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NFR-4.1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state-mutating operations idempotent: retrying failed operation produces same outcome as single success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E02-S01, E04-S02; idempotency keys on all write operations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NFR-4.2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ARM API interactions implement exponential backoff with jitter; max 5 retries before dead-letter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E01-S04 (Adaptive Throttle Manager); documented baselines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NFR-4.3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Detect and reconcile drift (ARM actual vs engine desired) within two reconciliation cycles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E05-S01, E05-S02 (Drift Detection); 5-min cycle = ≤10 min max drift detection SLA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NFR-4.4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Maintain operation audit log with minimum 90-day retention; capture operator, operation type, resource, state, outcome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COVERED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EPIC-11</w:t>
            </w:r>
            <w:r>
              <w:t xml:space="preserve"> </w:t>
            </w:r>
            <w:r>
              <w:t xml:space="preserve">(Observability); E11-S03 (Audit Logging); LogAnalytics workspace retention</w:t>
            </w:r>
          </w:p>
        </w:tc>
      </w:tr>
    </w:tbl>
    <w:p>
      <w:pPr>
        <w:pStyle w:val="BodyText"/>
      </w:pPr>
      <w:r>
        <w:rPr>
          <w:bCs/>
          <w:b/>
        </w:rPr>
        <w:t xml:space="preserve">NFR-4 Verdict:</w:t>
      </w:r>
      <w:r>
        <w:t xml:space="preserve"> </w:t>
      </w:r>
      <w:r>
        <w:t xml:space="preserve">✅</w:t>
      </w:r>
      <w:r>
        <w:t xml:space="preserve"> </w:t>
      </w:r>
      <w:r>
        <w:rPr>
          <w:bCs/>
          <w:b/>
        </w:rPr>
        <w:t xml:space="preserve">4/4 covered — Fully Implemented</w:t>
      </w:r>
    </w:p>
    <w:p>
      <w:r>
        <w:pict>
          <v:rect style="width:0;height:1.5pt" o:hralign="center" o:hrstd="t" o:hr="t"/>
        </w:pict>
      </w:r>
    </w:p>
    <w:bookmarkEnd w:id="33"/>
    <w:bookmarkStart w:id="34" w:name="nfr-5-security"/>
    <w:p>
      <w:pPr>
        <w:pStyle w:val="Heading3"/>
      </w:pPr>
      <w:r>
        <w:t xml:space="preserve">NFR-5 — Security</w:t>
      </w:r>
    </w:p>
    <w:p>
      <w:pPr>
        <w:pStyle w:val="FirstParagraph"/>
      </w:pPr>
      <w:r>
        <w:t xml:space="preserve">Enforces encryption, credential management, authentication, RBAC, and security auditing.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NFR-5.1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inter-component communication encrypted in transit (TLS 1.2 minimum, TLS 1.3 preferred)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AKS default (TLS 1.3 on ingress); service-to-service mTLS via Istio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NFR-5.2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secrets stored in Azure Key Vault; none in config files or env vars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Managed Identity for Key Vault auth; E01-S06; no secrets in Helm charts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NFR-5.3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Authenticate to ARM via Managed Identity (AKS) or Service Principal with certificate (cross-sub)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E01-S06; certificate rotation policy documented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NFR-5.4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Engine API requires Azure AD authentication via Bearer token (OAuth 2.0); all clients authenticate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APIM (API Gateway); AD token validation on every request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NFR-5.5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Engine-level RBAC: minimum role set</w:t>
            </w:r>
            <w:r>
              <w:t xml:space="preserve"> </w:t>
            </w:r>
            <w:r>
              <w:rPr>
                <w:rStyle w:val="VerbatimChar"/>
              </w:rPr>
              <w:t xml:space="preserve">CRG.Admin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CRG.Operator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CRG.Reader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DR.Operator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 &amp; RBAC guide; five least-privilege custom roles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NFR-5.6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 all security events to dedicated security audit stream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E11-S04 (Security Audit Stream); separate LogAnalytics table; SIEM integration ready</w:t>
            </w:r>
          </w:p>
        </w:tc>
      </w:tr>
    </w:tbl>
    <w:p>
      <w:pPr>
        <w:pStyle w:val="BodyText"/>
      </w:pPr>
      <w:r>
        <w:rPr>
          <w:bCs/>
          <w:b/>
        </w:rPr>
        <w:t xml:space="preserve">NFR-5 Verdict:</w:t>
      </w:r>
      <w:r>
        <w:t xml:space="preserve"> </w:t>
      </w:r>
      <w:r>
        <w:t xml:space="preserve">✅</w:t>
      </w:r>
      <w:r>
        <w:t xml:space="preserve"> </w:t>
      </w:r>
      <w:r>
        <w:rPr>
          <w:bCs/>
          <w:b/>
        </w:rPr>
        <w:t xml:space="preserve">6/6 covered — Fully Implemented</w:t>
      </w:r>
    </w:p>
    <w:p>
      <w:r>
        <w:pict>
          <v:rect style="width:0;height:1.5pt" o:hralign="center" o:hrstd="t" o:hr="t"/>
        </w:pict>
      </w:r>
    </w:p>
    <w:bookmarkEnd w:id="34"/>
    <w:bookmarkStart w:id="35" w:name="nfr-6-observability"/>
    <w:p>
      <w:pPr>
        <w:pStyle w:val="Heading3"/>
      </w:pPr>
      <w:r>
        <w:t xml:space="preserve">NFR-6 — Observability</w:t>
      </w:r>
    </w:p>
    <w:p>
      <w:pPr>
        <w:pStyle w:val="FirstParagraph"/>
      </w:pPr>
      <w:r>
        <w:t xml:space="preserve">Provides structured logging, metrics, distributed tracing, and health endpoints.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NFR-6.1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Emit structured JSON logs for every operation: correlation ID, subscription ID, resource ID, operation type, duration, outcome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COVERED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EPIC-11</w:t>
            </w:r>
            <w:r>
              <w:t xml:space="preserve"> </w:t>
            </w:r>
            <w:r>
              <w:t xml:space="preserve">(Observability); E11-S01 (Structured Logging); Serilog JSON formatter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NFR-6.2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Emit metrics to Azure Monitor: API rate, error rate, reconciliation duration, ARM latency, quota %, CR %, DR buffer 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E11-S02 (Metrics); Prometheus scrape</w:t>
            </w:r>
            <w:r>
              <w:t xml:space="preserve"> </w:t>
            </w:r>
            <w:r>
              <w:rPr>
                <w:rStyle w:val="VerbatimChar"/>
              </w:rPr>
              <w:t xml:space="preserve">/metrics</w:t>
            </w:r>
            <w:r>
              <w:t xml:space="preserve"> </w:t>
            </w:r>
            <w:r>
              <w:t xml:space="preserve">endpoint; Monitor dashboards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NFR-6.3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Distributed tracing (OpenTelemetry) across internal service boundaries and ARM API calls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E11-S05 (Distributed Tracing); Application Insights integration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NFR-6.4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Expose</w:t>
            </w:r>
            <w:r>
              <w:t xml:space="preserve"> </w:t>
            </w:r>
            <w:r>
              <w:rPr>
                <w:rStyle w:val="VerbatimChar"/>
              </w:rPr>
              <w:t xml:space="preserve">/health</w:t>
            </w:r>
            <w:r>
              <w:t xml:space="preserve"> </w:t>
            </w:r>
            <w:r>
              <w:t xml:space="preserve">endpoint (liveness/readiness) and</w:t>
            </w:r>
            <w:r>
              <w:t xml:space="preserve"> </w:t>
            </w:r>
            <w:r>
              <w:rPr>
                <w:rStyle w:val="VerbatimChar"/>
              </w:rPr>
              <w:t xml:space="preserve">/metrics</w:t>
            </w:r>
            <w:r>
              <w:t xml:space="preserve"> </w:t>
            </w:r>
            <w:r>
              <w:t xml:space="preserve">endpoint (Prometheus format)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E01-S14 (Health Checks); used by AKS probes and monitoring</w:t>
            </w:r>
          </w:p>
        </w:tc>
      </w:tr>
    </w:tbl>
    <w:p>
      <w:pPr>
        <w:pStyle w:val="BodyText"/>
      </w:pPr>
      <w:r>
        <w:rPr>
          <w:bCs/>
          <w:b/>
        </w:rPr>
        <w:t xml:space="preserve">NFR-6 Verdict:</w:t>
      </w:r>
      <w:r>
        <w:t xml:space="preserve"> </w:t>
      </w:r>
      <w:r>
        <w:t xml:space="preserve">✅</w:t>
      </w:r>
      <w:r>
        <w:t xml:space="preserve"> </w:t>
      </w:r>
      <w:r>
        <w:rPr>
          <w:bCs/>
          <w:b/>
        </w:rPr>
        <w:t xml:space="preserve">4/4 covered — Fully Implemented</w:t>
      </w:r>
    </w:p>
    <w:p>
      <w:r>
        <w:pict>
          <v:rect style="width:0;height:1.5pt" o:hralign="center" o:hrstd="t" o:hr="t"/>
        </w:pict>
      </w:r>
    </w:p>
    <w:bookmarkEnd w:id="35"/>
    <w:bookmarkStart w:id="36" w:name="nfr-7-compliance-and-governance"/>
    <w:p>
      <w:pPr>
        <w:pStyle w:val="Heading3"/>
      </w:pPr>
      <w:r>
        <w:t xml:space="preserve">NFR-7 — Compliance and Governance</w:t>
      </w:r>
    </w:p>
    <w:p>
      <w:pPr>
        <w:pStyle w:val="FirstParagraph"/>
      </w:pPr>
      <w:r>
        <w:t xml:space="preserve">Supports sovereign clouds, data residency, and Azure Policy integration.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NFR-7.1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Deployable in Azure sovereign clouds (Government, China) subject to API availability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🔶 PARTIALLY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Out-of-scope v1.0; no backlog story; deferred to post-MVP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NFR-7.2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data stored by engine remains within designated region pair; no transmission to external services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Cosmos DB multi-region (ZRS → async replication only); no external calls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NFR-7.3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 Azure Policy integration: placement/sharing decisions evaluated against applicable policies before execution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E08-S07 (Policy Integration); PlacementPolicy rule DAG supports exclusions</w:t>
            </w:r>
          </w:p>
        </w:tc>
      </w:tr>
    </w:tbl>
    <w:p>
      <w:pPr>
        <w:pStyle w:val="BodyText"/>
      </w:pPr>
      <w:r>
        <w:rPr>
          <w:bCs/>
          <w:b/>
        </w:rPr>
        <w:t xml:space="preserve">NFR-7 Verdict:</w:t>
      </w:r>
      <w:r>
        <w:t xml:space="preserve"> </w:t>
      </w:r>
      <w:r>
        <w:t xml:space="preserve">✅</w:t>
      </w:r>
      <w:r>
        <w:t xml:space="preserve"> </w:t>
      </w:r>
      <w:r>
        <w:rPr>
          <w:bCs/>
          <w:b/>
        </w:rPr>
        <w:t xml:space="preserve">2/3 covered; 1 deferred</w:t>
      </w:r>
      <w:r>
        <w:t xml:space="preserve"> </w:t>
      </w:r>
      <w:r>
        <w:t xml:space="preserve">— Sovereign cloud support deferred post-MVP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0" w:name="X1b3b8937f0357bf40e85e05c69ab9f25e2a6e09"/>
    <w:p>
      <w:pPr>
        <w:pStyle w:val="Heading2"/>
      </w:pPr>
      <w:r>
        <w:t xml:space="preserve">Part 3 — Placement &amp; Lifecycle Requirements (R1–R8, NFR-R1–R3)</w:t>
      </w:r>
    </w:p>
    <w:bookmarkStart w:id="38" w:name="regional-placement-requirements-r1r8"/>
    <w:p>
      <w:pPr>
        <w:pStyle w:val="Heading3"/>
      </w:pPr>
      <w:r>
        <w:t xml:space="preserve">Regional Placement Requirements (R1–R8)</w:t>
      </w:r>
    </w:p>
    <w:p>
      <w:pPr>
        <w:pStyle w:val="FirstParagraph"/>
      </w:pPr>
      <w:r>
        <w:t xml:space="preserve">Derived from multi_region_placement_design.md Section 27–28.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Customer-supplied geography → engine derives Prod region via</w:t>
            </w:r>
            <w:r>
              <w:t xml:space="preserve"> </w:t>
            </w:r>
            <w:r>
              <w:rPr>
                <w:rStyle w:val="VerbatimChar"/>
              </w:rPr>
              <w:t xml:space="preserve">argmax(PS_Prod)</w:t>
            </w:r>
            <w:r>
              <w:t xml:space="preserve"> </w:t>
            </w:r>
            <w:r>
              <w:t xml:space="preserve">over Standard regions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COVERED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Engine selects NonProd and DR regions automatically; never same as Prod; allows NonProd=DR co-existence (D8)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COVERED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 constraints HC-1..HC-10 gate all region eligibility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COVERED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Automatic zone resolution via stored zone mapping registry on VM deployment against shared CRG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COVERED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 and capacity-weighted distribution prevent hotspots; uses demand units not customer 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COVERED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 floor enforcement (HC-7): NonProd placement blocked if would encroach on dr_floor_vcpu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COVERED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Middle East special handling: weighted</w:t>
            </w:r>
            <w:r>
              <w:t xml:space="preserve"> </w:t>
            </w:r>
            <w:r>
              <w:rPr>
                <w:rStyle w:val="VerbatimChar"/>
              </w:rPr>
              <w:t xml:space="preserve">argmax(PS_Prod)</w:t>
            </w:r>
            <w:r>
              <w:t xml:space="preserve"> </w:t>
            </w:r>
            <w:r>
              <w:t xml:space="preserve">over Saudi Arabia + UAE North (Prod+CVAL co-located);</w:t>
            </w:r>
            <w:r>
              <w:t xml:space="preserve"> </w:t>
            </w:r>
            <w:r>
              <w:rPr>
                <w:bCs/>
                <w:b/>
              </w:rPr>
              <w:t xml:space="preserve">[v2.4]</w:t>
            </w:r>
            <w:r>
              <w:t xml:space="preserve"> </w:t>
            </w:r>
            <w:r>
              <w:t xml:space="preserve">DR cross-geo in a weighted-selected Europe region (DR-020, PLC-010b, DEC-001 RESOLVED)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COVERED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Placement deterministic and auditable: all scores, candidate sets, policy version written to OperationRecord for replay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COVERED</w:t>
            </w:r>
          </w:p>
        </w:tc>
      </w:tr>
    </w:tbl>
    <w:p>
      <w:pPr>
        <w:pStyle w:val="BodyText"/>
      </w:pPr>
      <w:r>
        <w:rPr>
          <w:bCs/>
          <w:b/>
        </w:rPr>
        <w:t xml:space="preserve">Placement Requirements Verdict:</w:t>
      </w:r>
      <w:r>
        <w:t xml:space="preserve"> </w:t>
      </w:r>
      <w:r>
        <w:t xml:space="preserve">✅</w:t>
      </w:r>
      <w:r>
        <w:t xml:space="preserve"> </w:t>
      </w:r>
      <w:r>
        <w:rPr>
          <w:bCs/>
          <w:b/>
        </w:rPr>
        <w:t xml:space="preserve">8/8 covered — Fully Implemented</w:t>
      </w:r>
    </w:p>
    <w:p>
      <w:r>
        <w:pict>
          <v:rect style="width:0;height:1.5pt" o:hralign="center" o:hrstd="t" o:hr="t"/>
        </w:pict>
      </w:r>
    </w:p>
    <w:bookmarkEnd w:id="38"/>
    <w:bookmarkStart w:id="39" w:name="X423b2ace4ad5b1cde5e1de653b5ba8f02c51e2e"/>
    <w:p>
      <w:pPr>
        <w:pStyle w:val="Heading3"/>
      </w:pPr>
      <w:r>
        <w:t xml:space="preserve">Placement Non-Functional Requirements (NFR-R1–R3)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NFR-R1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Placement recommendation API P99 latency &lt; 2 seconds for datasets with 100+ CRGs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COVERED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NFR-R2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Regional state freshness ≤ 5 minutes old (via 5-min reconciliation or 10-min Cosmos DB fallback)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COVERED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NFR-R3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Placement scoring deterministic and repeatable: same inputs → same output; versioned policy enables replay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COVERED</w:t>
            </w:r>
          </w:p>
        </w:tc>
      </w:tr>
    </w:tbl>
    <w:p>
      <w:pPr>
        <w:pStyle w:val="BodyText"/>
      </w:pPr>
      <w:r>
        <w:rPr>
          <w:bCs/>
          <w:b/>
        </w:rPr>
        <w:t xml:space="preserve">Placement NFR Verdict:</w:t>
      </w:r>
      <w:r>
        <w:t xml:space="preserve"> </w:t>
      </w:r>
      <w:r>
        <w:t xml:space="preserve">✅</w:t>
      </w:r>
      <w:r>
        <w:t xml:space="preserve"> </w:t>
      </w:r>
      <w:r>
        <w:rPr>
          <w:bCs/>
          <w:b/>
        </w:rPr>
        <w:t xml:space="preserve">3/3 covered — Fully Implemented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4" w:name="X499635dd01b876ac5e0c52ef331b81cefb88fb7"/>
    <w:p>
      <w:pPr>
        <w:pStyle w:val="Heading2"/>
      </w:pPr>
      <w:r>
        <w:t xml:space="preserve">Part 4 — Must / Should / Could Classification (Phase Priority)</w:t>
      </w:r>
    </w:p>
    <w:bookmarkStart w:id="41" w:name="must-phase-1-blocking-for-pilot-entry"/>
    <w:p>
      <w:pPr>
        <w:pStyle w:val="Heading3"/>
      </w:pPr>
      <w:r>
        <w:t xml:space="preserve">Must (Phase 1 — Blocking for pilot entry)</w:t>
      </w:r>
    </w:p>
    <w:p>
      <w:pPr>
        <w:pStyle w:val="SourceCode"/>
      </w:pPr>
      <w:r>
        <w:rPr>
          <w:rStyle w:val="VerbatimChar"/>
        </w:rPr>
        <w:t xml:space="preserve">✅ Subscription onboarding and offboarding</w:t>
      </w:r>
      <w:r>
        <w:br/>
      </w:r>
      <w:r>
        <w:rPr>
          <w:rStyle w:val="VerbatimChar"/>
        </w:rPr>
        <w:t xml:space="preserve">✅ Provider and consumer authorization validation</w:t>
      </w:r>
      <w:r>
        <w:br/>
      </w:r>
      <w:r>
        <w:rPr>
          <w:rStyle w:val="VerbatimChar"/>
        </w:rPr>
        <w:t xml:space="preserve">✅ CRG and CR inventory</w:t>
      </w:r>
      <w:r>
        <w:br/>
      </w:r>
      <w:r>
        <w:rPr>
          <w:rStyle w:val="VerbatimChar"/>
        </w:rPr>
        <w:t xml:space="preserve">✅ Quantity increase and guarded reduction</w:t>
      </w:r>
      <w:r>
        <w:br/>
      </w:r>
      <w:r>
        <w:rPr>
          <w:rStyle w:val="VerbatimChar"/>
        </w:rPr>
        <w:t xml:space="preserve">✅ Zone mapping and mismatch rejection</w:t>
      </w:r>
      <w:r>
        <w:br/>
      </w:r>
      <w:r>
        <w:rPr>
          <w:rStyle w:val="VerbatimChar"/>
        </w:rPr>
        <w:t xml:space="preserve">✅ Provider, consumer, and group quota validation</w:t>
      </w:r>
      <w:r>
        <w:br/>
      </w:r>
      <w:r>
        <w:rPr>
          <w:rStyle w:val="VerbatimChar"/>
        </w:rPr>
        <w:t xml:space="preserve">✅ Desired-versus-actual reconciliation</w:t>
      </w:r>
      <w:r>
        <w:br/>
      </w:r>
      <w:r>
        <w:rPr>
          <w:rStyle w:val="VerbatimChar"/>
        </w:rPr>
        <w:t xml:space="preserve">✅ Atomic placement holds</w:t>
      </w:r>
      <w:r>
        <w:br/>
      </w:r>
      <w:r>
        <w:rPr>
          <w:rStyle w:val="VerbatimChar"/>
        </w:rPr>
        <w:t xml:space="preserve">✅ Audit logs and operation state</w:t>
      </w:r>
      <w:r>
        <w:br/>
      </w:r>
      <w:r>
        <w:rPr>
          <w:rStyle w:val="VerbatimChar"/>
        </w:rPr>
        <w:t xml:space="preserve">✅ Formal engine mode (STEADY_STATE, DR_EVENT_ACTIVE, etc.)</w:t>
      </w:r>
      <w:r>
        <w:br/>
      </w:r>
      <w:r>
        <w:rPr>
          <w:rStyle w:val="VerbatimChar"/>
        </w:rPr>
        <w:t xml:space="preserve">✅ Safe unsharing</w:t>
      </w:r>
      <w:r>
        <w:br/>
      </w:r>
      <w:r>
        <w:rPr>
          <w:rStyle w:val="VerbatimChar"/>
        </w:rPr>
        <w:t xml:space="preserve">✅ Manual rollback</w:t>
      </w:r>
      <w:r>
        <w:br/>
      </w:r>
      <w:r>
        <w:rPr>
          <w:rStyle w:val="VerbatimChar"/>
        </w:rPr>
        <w:t xml:space="preserve">✅ Preview feature flags</w:t>
      </w:r>
      <w:r>
        <w:br/>
      </w:r>
      <w:r>
        <w:rPr>
          <w:rStyle w:val="VerbatimChar"/>
        </w:rPr>
        <w:t xml:space="preserve">✅ VMSS Tier 3 rejection</w:t>
      </w:r>
      <w:r>
        <w:br/>
      </w:r>
      <w:r>
        <w:rPr>
          <w:rStyle w:val="VerbatimChar"/>
        </w:rPr>
        <w:t xml:space="preserve">✅ Alerting for DR floor, stale state, quota, and failed operations</w:t>
      </w:r>
    </w:p>
    <w:p>
      <w:pPr>
        <w:pStyle w:val="FirstParagraph"/>
      </w:pPr>
      <w:r>
        <w:rPr>
          <w:bCs/>
          <w:b/>
        </w:rPr>
        <w:t xml:space="preserve">Maturity:</w:t>
      </w:r>
      <w:r>
        <w:t xml:space="preserve"> </w:t>
      </w:r>
      <w:r>
        <w:t xml:space="preserve">✅ All Must items have design coverage; ready for POC.</w:t>
      </w:r>
    </w:p>
    <w:p>
      <w:r>
        <w:pict>
          <v:rect style="width:0;height:1.5pt" o:hralign="center" o:hrstd="t" o:hr="t"/>
        </w:pict>
      </w:r>
    </w:p>
    <w:bookmarkEnd w:id="41"/>
    <w:bookmarkStart w:id="42" w:name="X47e440d7788cc163dbf48cbd7543a8dcef1c9bf"/>
    <w:p>
      <w:pPr>
        <w:pStyle w:val="Heading3"/>
      </w:pPr>
      <w:r>
        <w:t xml:space="preserve">Should (Phase 1–2 — High-priority enhancements)</w:t>
      </w:r>
    </w:p>
    <w:p>
      <w:pPr>
        <w:pStyle w:val="SourceCode"/>
      </w:pPr>
      <w:r>
        <w:rPr>
          <w:rStyle w:val="VerbatimChar"/>
        </w:rPr>
        <w:t xml:space="preserve">✅ Recommendation-only region selection (no autonomous placement in Phase 1)</w:t>
      </w:r>
      <w:r>
        <w:br/>
      </w:r>
      <w:r>
        <w:rPr>
          <w:rStyle w:val="VerbatimChar"/>
        </w:rPr>
        <w:t xml:space="preserve">✅ Forecasting</w:t>
      </w:r>
      <w:r>
        <w:br/>
      </w:r>
      <w:r>
        <w:rPr>
          <w:rStyle w:val="VerbatimChar"/>
        </w:rPr>
        <w:t xml:space="preserve">✅ Cost and utilization reporting</w:t>
      </w:r>
      <w:r>
        <w:br/>
      </w:r>
      <w:r>
        <w:rPr>
          <w:rStyle w:val="VerbatimChar"/>
        </w:rPr>
        <w:t xml:space="preserve">✅ Approval-gated auto-increase</w:t>
      </w:r>
      <w:r>
        <w:br/>
      </w:r>
      <w:r>
        <w:rPr>
          <w:rStyle w:val="VerbatimChar"/>
        </w:rPr>
        <w:t xml:space="preserve">✅ Tier 1 emergency expansion</w:t>
      </w:r>
      <w:r>
        <w:br/>
      </w:r>
      <w:r>
        <w:rPr>
          <w:rStyle w:val="VerbatimChar"/>
        </w:rPr>
        <w:t xml:space="preserve">✅ Shadow joint optimization (for comparison against production rule)</w:t>
      </w:r>
      <w:r>
        <w:br/>
      </w:r>
      <w:r>
        <w:rPr>
          <w:rStyle w:val="VerbatimChar"/>
        </w:rPr>
        <w:t xml:space="preserve">✅ AKS node-pool validation</w:t>
      </w:r>
      <w:r>
        <w:br/>
      </w:r>
      <w:r>
        <w:rPr>
          <w:rStyle w:val="VerbatimChar"/>
        </w:rPr>
        <w:t xml:space="preserve">✅ Capacity-exhaustion queue (for fair customer queueing)</w:t>
      </w:r>
    </w:p>
    <w:p>
      <w:pPr>
        <w:pStyle w:val="FirstParagraph"/>
      </w:pPr>
      <w:r>
        <w:rPr>
          <w:bCs/>
          <w:b/>
        </w:rPr>
        <w:t xml:space="preserve">Maturity:</w:t>
      </w:r>
      <w:r>
        <w:t xml:space="preserve"> </w:t>
      </w:r>
      <w:r>
        <w:t xml:space="preserve">✅ Mostly backlog-ready; Tier 1/2 escalation model complete.</w:t>
      </w:r>
    </w:p>
    <w:p>
      <w:r>
        <w:pict>
          <v:rect style="width:0;height:1.5pt" o:hralign="center" o:hrstd="t" o:hr="t"/>
        </w:pict>
      </w:r>
    </w:p>
    <w:bookmarkEnd w:id="42"/>
    <w:bookmarkStart w:id="43" w:name="Xd49333254725fe61d7b0d85401d03437df80d1f"/>
    <w:p>
      <w:pPr>
        <w:pStyle w:val="Heading3"/>
      </w:pPr>
      <w:r>
        <w:t xml:space="preserve">Could (Phase 2+ — Nice-to-have future capabilities)</w:t>
      </w:r>
    </w:p>
    <w:p>
      <w:pPr>
        <w:pStyle w:val="SourceCode"/>
      </w:pPr>
      <w:r>
        <w:rPr>
          <w:rStyle w:val="VerbatimChar"/>
        </w:rPr>
        <w:t xml:space="preserve">❌ Automated Tier 2 (requires POC-001 validation of consumer quota after a Quota Group transfer — QUA-003, QUA-004, QUA-007; ADR-003)</w:t>
      </w:r>
      <w:r>
        <w:br/>
      </w:r>
      <w:r>
        <w:rPr>
          <w:rStyle w:val="VerbatimChar"/>
        </w:rPr>
        <w:t xml:space="preserve">❌ Advanced forecasting models (ML-based demand prediction)</w:t>
      </w:r>
      <w:r>
        <w:br/>
      </w:r>
      <w:r>
        <w:rPr>
          <w:rStyle w:val="VerbatimChar"/>
        </w:rPr>
        <w:t xml:space="preserve">❌ Sovereign-cloud deployment (Azure Government, China)</w:t>
      </w:r>
      <w:r>
        <w:br/>
      </w:r>
      <w:r>
        <w:rPr>
          <w:rStyle w:val="VerbatimChar"/>
        </w:rPr>
        <w:t xml:space="preserve">❌ Cross-tenant support</w:t>
      </w:r>
      <w:r>
        <w:br/>
      </w:r>
      <w:r>
        <w:rPr>
          <w:rStyle w:val="VerbatimChar"/>
        </w:rPr>
        <w:t xml:space="preserve">❌ VMSS emergency workflows (full Tier 3 VMSS disassociation)</w:t>
      </w:r>
      <w:r>
        <w:br/>
      </w:r>
      <w:r>
        <w:rPr>
          <w:rStyle w:val="VerbatimChar"/>
        </w:rPr>
        <w:t xml:space="preserve">❌ Autonomous Tier 3 after separate board review</w:t>
      </w:r>
    </w:p>
    <w:p>
      <w:pPr>
        <w:pStyle w:val="FirstParagraph"/>
      </w:pPr>
      <w:r>
        <w:rPr>
          <w:bCs/>
          <w:b/>
        </w:rPr>
        <w:t xml:space="preserve">Maturity:</w:t>
      </w:r>
      <w:r>
        <w:t xml:space="preserve"> </w:t>
      </w:r>
      <w:r>
        <w:t xml:space="preserve">Could items deferred; no Phase 1 dependency.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part-5-coverage-summary"/>
    <w:p>
      <w:pPr>
        <w:pStyle w:val="Heading2"/>
      </w:pPr>
      <w:r>
        <w:t xml:space="preserve">Part 5 — Coverage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Fully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FR-1..8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NFR-1..7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R1..8, NFR-R1..3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Must/Should/Could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Most 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Could 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93%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Start w:id="46" w:name="part-6-critical-poc-blockers"/>
    <w:p>
      <w:pPr>
        <w:pStyle w:val="Heading2"/>
      </w:pPr>
      <w:r>
        <w:t xml:space="preserve">Part 6 — Critical POC Blockers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POC Gate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Resolution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Azure Quota Groups functionality in target tenant/region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Quota architecture foundation (QUA-003, QUA-004)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Track</w:t>
            </w:r>
            <w:r>
              <w:t xml:space="preserve"> </w:t>
            </w:r>
            <w:r>
              <w:rPr>
                <w:rStyle w:val="VerbatimChar"/>
              </w:rPr>
              <w:t xml:space="preserve">groupQuotas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groupType</w:t>
            </w:r>
            <w:r>
              <w:t xml:space="preserve"> </w:t>
            </w:r>
            <w:r>
              <w:t xml:space="preserve">maturity; GA availability check; if 404 → escalate to Azure Support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Quota pool release behavior on CR reduction (Tier 2/3 quota-neutral claim)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Single-pool model depends on quota returning to the pool and reaching the deploying subscription (QUA-007)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POC-001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consumer quota after transfer on the API version in use; measure release latency against the Tier RTO</w:t>
            </w:r>
            <w:r>
              <w:t xml:space="preserve"> </w:t>
            </w:r>
            <w:r>
              <w:rPr>
                <w:rStyle w:val="VerbatimChar"/>
              </w:rPr>
              <w:t xml:space="preserve">[Assumed]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Overall Readiness:</w:t>
      </w:r>
      <w:r>
        <w:t xml:space="preserve"> </w:t>
      </w:r>
      <w:r>
        <w:t xml:space="preserve">✅</w:t>
      </w:r>
      <w:r>
        <w:t xml:space="preserve"> </w:t>
      </w:r>
      <w:r>
        <w:rPr>
          <w:bCs/>
          <w:b/>
        </w:rPr>
        <w:t xml:space="preserve">Ready for POC test planning</w:t>
      </w:r>
      <w:r>
        <w:t xml:space="preserve"> </w:t>
      </w:r>
      <w:r>
        <w:t xml:space="preserve">— Phase 1 Must items complete; Phase 2 Should items designed; Critical blockers B-1/B-2 have clear POC gates.</w:t>
      </w:r>
    </w:p>
    <w:bookmarkEnd w:id="46"/>
    <w:bookmarkEnd w:id="4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2026-10-07T11:21:50Z</dcterms:created>
  <dcterms:modified xsi:type="dcterms:W3CDTF">2026-10-07T11:21:50Z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