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X6ebcde9c0314e958f8ef532702a95b13b6fd627"/>
    <w:p>
      <w:pPr>
        <w:pStyle w:val="Heading1"/>
      </w:pPr>
      <w:r>
        <w:t xml:space="preserve">ACRME — Requirements v2.1 vs Production-Ready Design: Deviation Analysis</w:t>
      </w:r>
    </w:p>
    <w:p>
      <w:pPr>
        <w:pStyle w:val="FirstParagraph"/>
      </w:pPr>
      <w:r>
        <w:rPr>
          <w:bCs/>
          <w:b/>
        </w:rPr>
        <w:t xml:space="preserve">Document:</w:t>
      </w:r>
      <w:r>
        <w:t xml:space="preserve"> </w:t>
      </w:r>
      <w:r>
        <w:t xml:space="preserve">Requirements Baseline v2.1 (27 Aug 2026) vs ACRME ADRs v1.2</w:t>
      </w:r>
      <w:r>
        <w:br/>
      </w:r>
      <w:r>
        <w:rPr>
          <w:bCs/>
          <w:b/>
        </w:rPr>
        <w:t xml:space="preserve">Analyst:</w:t>
      </w:r>
      <w:r>
        <w:t xml:space="preserve"> </w:t>
      </w:r>
      <w:r>
        <w:t xml:space="preserve">Azure Capacity &amp; Platform Architect</w:t>
      </w:r>
      <w:r>
        <w:br/>
      </w:r>
      <w:r>
        <w:rPr>
          <w:bCs/>
          <w:b/>
        </w:rPr>
        <w:t xml:space="preserve">Date:</w:t>
      </w:r>
      <w:r>
        <w:t xml:space="preserve"> </w:t>
      </w:r>
      <w:r>
        <w:t xml:space="preserve">August 2026</w:t>
      </w:r>
      <w:r>
        <w:br/>
      </w:r>
      <w:r>
        <w:rPr>
          <w:bCs/>
          <w:b/>
        </w:rPr>
        <w:t xml:space="preserve">Classification:</w:t>
      </w:r>
      <w:r>
        <w:t xml:space="preserve"> </w:t>
      </w:r>
      <w:r>
        <w:t xml:space="preserve">Principal Cloud Architect — Architecture Governance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Requirements v2.1 represents a significant pivot from the earlier design baseline. The pivot introduces</w:t>
      </w:r>
      <w:r>
        <w:t xml:space="preserve"> </w:t>
      </w:r>
      <w:r>
        <w:rPr>
          <w:bCs/>
          <w:b/>
        </w:rPr>
        <w:t xml:space="preserve">lean DR bootstrapping</w:t>
      </w:r>
      <w:r>
        <w:t xml:space="preserve">,</w:t>
      </w:r>
      <w:r>
        <w:t xml:space="preserve"> </w:t>
      </w:r>
      <w:r>
        <w:rPr>
          <w:bCs/>
          <w:b/>
        </w:rPr>
        <w:t xml:space="preserve">distributed/reciprocal DR hosting</w:t>
      </w:r>
      <w:r>
        <w:t xml:space="preserve">, the</w:t>
      </w:r>
      <w:r>
        <w:t xml:space="preserve"> </w:t>
      </w:r>
      <w:r>
        <w:rPr>
          <w:bCs/>
          <w:b/>
        </w:rPr>
        <w:t xml:space="preserve">max-not-sum sizing formula</w:t>
      </w:r>
      <w:r>
        <w:t xml:space="preserve">, and</w:t>
      </w:r>
      <w:r>
        <w:t xml:space="preserve"> </w:t>
      </w:r>
      <w:r>
        <w:rPr>
          <w:bCs/>
          <w:b/>
        </w:rPr>
        <w:t xml:space="preserve">exact-region-first onboarding</w:t>
      </w:r>
      <w:r>
        <w:t xml:space="preserve"> </w:t>
      </w:r>
      <w:r>
        <w:t xml:space="preserve">— all of which are absent from or directly contradict the current ADR design.</w:t>
      </w:r>
    </w:p>
    <w:p>
      <w:pPr>
        <w:pStyle w:val="BodyText"/>
      </w:pPr>
      <w:r>
        <w:rPr>
          <w:bCs/>
          <w:b/>
        </w:rPr>
        <w:t xml:space="preserve">17 deviations identified</w:t>
      </w:r>
      <w:r>
        <w:t xml:space="preserve"> </w:t>
      </w:r>
      <w:r>
        <w:t xml:space="preserve">across four severity tiers: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 sizing model, DR bootstrap target, Quota group preference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Significant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Reciprocal multi-source DR, Source→Destination DR index, Standby activation, Customer seed record, Input-mode 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Double-count guard, Reservation formula, Zero-capacity/no-delete, Readiness states, DR_NOT_OFFERED flag, Quota-as-governor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Reconciliation mechanics, Three-region minimum, Configurable region catalogue</w:t>
            </w:r>
          </w:p>
        </w:tc>
      </w:tr>
    </w:tbl>
    <w:p>
      <w:pPr>
        <w:pStyle w:val="BodyText"/>
      </w:pPr>
      <w:r>
        <w:rPr>
          <w:bCs/>
          <w:b/>
        </w:rPr>
        <w:t xml:space="preserve">Recommended action:</w:t>
      </w:r>
      <w:r>
        <w:t xml:space="preserve"> </w:t>
      </w:r>
      <w:r>
        <w:t xml:space="preserve">Update ADR-001, ADR-002, ADR-003, and ADR-004 to reflect the v2.1 direction. A new ADR-005 (Distributed DR Reference Model) is warranted for the §12A topology. The two-group quota model deviation has a documented design justification — confirm whether QUA-004’s preference overrides it before resolving.</w:t>
      </w:r>
    </w:p>
    <w:p>
      <w:r>
        <w:pict>
          <v:rect style="width:0;height:1.5pt" o:hralign="center" o:hrstd="t" o:hr="t"/>
        </w:pict>
      </w:r>
    </w:p>
    <w:bookmarkEnd w:id="20"/>
    <w:bookmarkStart w:id="38" w:name="deviation-register"/>
    <w:p>
      <w:pPr>
        <w:pStyle w:val="Heading2"/>
      </w:pPr>
      <w:r>
        <w:t xml:space="preserve">Deviation Register</w:t>
      </w:r>
    </w:p>
    <w:p>
      <w:r>
        <w:pict>
          <v:rect style="width:0;height:1.5pt" o:hralign="center" o:hrstd="t" o:hr="t"/>
        </w:pict>
      </w:r>
    </w:p>
    <w:bookmarkStart w:id="21" w:name="X8b6ec9d7f008477ef9349df936cf8de434bf66a"/>
    <w:p>
      <w:pPr>
        <w:pStyle w:val="Heading3"/>
      </w:pPr>
      <w:r>
        <w:t xml:space="preserve">DEV-001 — DR Reserve Sizing: 30–40% Fixed vs Lean Bootstrap</w:t>
      </w:r>
    </w:p>
    <w:p>
      <w:pPr>
        <w:pStyle w:val="FirstParagraph"/>
      </w:pPr>
      <w:r>
        <w:rPr>
          <w:bCs/>
          <w:b/>
        </w:rPr>
        <w:t xml:space="preserve">Severity:</w:t>
      </w:r>
      <w:r>
        <w:t xml:space="preserve"> </w:t>
      </w:r>
      <w:r>
        <w:t xml:space="preserve">🔴 Critical</w:t>
      </w:r>
      <w:r>
        <w:br/>
      </w:r>
      <w:r>
        <w:rPr>
          <w:bCs/>
          <w:b/>
        </w:rPr>
        <w:t xml:space="preserve">Requirement:</w:t>
      </w:r>
      <w:r>
        <w:t xml:space="preserve"> </w:t>
      </w:r>
      <w:r>
        <w:t xml:space="preserve">ENV-005, DR-007, C-1, C-11</w:t>
      </w:r>
      <w:r>
        <w:br/>
      </w:r>
      <w:r>
        <w:rPr>
          <w:bCs/>
          <w:b/>
        </w:rPr>
        <w:t xml:space="preserve">Current ADR:</w:t>
      </w:r>
      <w:r>
        <w:t xml:space="preserve"> </w:t>
      </w:r>
      <w:r>
        <w:t xml:space="preserve">ADR-003, line:</w:t>
      </w:r>
      <w:r>
        <w:t xml:space="preserve"> </w:t>
      </w:r>
      <w:r>
        <w:rPr>
          <w:rStyle w:val="VerbatimChar"/>
        </w:rPr>
        <w:t xml:space="preserve">dr_ratio_min=0.30, dr_ratio_max=0.40, dr_ratio_target=0.35</w:t>
      </w:r>
    </w:p>
    <w:p>
      <w:pPr>
        <w:pStyle w:val="BodyText"/>
      </w:pPr>
      <w:r>
        <w:rPr>
          <w:bCs/>
          <w:b/>
        </w:rPr>
        <w:t xml:space="preserve">Conflict:</w:t>
      </w:r>
    </w:p>
    <w:p>
      <w:pPr>
        <w:pStyle w:val="BodyText"/>
      </w:pPr>
      <w:r>
        <w:t xml:space="preserve">The requirements explicitly pivot away from the 30–40% static reserve model:</w:t>
      </w:r>
    </w:p>
    <w:p>
      <w:pPr>
        <w:pStyle w:val="BlockText"/>
      </w:pPr>
      <w:r>
        <w:t xml:space="preserve">“</w:t>
      </w:r>
      <w:r>
        <w:t xml:space="preserve">DR must NOT default to a fixed 30–40% copy of production. Support a configurable bootstrap target. Discussed 30–40% → 10–20% → ~5% → used-is-free. DR starts lean.</w:t>
      </w:r>
      <w:r>
        <w:t xml:space="preserve">”</w:t>
      </w:r>
      <w:r>
        <w:t xml:space="preserve"> </w:t>
      </w:r>
      <w:r>
        <w:t xml:space="preserve">(ENV-005, DR-007, C-1)</w:t>
      </w:r>
    </w:p>
    <w:p>
      <w:pPr>
        <w:pStyle w:val="FirstParagraph"/>
      </w:pPr>
      <w:r>
        <w:t xml:space="preserve">ADR-003 hardcodes</w:t>
      </w:r>
      <w:r>
        <w:t xml:space="preserve"> </w:t>
      </w:r>
      <w:r>
        <w:rPr>
          <w:rStyle w:val="VerbatimChar"/>
        </w:rPr>
        <w:t xml:space="preserve">dr_ratio_min=0.30</w:t>
      </w:r>
      <w:r>
        <w:t xml:space="preserve">,</w:t>
      </w:r>
      <w:r>
        <w:t xml:space="preserve"> </w:t>
      </w:r>
      <w:r>
        <w:rPr>
          <w:rStyle w:val="VerbatimChar"/>
        </w:rPr>
        <w:t xml:space="preserve">dr_ratio_max=0.40</w:t>
      </w:r>
      <w:r>
        <w:t xml:space="preserve">,</w:t>
      </w:r>
      <w:r>
        <w:t xml:space="preserve"> </w:t>
      </w:r>
      <w:r>
        <w:rPr>
          <w:rStyle w:val="VerbatimChar"/>
        </w:rPr>
        <w:t xml:space="preserve">dr_ratio_target=0.35</w:t>
      </w:r>
      <w:r>
        <w:t xml:space="preserve"> </w:t>
      </w:r>
      <w:r>
        <w:t xml:space="preserve">as normative constants and uses</w:t>
      </w:r>
      <w:r>
        <w:t xml:space="preserve"> </w:t>
      </w:r>
      <w:r>
        <w:rPr>
          <w:rStyle w:val="VerbatimChar"/>
        </w:rPr>
        <w:t xml:space="preserve">dr_ratio_max</w:t>
      </w:r>
      <w:r>
        <w:t xml:space="preserve"> </w:t>
      </w:r>
      <w:r>
        <w:t xml:space="preserve">to size the DR floor. This is the exact v1 model the v2.0 pivot discards. Cost modelling shows this approach runs to</w:t>
      </w:r>
      <w:r>
        <w:t xml:space="preserve"> </w:t>
      </w:r>
      <w:r>
        <w:rPr>
          <w:bCs/>
          <w:b/>
        </w:rPr>
        <w:t xml:space="preserve">$1.5M–$5M/year</w:t>
      </w:r>
      <w:r>
        <w:t xml:space="preserve"> </w:t>
      </w:r>
      <w:r>
        <w:t xml:space="preserve">at platform scale — the primary reason leadership required the pivot (§13, Appendix B).</w:t>
      </w:r>
    </w:p>
    <w:p>
      <w:pPr>
        <w:pStyle w:val="BodyText"/>
      </w:pPr>
      <w:r>
        <w:rPr>
          <w:bCs/>
          <w:b/>
        </w:rPr>
        <w:t xml:space="preserve">Required ADR update:</w:t>
      </w:r>
      <w:r>
        <w:t xml:space="preserve"> </w:t>
      </w:r>
      <w:r>
        <w:t xml:space="preserve">- Replace fixed</w:t>
      </w:r>
      <w:r>
        <w:t xml:space="preserve"> </w:t>
      </w:r>
      <w:r>
        <w:rPr>
          <w:rStyle w:val="VerbatimChar"/>
        </w:rPr>
        <w:t xml:space="preserve">dr_ratio_*</w:t>
      </w:r>
      <w:r>
        <w:t xml:space="preserve"> </w:t>
      </w:r>
      <w:r>
        <w:t xml:space="preserve">constants with a</w:t>
      </w:r>
      <w:r>
        <w:t xml:space="preserve"> </w:t>
      </w:r>
      <w:r>
        <w:rPr>
          <w:bCs/>
          <w:b/>
        </w:rPr>
        <w:t xml:space="preserve">configurable bootstrap target</w:t>
      </w:r>
      <w:r>
        <w:t xml:space="preserve"> </w:t>
      </w:r>
      <w:r>
        <w:t xml:space="preserve">per product/workload/SKU.</w:t>
      </w:r>
      <w:r>
        <w:t xml:space="preserve"> </w:t>
      </w:r>
      <w:r>
        <w:t xml:space="preserve">- ADR-003 must document that bootstrap capacity = minimum to stand up control planes and begin recovery, not a percentage clone of Prod.</w:t>
      </w:r>
      <w:r>
        <w:t xml:space="preserve"> </w:t>
      </w:r>
      <w:r>
        <w:t xml:space="preserve">- DR floor formula in ADR-002 (</w:t>
      </w:r>
      <w:r>
        <w:rPr>
          <w:rStyle w:val="VerbatimChar"/>
        </w:rPr>
        <w:t xml:space="preserve">DR_Floor_vCPU = potential_dr_demand × vCPU_per_instance × dr_ratio_max</w:t>
      </w:r>
      <w:r>
        <w:t xml:space="preserve">) must be rederived against the max-not-sum formula (see DEV-002) rather than a fixed ratio.</w:t>
      </w:r>
      <w:r>
        <w:t xml:space="preserve"> </w:t>
      </w:r>
      <w:r>
        <w:t xml:space="preserve">- Document the</w:t>
      </w:r>
      <w:r>
        <w:t xml:space="preserve"> </w:t>
      </w:r>
      <w:r>
        <w:rPr>
          <w:rStyle w:val="VerbatimChar"/>
        </w:rPr>
        <w:t xml:space="preserve">C-11</w:t>
      </w:r>
      <w:r>
        <w:t xml:space="preserve"> </w:t>
      </w:r>
      <w:r>
        <w:t xml:space="preserve">configurable override: max-not-sum is default; SUM is available per scope.</w:t>
      </w:r>
    </w:p>
    <w:p>
      <w:r>
        <w:pict>
          <v:rect style="width:0;height:1.5pt" o:hralign="center" o:hrstd="t" o:hr="t"/>
        </w:pict>
      </w:r>
    </w:p>
    <w:bookmarkEnd w:id="21"/>
    <w:bookmarkStart w:id="22" w:name="X5b31c3f719d8b4463c03e69d5ebc9185a7a91d5"/>
    <w:p>
      <w:pPr>
        <w:pStyle w:val="Heading3"/>
      </w:pPr>
      <w:r>
        <w:t xml:space="preserve">DEV-002 — DR Sizing Formula: Percentage-of-Prod vs Max-Not-Sum (A.6)</w:t>
      </w:r>
    </w:p>
    <w:p>
      <w:pPr>
        <w:pStyle w:val="FirstParagraph"/>
      </w:pPr>
      <w:r>
        <w:rPr>
          <w:bCs/>
          <w:b/>
        </w:rPr>
        <w:t xml:space="preserve">Severity:</w:t>
      </w:r>
      <w:r>
        <w:t xml:space="preserve"> </w:t>
      </w:r>
      <w:r>
        <w:t xml:space="preserve">🔴 Critical</w:t>
      </w:r>
      <w:r>
        <w:br/>
      </w:r>
      <w:r>
        <w:rPr>
          <w:bCs/>
          <w:b/>
        </w:rPr>
        <w:t xml:space="preserve">Requirement:</w:t>
      </w:r>
      <w:r>
        <w:t xml:space="preserve"> </w:t>
      </w:r>
      <w:r>
        <w:t xml:space="preserve">DR-017, Appendix A.6, Appendix D, C-11, POC-011</w:t>
      </w:r>
      <w:r>
        <w:br/>
      </w:r>
      <w:r>
        <w:rPr>
          <w:bCs/>
          <w:b/>
        </w:rPr>
        <w:t xml:space="preserve">Current ADR:</w:t>
      </w:r>
      <w:r>
        <w:t xml:space="preserve"> </w:t>
      </w:r>
      <w:r>
        <w:t xml:space="preserve">ADR-003 uses</w:t>
      </w:r>
      <w:r>
        <w:t xml:space="preserve"> </w:t>
      </w:r>
      <w:r>
        <w:rPr>
          <w:rStyle w:val="VerbatimChar"/>
        </w:rPr>
        <w:t xml:space="preserve">prod_vm_count × dr_ratio_max</w:t>
      </w:r>
      <w:r>
        <w:t xml:space="preserve">; ADR-004 uses</w:t>
      </w:r>
      <w:r>
        <w:t xml:space="preserve"> </w:t>
      </w:r>
      <w:r>
        <w:rPr>
          <w:rStyle w:val="VerbatimChar"/>
        </w:rPr>
        <w:t xml:space="preserve">Forecast_Peak × (1 + Growth_Buffer) + DR_Buffer</w:t>
      </w:r>
    </w:p>
    <w:p>
      <w:pPr>
        <w:pStyle w:val="BodyText"/>
      </w:pPr>
      <w:r>
        <w:rPr>
          <w:bCs/>
          <w:b/>
        </w:rPr>
        <w:t xml:space="preserve">Conflict:</w:t>
      </w:r>
    </w:p>
    <w:p>
      <w:pPr>
        <w:pStyle w:val="BodyText"/>
      </w:pPr>
      <w:r>
        <w:t xml:space="preserve">Requirements v2.1 introduce a fundamentally different DR destination sizing formula:</w:t>
      </w:r>
    </w:p>
    <w:p>
      <w:pPr>
        <w:pStyle w:val="SourceCode"/>
      </w:pPr>
      <w:r>
        <w:rPr>
          <w:rStyle w:val="VerbatimChar"/>
        </w:rPr>
        <w:t xml:space="preserve">Destination DR Requirement(d)</w:t>
      </w:r>
      <w:r>
        <w:br/>
      </w:r>
      <w:r>
        <w:rPr>
          <w:rStyle w:val="VerbatimChar"/>
        </w:rPr>
        <w:t xml:space="preserve">  = MAX over non-concurrent source regions s protected by d (</w:t>
      </w:r>
      <w:r>
        <w:br/>
      </w:r>
      <w:r>
        <w:rPr>
          <w:rStyle w:val="VerbatimChar"/>
        </w:rPr>
        <w:t xml:space="preserve">        Workload Portion of s assigned to destination d</w:t>
      </w:r>
      <w:r>
        <w:br/>
      </w:r>
      <w:r>
        <w:rPr>
          <w:rStyle w:val="VerbatimChar"/>
        </w:rPr>
        <w:t xml:space="preserve">    )</w:t>
      </w:r>
    </w:p>
    <w:p>
      <w:pPr>
        <w:pStyle w:val="FirstParagraph"/>
      </w:pPr>
      <w:r>
        <w:t xml:space="preserve">The current design sizes DR as a percentage of Prod (</w:t>
      </w:r>
      <w:r>
        <w:rPr>
          <w:rStyle w:val="VerbatimChar"/>
        </w:rPr>
        <w:t xml:space="preserve">30–40% × prod_vm_count</w:t>
      </w:r>
      <w:r>
        <w:t xml:space="preserve">). The requirements replace this with a</w:t>
      </w:r>
      <w:r>
        <w:t xml:space="preserve"> </w:t>
      </w:r>
      <w:r>
        <w:rPr>
          <w:bCs/>
          <w:b/>
        </w:rPr>
        <w:t xml:space="preserve">distributed, max-over-sources</w:t>
      </w:r>
      <w:r>
        <w:t xml:space="preserve"> </w:t>
      </w:r>
      <w:r>
        <w:t xml:space="preserve">formula derived from the single-failure assumption (DR-001): because only one region fails at a time, a destination need only hold standby capacity for its</w:t>
      </w:r>
      <w:r>
        <w:t xml:space="preserve"> </w:t>
      </w:r>
      <w:r>
        <w:rPr>
          <w:bCs/>
          <w:b/>
        </w:rPr>
        <w:t xml:space="preserve">largest</w:t>
      </w:r>
      <w:r>
        <w:t xml:space="preserve"> </w:t>
      </w:r>
      <w:r>
        <w:t xml:space="preserve">protected source, not the sum.</w:t>
      </w:r>
    </w:p>
    <w:p>
      <w:pPr>
        <w:pStyle w:val="BodyText"/>
      </w:pPr>
      <w:r>
        <w:t xml:space="preserve">The requirements quantify the saving: ~40–50% standby reduction,</w:t>
      </w:r>
      <w:r>
        <w:t xml:space="preserve"> </w:t>
      </w:r>
      <w:r>
        <w:rPr>
          <w:bCs/>
          <w:b/>
        </w:rPr>
        <w:t xml:space="preserve">$0.6M–$2.5M/year</w:t>
      </w:r>
      <w:r>
        <w:t xml:space="preserve"> </w:t>
      </w:r>
      <w:r>
        <w:t xml:space="preserve">at platform scale (Appendix D.4). The old formula reintroduces exactly the idle-reserve cost the lean bootstrap model was created to eliminate.</w:t>
      </w:r>
    </w:p>
    <w:p>
      <w:pPr>
        <w:pStyle w:val="BodyText"/>
      </w:pPr>
      <w:r>
        <w:t xml:space="preserve">ADRs do not mention this formula at all. The current ADR-003 formula (</w:t>
      </w:r>
      <w:r>
        <w:rPr>
          <w:rStyle w:val="VerbatimChar"/>
        </w:rPr>
        <w:t xml:space="preserve">prod_vm_count × dr_ratio_max</w:t>
      </w:r>
      <w:r>
        <w:t xml:space="preserve">) effectively implements the</w:t>
      </w:r>
      <w:r>
        <w:t xml:space="preserve"> </w:t>
      </w:r>
      <w:r>
        <w:rPr>
          <w:bCs/>
          <w:b/>
        </w:rPr>
        <w:t xml:space="preserve">sum</w:t>
      </w:r>
      <w:r>
        <w:t xml:space="preserve"> </w:t>
      </w:r>
      <w:r>
        <w:t xml:space="preserve">approach at a per-region level, which the requirements explicitly mark as incorrect (❌ in Appendix D).</w:t>
      </w:r>
    </w:p>
    <w:p>
      <w:pPr>
        <w:pStyle w:val="BodyText"/>
      </w:pPr>
      <w:r>
        <w:rPr>
          <w:bCs/>
          <w:b/>
        </w:rPr>
        <w:t xml:space="preserve">Required ADR update:</w:t>
      </w:r>
      <w:r>
        <w:t xml:space="preserve"> </w:t>
      </w:r>
      <w:r>
        <w:t xml:space="preserve">- ADR-003: Replace the</w:t>
      </w:r>
      <w:r>
        <w:t xml:space="preserve"> </w:t>
      </w:r>
      <w:r>
        <w:rPr>
          <w:rStyle w:val="VerbatimChar"/>
        </w:rPr>
        <w:t xml:space="preserve">dr_ratio_*</w:t>
      </w:r>
      <w:r>
        <w:t xml:space="preserve"> </w:t>
      </w:r>
      <w:r>
        <w:t xml:space="preserve">sizing with Appendix A.6 max-not-sum formula.</w:t>
      </w:r>
      <w:r>
        <w:t xml:space="preserve"> </w:t>
      </w:r>
      <w:r>
        <w:t xml:space="preserve">- ADR-002: Update</w:t>
      </w:r>
      <w:r>
        <w:t xml:space="preserve"> </w:t>
      </w:r>
      <w:r>
        <w:rPr>
          <w:rStyle w:val="VerbatimChar"/>
        </w:rPr>
        <w:t xml:space="preserve">DR_Floor_vCPU</w:t>
      </w:r>
      <w:r>
        <w:t xml:space="preserve"> </w:t>
      </w:r>
      <w:r>
        <w:t xml:space="preserve">accounting formula to align with distributed portions, not a fixed percentage.</w:t>
      </w:r>
      <w:r>
        <w:t xml:space="preserve"> </w:t>
      </w:r>
      <w:r>
        <w:t xml:space="preserve">- ADR-004: The</w:t>
      </w:r>
      <w:r>
        <w:t xml:space="preserve"> </w:t>
      </w:r>
      <w:r>
        <w:rPr>
          <w:rStyle w:val="VerbatimChar"/>
        </w:rPr>
        <w:t xml:space="preserve">Forecast_Quantity</w:t>
      </w:r>
      <w:r>
        <w:t xml:space="preserve"> </w:t>
      </w:r>
      <w:r>
        <w:t xml:space="preserve">formula should explicitly separate the Prod growth forecast path from the DR sizing path — they are now governed by different formulas.</w:t>
      </w:r>
      <w:r>
        <w:t xml:space="preserve"> </w:t>
      </w:r>
      <w:r>
        <w:t xml:space="preserve">- Add POC-011 as a required validation gate before production dependency on the overcommitted model.</w:t>
      </w:r>
      <w:r>
        <w:t xml:space="preserve"> </w:t>
      </w:r>
      <w:r>
        <w:t xml:space="preserve">- Document the</w:t>
      </w:r>
      <w:r>
        <w:t xml:space="preserve"> </w:t>
      </w:r>
      <w:r>
        <w:rPr>
          <w:rStyle w:val="VerbatimChar"/>
        </w:rPr>
        <w:t xml:space="preserve">SUM</w:t>
      </w:r>
      <w:r>
        <w:t xml:space="preserve"> </w:t>
      </w:r>
      <w:r>
        <w:t xml:space="preserve">override (C-11) as the conservative alternative for specific customer/geography contracts.</w:t>
      </w:r>
    </w:p>
    <w:p>
      <w:r>
        <w:pict>
          <v:rect style="width:0;height:1.5pt" o:hralign="center" o:hrstd="t" o:hr="t"/>
        </w:pict>
      </w:r>
    </w:p>
    <w:bookmarkEnd w:id="22"/>
    <w:bookmarkStart w:id="23" w:name="Xca2d919c8075ba55ec5104f22436e60537f219d"/>
    <w:p>
      <w:pPr>
        <w:pStyle w:val="Heading3"/>
      </w:pPr>
      <w:r>
        <w:t xml:space="preserve">DEV-003 — Quota Group Preference: Two-Group Model vs One-Pool Preference</w:t>
      </w:r>
    </w:p>
    <w:p>
      <w:pPr>
        <w:pStyle w:val="FirstParagraph"/>
      </w:pPr>
      <w:r>
        <w:rPr>
          <w:bCs/>
          <w:b/>
        </w:rPr>
        <w:t xml:space="preserve">Severity:</w:t>
      </w:r>
      <w:r>
        <w:t xml:space="preserve"> </w:t>
      </w:r>
      <w:r>
        <w:t xml:space="preserve">🔴 Critical (requires explicit decision)</w:t>
      </w:r>
      <w:r>
        <w:br/>
      </w:r>
      <w:r>
        <w:rPr>
          <w:bCs/>
          <w:b/>
        </w:rPr>
        <w:t xml:space="preserve">Requirement:</w:t>
      </w:r>
      <w:r>
        <w:t xml:space="preserve"> </w:t>
      </w:r>
      <w:r>
        <w:t xml:space="preserve">QUA-004</w:t>
      </w:r>
      <w:r>
        <w:br/>
      </w:r>
      <w:r>
        <w:rPr>
          <w:bCs/>
          <w:b/>
        </w:rPr>
        <w:t xml:space="preserve">Current ADR:</w:t>
      </w:r>
      <w:r>
        <w:t xml:space="preserve"> </w:t>
      </w:r>
      <w:r>
        <w:t xml:space="preserve">ADR-002 — Two groups per region (isolated Prod + shared NonProd+DR)</w:t>
      </w:r>
    </w:p>
    <w:p>
      <w:pPr>
        <w:pStyle w:val="BodyText"/>
      </w:pPr>
      <w:r>
        <w:rPr>
          <w:bCs/>
          <w:b/>
        </w:rPr>
        <w:t xml:space="preserve">Conflict:</w:t>
      </w:r>
    </w:p>
    <w:p>
      <w:pPr>
        <w:pStyle w:val="BodyText"/>
      </w:pPr>
      <w:r>
        <w:t xml:space="preserve">The requirements state:</w:t>
      </w:r>
    </w:p>
    <w:p>
      <w:pPr>
        <w:pStyle w:val="BlockText"/>
      </w:pPr>
      <w:r>
        <w:t xml:space="preserve">“</w:t>
      </w:r>
      <w:r>
        <w:t xml:space="preserve">Prefer ONE governed quota group per applicable regional/quota-family scope (prod, non-prod, and DR together) to maximise manipulation flexibility, unless Azure limits or governance boundaries require separation. Final grouping stays configuration-driven.</w:t>
      </w:r>
      <w:r>
        <w:t xml:space="preserve">”</w:t>
      </w:r>
      <w:r>
        <w:t xml:space="preserve"> </w:t>
      </w:r>
      <w:r>
        <w:t xml:space="preserve">(QUA-004)</w:t>
      </w:r>
    </w:p>
    <w:p>
      <w:pPr>
        <w:pStyle w:val="FirstParagraph"/>
      </w:pPr>
      <w:r>
        <w:t xml:space="preserve">The current ADR-002 explicitly</w:t>
      </w:r>
      <w:r>
        <w:t xml:space="preserve"> </w:t>
      </w:r>
      <w:r>
        <w:rPr>
          <w:bCs/>
          <w:b/>
        </w:rPr>
        <w:t xml:space="preserve">rejects</w:t>
      </w:r>
      <w:r>
        <w:t xml:space="preserve"> </w:t>
      </w:r>
      <w:r>
        <w:t xml:space="preserve">the single-pool model:</w:t>
      </w:r>
    </w:p>
    <w:p>
      <w:pPr>
        <w:pStyle w:val="BlockText"/>
      </w:pPr>
      <w:r>
        <w:t xml:space="preserve">“</w:t>
      </w:r>
      <w:r>
        <w:t xml:space="preserve">Single shared quota pool (all three CRGs) — Breaks Prod isolation — a NonProd surge can consume Prod’s quota. [Decided]</w:t>
      </w:r>
      <w:r>
        <w:t xml:space="preserve">”</w:t>
      </w:r>
    </w:p>
    <w:p>
      <w:pPr>
        <w:pStyle w:val="FirstParagraph"/>
      </w:pPr>
      <w:r>
        <w:t xml:space="preserve">and selects the two-group model.</w:t>
      </w:r>
    </w:p>
    <w:p>
      <w:pPr>
        <w:pStyle w:val="BodyText"/>
      </w:pPr>
      <w:r>
        <w:rPr>
          <w:bCs/>
          <w:b/>
        </w:rPr>
        <w:t xml:space="preserve">Assessment:</w:t>
      </w:r>
      <w:r>
        <w:t xml:space="preserve"> </w:t>
      </w:r>
      <w:r>
        <w:t xml:space="preserve">This is not a clear error — the ADR documents a reasoned rejection of the single pool. However, the requirements document does not acknowledge or reference this decision. There is a conflict in stated preference that needs a recorded resolution.</w:t>
      </w:r>
    </w:p>
    <w:p>
      <w:pPr>
        <w:pStyle w:val="BodyText"/>
      </w:pPr>
      <w:r>
        <w:rPr>
          <w:bCs/>
          <w:b/>
        </w:rPr>
        <w:t xml:space="preserve">Required action:</w:t>
      </w:r>
      <w:r>
        <w:t xml:space="preserve"> </w:t>
      </w:r>
      <w:r>
        <w:t xml:space="preserve">- Determine whether QUA-004 was written with knowledge of the two-group ADR decision or whether it represents a newer business preference.</w:t>
      </w:r>
      <w:r>
        <w:t xml:space="preserve"> </w:t>
      </w:r>
      <w:r>
        <w:t xml:space="preserve">- If the two-group model is confirmed: update QUA-004 to document that the governance isolation requirement IS the justification for separation, and the</w:t>
      </w:r>
      <w:r>
        <w:t xml:space="preserve"> </w:t>
      </w:r>
      <w:r>
        <w:t xml:space="preserve">“</w:t>
      </w:r>
      <w:r>
        <w:t xml:space="preserve">unless governance boundaries require separation</w:t>
      </w:r>
      <w:r>
        <w:t xml:space="preserve">”</w:t>
      </w:r>
      <w:r>
        <w:t xml:space="preserve"> </w:t>
      </w:r>
      <w:r>
        <w:t xml:space="preserve">clause applies. ADR-002 already documents this — the requirements need a note that the ADR’s two-group model is the approved implementation of QUA-004.</w:t>
      </w:r>
      <w:r>
        <w:t xml:space="preserve"> </w:t>
      </w:r>
      <w:r>
        <w:t xml:space="preserve">- If one pool is required: ADR-002 must be revised to remove Prod isolation via quota groups and find an alternative Prod protection mechanism.</w:t>
      </w:r>
      <w:r>
        <w:t xml:space="preserve"> </w:t>
      </w:r>
      <w:r>
        <w:t xml:space="preserve">- Either way, the tension must be</w:t>
      </w:r>
      <w:r>
        <w:t xml:space="preserve"> </w:t>
      </w:r>
      <w:r>
        <w:rPr>
          <w:bCs/>
          <w:b/>
        </w:rPr>
        <w:t xml:space="preserve">explicitly resolved and recorded</w:t>
      </w:r>
      <w:r>
        <w:t xml:space="preserve"> </w:t>
      </w:r>
      <w:r>
        <w:t xml:space="preserve">— the current state has the requirement and the ADR pointing in opposite directions with no cross-reference.</w:t>
      </w:r>
    </w:p>
    <w:p>
      <w:r>
        <w:pict>
          <v:rect style="width:0;height:1.5pt" o:hralign="center" o:hrstd="t" o:hr="t"/>
        </w:pict>
      </w:r>
    </w:p>
    <w:bookmarkEnd w:id="23"/>
    <w:bookmarkStart w:id="24" w:name="Xfda533795eab825ec876380898d79b5cc63053c"/>
    <w:p>
      <w:pPr>
        <w:pStyle w:val="Heading3"/>
      </w:pPr>
      <w:r>
        <w:t xml:space="preserve">DEV-004 — Reciprocal Multi-Source DR Hosting (DR-016): Absent from ADRs</w:t>
      </w:r>
    </w:p>
    <w:p>
      <w:pPr>
        <w:pStyle w:val="FirstParagraph"/>
      </w:pPr>
      <w:r>
        <w:rPr>
          <w:bCs/>
          <w:b/>
        </w:rPr>
        <w:t xml:space="preserve">Severity:</w:t>
      </w:r>
      <w:r>
        <w:t xml:space="preserve"> </w:t>
      </w:r>
      <w:r>
        <w:t xml:space="preserve">🟠 Significant</w:t>
      </w:r>
      <w:r>
        <w:br/>
      </w:r>
      <w:r>
        <w:rPr>
          <w:bCs/>
          <w:b/>
        </w:rPr>
        <w:t xml:space="preserve">Requirement:</w:t>
      </w:r>
      <w:r>
        <w:t xml:space="preserve"> </w:t>
      </w:r>
      <w:r>
        <w:t xml:space="preserve">DR-016, §12A (Distributed DR Reference Model)</w:t>
      </w:r>
      <w:r>
        <w:br/>
      </w:r>
      <w:r>
        <w:rPr>
          <w:bCs/>
          <w:b/>
        </w:rPr>
        <w:t xml:space="preserve">Current ADR:</w:t>
      </w:r>
      <w:r>
        <w:t xml:space="preserve"> </w:t>
      </w:r>
      <w:r>
        <w:t xml:space="preserve">ADR-003 describes NonProd/DR co-location and the state machine, but not the many-to-many topology.</w:t>
      </w:r>
    </w:p>
    <w:p>
      <w:pPr>
        <w:pStyle w:val="BodyText"/>
      </w:pPr>
      <w:r>
        <w:rPr>
          <w:bCs/>
          <w:b/>
        </w:rPr>
        <w:t xml:space="preserve">Gap:</w:t>
      </w:r>
    </w:p>
    <w:p>
      <w:pPr>
        <w:pStyle w:val="BodyText"/>
      </w:pPr>
      <w:r>
        <w:t xml:space="preserve">Requirements v2.1 formalise that every region simultaneously performs three roles:</w:t>
      </w:r>
    </w:p>
    <w:p>
      <w:pPr>
        <w:pStyle w:val="BlockText"/>
      </w:pPr>
      <w:r>
        <w:t xml:space="preserve">“</w:t>
      </w:r>
      <w:r>
        <w:t xml:space="preserve">Every region may concurrently perform three roles: (a) Production for its own customers, (b) CVAL host for customers whose production is elsewhere, and (c) standby DR host for customers originating in multiple different source regions.</w:t>
      </w:r>
      <w:r>
        <w:t xml:space="preserve">”</w:t>
      </w:r>
      <w:r>
        <w:t xml:space="preserve"> </w:t>
      </w:r>
      <w:r>
        <w:t xml:space="preserve">(DR-016)</w:t>
      </w:r>
    </w:p>
    <w:p>
      <w:pPr>
        <w:pStyle w:val="FirstParagraph"/>
      </w:pPr>
      <w:r>
        <w:t xml:space="preserve">The worked example in §12A confirms Region 1 simultaneously holds:</w:t>
      </w:r>
      <w:r>
        <w:t xml:space="preserve"> </w:t>
      </w:r>
      <w:r>
        <w:t xml:space="preserve">- Prod: Cust1, Cust3, Cust5</w:t>
      </w:r>
      <w:r>
        <w:t xml:space="preserve"> </w:t>
      </w:r>
      <w:r>
        <w:t xml:space="preserve">- CVAL: Cust2, Cust7</w:t>
      </w:r>
      <w:r>
        <w:t xml:space="preserve"> </w:t>
      </w:r>
      <w:r>
        <w:t xml:space="preserve">- DR standby: Cust2 (source R2), Cust7 (source R3)</w:t>
      </w:r>
    </w:p>
    <w:p>
      <w:pPr>
        <w:pStyle w:val="BodyText"/>
      </w:pPr>
      <w:r>
        <w:t xml:space="preserve">ADR-003 only describes the NonProd/DR co-location for a single customer’s perspective. It does not model the</w:t>
      </w:r>
      <w:r>
        <w:t xml:space="preserve"> </w:t>
      </w:r>
      <w:r>
        <w:rPr>
          <w:bCs/>
          <w:b/>
        </w:rPr>
        <w:t xml:space="preserve">bidirectional many-to-many topology</w:t>
      </w:r>
      <w:r>
        <w:t xml:space="preserve"> </w:t>
      </w:r>
      <w:r>
        <w:t xml:space="preserve">where one destination serves DR for multiple independent source regions concurrently. This is architecturally distinct from the current ADR scope and has major implications for capacity planning (max-not-sum sizing) and state modelling (the DR index, DEV-005).</w:t>
      </w:r>
    </w:p>
    <w:p>
      <w:pPr>
        <w:pStyle w:val="BodyText"/>
      </w:pPr>
      <w:r>
        <w:rPr>
          <w:bCs/>
          <w:b/>
        </w:rPr>
        <w:t xml:space="preserve">Required action:</w:t>
      </w:r>
      <w:r>
        <w:t xml:space="preserve"> </w:t>
      </w:r>
      <w:r>
        <w:t xml:space="preserve">New ADR-005 or a §12A section in ADR-003 formalising the distributed DR reference topology. Must cover: three-role region model, bidirectional mapping structure, relationship to max-not-sum sizing, and the constraint that single-failure assumption (DR-001) is what permits the overcommitted standby model.</w:t>
      </w:r>
    </w:p>
    <w:p>
      <w:r>
        <w:pict>
          <v:rect style="width:0;height:1.5pt" o:hralign="center" o:hrstd="t" o:hr="t"/>
        </w:pict>
      </w:r>
    </w:p>
    <w:bookmarkEnd w:id="24"/>
    <w:bookmarkStart w:id="25" w:name="X3cfd9a9228ba5c3f692b776f2174161e2aa9be2"/>
    <w:p>
      <w:pPr>
        <w:pStyle w:val="Heading3"/>
      </w:pPr>
      <w:r>
        <w:t xml:space="preserve">DEV-005 — Source→Destination DR Index (DR-018): Not in ADRs or Data Model</w:t>
      </w:r>
    </w:p>
    <w:p>
      <w:pPr>
        <w:pStyle w:val="FirstParagraph"/>
      </w:pPr>
      <w:r>
        <w:rPr>
          <w:bCs/>
          <w:b/>
        </w:rPr>
        <w:t xml:space="preserve">Severity:</w:t>
      </w:r>
      <w:r>
        <w:t xml:space="preserve"> </w:t>
      </w:r>
      <w:r>
        <w:t xml:space="preserve">🟠 Significant</w:t>
      </w:r>
      <w:r>
        <w:br/>
      </w:r>
      <w:r>
        <w:rPr>
          <w:bCs/>
          <w:b/>
        </w:rPr>
        <w:t xml:space="preserve">Requirement:</w:t>
      </w:r>
      <w:r>
        <w:t xml:space="preserve"> </w:t>
      </w:r>
      <w:r>
        <w:t xml:space="preserve">DR-018, DAT-002, OBS-004, §12A.1</w:t>
      </w:r>
      <w:r>
        <w:br/>
      </w:r>
      <w:r>
        <w:rPr>
          <w:bCs/>
          <w:b/>
        </w:rPr>
        <w:t xml:space="preserve">Current ADR:</w:t>
      </w:r>
      <w:r>
        <w:t xml:space="preserve"> </w:t>
      </w:r>
      <w:r>
        <w:t xml:space="preserve">No mention of a DR index entity.</w:t>
      </w:r>
    </w:p>
    <w:p>
      <w:pPr>
        <w:pStyle w:val="BodyText"/>
      </w:pPr>
      <w:r>
        <w:rPr>
          <w:bCs/>
          <w:b/>
        </w:rPr>
        <w:t xml:space="preserve">Gap:</w:t>
      </w:r>
    </w:p>
    <w:p>
      <w:pPr>
        <w:pStyle w:val="BodyText"/>
      </w:pPr>
      <w:r>
        <w:t xml:space="preserve">The requirements mandate an authoritative bidirectional mapping:</w:t>
      </w:r>
    </w:p>
    <w:p>
      <w:pPr>
        <w:pStyle w:val="BlockText"/>
      </w:pPr>
      <w:r>
        <w:t xml:space="preserve">“</w:t>
      </w:r>
      <w:r>
        <w:t xml:space="preserve">Maintain a bidirectional mapping that records, for each source region, which destination regions hold its customers’ DR instances and in what quantity/SKU. On a regional failure the engine uses this index to determine exactly which standby instances to activate and where.</w:t>
      </w:r>
      <w:r>
        <w:t xml:space="preserve">”</w:t>
      </w:r>
      <w:r>
        <w:t xml:space="preserve"> </w:t>
      </w:r>
      <w:r>
        <w:t xml:space="preserve">(DR-018)</w:t>
      </w:r>
    </w:p>
    <w:p>
      <w:pPr>
        <w:pStyle w:val="FirstParagraph"/>
      </w:pPr>
      <w:r>
        <w:t xml:space="preserve">The index is also listed as a</w:t>
      </w:r>
      <w:r>
        <w:t xml:space="preserve"> </w:t>
      </w:r>
      <w:r>
        <w:rPr>
          <w:bCs/>
          <w:b/>
        </w:rPr>
        <w:t xml:space="preserve">minimum required entity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DAT-002</w:t>
      </w:r>
      <w:r>
        <w:t xml:space="preserve"> </w:t>
      </w:r>
      <w:r>
        <w:t xml:space="preserve">and must drive the standby activation workflow (DR-019). No ADR mentions this data entity — neither the structure, cardinality, freshness requirements, nor its relationship to the customer seed record (PLC-003).</w:t>
      </w:r>
    </w:p>
    <w:p>
      <w:pPr>
        <w:pStyle w:val="BodyText"/>
      </w:pPr>
      <w:r>
        <w:rPr>
          <w:bCs/>
          <w:b/>
        </w:rPr>
        <w:t xml:space="preserve">Required action:</w:t>
      </w:r>
      <w:r>
        <w:t xml:space="preserve"> </w:t>
      </w:r>
      <w:r>
        <w:t xml:space="preserve">- ADR-003 or a new ADR-005: Define the</w:t>
      </w:r>
      <w:r>
        <w:t xml:space="preserve"> </w:t>
      </w:r>
      <w:r>
        <w:rPr>
          <w:rStyle w:val="VerbatimChar"/>
        </w:rPr>
        <w:t xml:space="preserve">SourceDestinationDRIndex</w:t>
      </w:r>
      <w:r>
        <w:t xml:space="preserve"> </w:t>
      </w:r>
      <w:r>
        <w:t xml:space="preserve">entity — fields: source region, destination region, customer/realm ID, standby instance set, SKU/quantity, activation state, last-updated, policy version reference.</w:t>
      </w:r>
      <w:r>
        <w:t xml:space="preserve"> </w:t>
      </w:r>
      <w:r>
        <w:t xml:space="preserve">- Cross-reference to seed record (DEV-006 below).</w:t>
      </w:r>
      <w:r>
        <w:t xml:space="preserve"> </w:t>
      </w:r>
      <w:r>
        <w:t xml:space="preserve">- Must include the observability requirement: dashboard view of source↔destination mapping, per-destination max-source coverage (OBS-004).</w:t>
      </w:r>
    </w:p>
    <w:p>
      <w:r>
        <w:pict>
          <v:rect style="width:0;height:1.5pt" o:hralign="center" o:hrstd="t" o:hr="t"/>
        </w:pict>
      </w:r>
    </w:p>
    <w:bookmarkEnd w:id="25"/>
    <w:bookmarkStart w:id="26" w:name="Xf1455165c45ec591bad67e7d663b7e81f041489"/>
    <w:p>
      <w:pPr>
        <w:pStyle w:val="Heading3"/>
      </w:pPr>
      <w:r>
        <w:t xml:space="preserve">DEV-006 — Customer Placement Seed Record (PLC-003 to PLC-005): Absent from ADR-001</w:t>
      </w:r>
    </w:p>
    <w:p>
      <w:pPr>
        <w:pStyle w:val="FirstParagraph"/>
      </w:pPr>
      <w:r>
        <w:rPr>
          <w:bCs/>
          <w:b/>
        </w:rPr>
        <w:t xml:space="preserve">Severity:</w:t>
      </w:r>
      <w:r>
        <w:t xml:space="preserve"> </w:t>
      </w:r>
      <w:r>
        <w:t xml:space="preserve">🟠 Significant</w:t>
      </w:r>
      <w:r>
        <w:br/>
      </w:r>
      <w:r>
        <w:rPr>
          <w:bCs/>
          <w:b/>
        </w:rPr>
        <w:t xml:space="preserve">Requirement:</w:t>
      </w:r>
      <w:r>
        <w:t xml:space="preserve"> </w:t>
      </w:r>
      <w:r>
        <w:t xml:space="preserve">PLC-003, PLC-004, PLC-005, DAT-002</w:t>
      </w:r>
      <w:r>
        <w:br/>
      </w:r>
      <w:r>
        <w:rPr>
          <w:bCs/>
          <w:b/>
        </w:rPr>
        <w:t xml:space="preserve">Current ADR:</w:t>
      </w:r>
      <w:r>
        <w:t xml:space="preserve"> </w:t>
      </w:r>
      <w:r>
        <w:t xml:space="preserve">ADR-001 describes the two input modes (Scenario 1/2) and scoring pipeline. No seed record.</w:t>
      </w:r>
    </w:p>
    <w:p>
      <w:pPr>
        <w:pStyle w:val="BodyText"/>
      </w:pPr>
      <w:r>
        <w:rPr>
          <w:bCs/>
          <w:b/>
        </w:rPr>
        <w:t xml:space="preserve">Gap:</w:t>
      </w:r>
    </w:p>
    <w:p>
      <w:pPr>
        <w:pStyle w:val="BodyText"/>
      </w:pPr>
      <w:r>
        <w:t xml:space="preserve">The requirements define:</w:t>
      </w:r>
    </w:p>
    <w:p>
      <w:pPr>
        <w:pStyle w:val="BlockText"/>
      </w:pPr>
      <w:r>
        <w:t xml:space="preserve">“</w:t>
      </w:r>
      <w:r>
        <w:t xml:space="preserve">The first placement decision creates an authoritative seed record: customer/realm identifier, geography, production region, CVAL region, DR region (or NOT_OFFERED), products covered, decision timestamp, policy/engine version, capacity-snapshot reference, exception reference, and approval metadata.</w:t>
      </w:r>
      <w:r>
        <w:t xml:space="preserve">”</w:t>
      </w:r>
      <w:r>
        <w:t xml:space="preserve"> </w:t>
      </w:r>
      <w:r>
        <w:t xml:space="preserve">(PLC-003)</w:t>
      </w:r>
    </w:p>
    <w:p>
      <w:pPr>
        <w:pStyle w:val="BlockText"/>
      </w:pPr>
      <w:r>
        <w:t xml:space="preserve">“</w:t>
      </w:r>
      <w:r>
        <w:t xml:space="preserve">Subsequent products/environments for the same customer + geography read the seed record instead of re-selecting production.</w:t>
      </w:r>
      <w:r>
        <w:t xml:space="preserve">”</w:t>
      </w:r>
      <w:r>
        <w:t xml:space="preserve"> </w:t>
      </w:r>
      <w:r>
        <w:t xml:space="preserve">(PLC-004)</w:t>
      </w:r>
    </w:p>
    <w:p>
      <w:pPr>
        <w:pStyle w:val="BlockText"/>
      </w:pPr>
      <w:r>
        <w:t xml:space="preserve">“</w:t>
      </w:r>
      <w:r>
        <w:t xml:space="preserve">The seed is never regenerated on upgrades, rebuilds, or routine deployments; changes require an approved migration/exception workflow.</w:t>
      </w:r>
      <w:r>
        <w:t xml:space="preserve">”</w:t>
      </w:r>
      <w:r>
        <w:t xml:space="preserve"> </w:t>
      </w:r>
      <w:r>
        <w:t xml:space="preserve">(PLC-005)</w:t>
      </w:r>
    </w:p>
    <w:p>
      <w:pPr>
        <w:pStyle w:val="FirstParagraph"/>
      </w:pPr>
      <w:r>
        <w:t xml:space="preserve">ADR-001 describes how a placement decision is made per invocation but does not model the</w:t>
      </w:r>
      <w:r>
        <w:t xml:space="preserve"> </w:t>
      </w:r>
      <w:r>
        <w:rPr>
          <w:bCs/>
          <w:b/>
        </w:rPr>
        <w:t xml:space="preserve">persistent, authoritative seed</w:t>
      </w:r>
      <w:r>
        <w:t xml:space="preserve"> </w:t>
      </w:r>
      <w:r>
        <w:t xml:space="preserve">that makes the first decision binding for all subsequent products. This is a materially different architectural concept — the engine is not re-invoked per product once seeded (PLC-004). The current ADR-001 implies the pipeline runs per-request, which would allow drift across products.</w:t>
      </w:r>
    </w:p>
    <w:p>
      <w:pPr>
        <w:pStyle w:val="BodyText"/>
      </w:pPr>
      <w:r>
        <w:rPr>
          <w:bCs/>
          <w:b/>
        </w:rPr>
        <w:t xml:space="preserve">Required action:</w:t>
      </w:r>
      <w:r>
        <w:t xml:space="preserve"> </w:t>
      </w:r>
      <w:r>
        <w:t xml:space="preserve">- ADR-001: Add a</w:t>
      </w:r>
      <w:r>
        <w:t xml:space="preserve"> </w:t>
      </w:r>
      <w:r>
        <w:rPr>
          <w:rStyle w:val="VerbatimChar"/>
        </w:rPr>
        <w:t xml:space="preserve">CustomerSeedRecord</w:t>
      </w:r>
      <w:r>
        <w:t xml:space="preserve"> </w:t>
      </w:r>
      <w:r>
        <w:t xml:space="preserve">entity definition (PLC-003 fields).</w:t>
      </w:r>
      <w:r>
        <w:t xml:space="preserve"> </w:t>
      </w:r>
      <w:r>
        <w:t xml:space="preserve">- Document the seed-reuse policy (PLC-004) and the controlled-seed-change governance workflow (PLC-005).</w:t>
      </w:r>
      <w:r>
        <w:t xml:space="preserve"> </w:t>
      </w:r>
      <w:r>
        <w:t xml:space="preserve">- Cross-reference to the DR index (DEV-005) as the reverse view.</w:t>
      </w:r>
    </w:p>
    <w:p>
      <w:r>
        <w:pict>
          <v:rect style="width:0;height:1.5pt" o:hralign="center" o:hrstd="t" o:hr="t"/>
        </w:pict>
      </w:r>
    </w:p>
    <w:bookmarkEnd w:id="26"/>
    <w:bookmarkStart w:id="27" w:name="X755ea1058bc563c766010907eb287965fb03729"/>
    <w:p>
      <w:pPr>
        <w:pStyle w:val="Heading3"/>
      </w:pPr>
      <w:r>
        <w:t xml:space="preserve">DEV-007 — Input Mode Priority: Scenario 1 and 2 Treated Equally vs Exact Region as Primary</w:t>
      </w:r>
    </w:p>
    <w:p>
      <w:pPr>
        <w:pStyle w:val="FirstParagraph"/>
      </w:pPr>
      <w:r>
        <w:rPr>
          <w:bCs/>
          <w:b/>
        </w:rPr>
        <w:t xml:space="preserve">Severity:</w:t>
      </w:r>
      <w:r>
        <w:t xml:space="preserve"> </w:t>
      </w:r>
      <w:r>
        <w:t xml:space="preserve">🟠 Significant</w:t>
      </w:r>
      <w:r>
        <w:br/>
      </w:r>
      <w:r>
        <w:rPr>
          <w:bCs/>
          <w:b/>
        </w:rPr>
        <w:t xml:space="preserve">Requirement:</w:t>
      </w:r>
      <w:r>
        <w:t xml:space="preserve"> </w:t>
      </w:r>
      <w:r>
        <w:t xml:space="preserve">PLC-001, PLC-002, DEC-003</w:t>
      </w:r>
      <w:r>
        <w:br/>
      </w:r>
      <w:r>
        <w:rPr>
          <w:bCs/>
          <w:b/>
        </w:rPr>
        <w:t xml:space="preserve">Current ADR:</w:t>
      </w:r>
      <w:r>
        <w:t xml:space="preserve"> </w:t>
      </w:r>
      <w:r>
        <w:t xml:space="preserve">ADR-001 treats Scenario 1 (geography) and Scenario 2 (specific region) as two equal, equivalent input modes.</w:t>
      </w:r>
    </w:p>
    <w:p>
      <w:pPr>
        <w:pStyle w:val="BodyText"/>
      </w:pPr>
      <w:r>
        <w:rPr>
          <w:bCs/>
          <w:b/>
        </w:rPr>
        <w:t xml:space="preserve">Conflict:</w:t>
      </w:r>
    </w:p>
    <w:p>
      <w:pPr>
        <w:pStyle w:val="BodyText"/>
      </w:pPr>
      <w:r>
        <w:t xml:space="preserve">Requirements v2.1 reverse the priority:</w:t>
      </w:r>
    </w:p>
    <w:p>
      <w:pPr>
        <w:pStyle w:val="BlockText"/>
      </w:pPr>
      <w:r>
        <w:t xml:space="preserve">“</w:t>
      </w:r>
      <w:r>
        <w:t xml:space="preserve">PLC-001 — Production region is the primary input. The default onboarding requires selecting the exact Azure production region, not just a broad geography.</w:t>
      </w:r>
      <w:r>
        <w:t xml:space="preserve">”</w:t>
      </w:r>
    </w:p>
    <w:p>
      <w:pPr>
        <w:pStyle w:val="BlockText"/>
      </w:pPr>
      <w:r>
        <w:t xml:space="preserve">“</w:t>
      </w:r>
      <w:r>
        <w:t xml:space="preserve">PLC-002 — Geography-based selection is exceptional. Geography-only selection is retained as an auxiliary path behind exception approval, with documented customer acknowledgement.</w:t>
      </w:r>
      <w:r>
        <w:t xml:space="preserve">”</w:t>
      </w:r>
    </w:p>
    <w:p>
      <w:pPr>
        <w:pStyle w:val="FirstParagraph"/>
      </w:pPr>
      <w:r>
        <w:t xml:space="preserve">The current ADR-001 presents Scenario 1 and Scenario 2 symmetrically — both are standard documented modes. Historically, geography was the dominant path. Under v2.1, geography selection requires an exception process with an approver and binding customer acknowledgement (DEC-003). This reverses the operational default and substantially changes the pipeline entry point.</w:t>
      </w:r>
    </w:p>
    <w:p>
      <w:pPr>
        <w:pStyle w:val="BodyText"/>
      </w:pPr>
      <w:r>
        <w:rPr>
          <w:bCs/>
          <w:b/>
        </w:rPr>
        <w:t xml:space="preserve">Required action:</w:t>
      </w:r>
      <w:r>
        <w:t xml:space="preserve"> </w:t>
      </w:r>
      <w:r>
        <w:t xml:space="preserve">- ADR-001: Reframe Scenario 2 (specific region) as the</w:t>
      </w:r>
      <w:r>
        <w:t xml:space="preserve"> </w:t>
      </w:r>
      <w:r>
        <w:rPr>
          <w:bCs/>
          <w:b/>
        </w:rPr>
        <w:t xml:space="preserve">primary/default</w:t>
      </w:r>
      <w:r>
        <w:t xml:space="preserve"> </w:t>
      </w:r>
      <w:r>
        <w:t xml:space="preserve">path.</w:t>
      </w:r>
      <w:r>
        <w:t xml:space="preserve"> </w:t>
      </w:r>
      <w:r>
        <w:t xml:space="preserve">- Reframe Scenario 1 (geography) as an</w:t>
      </w:r>
      <w:r>
        <w:t xml:space="preserve"> </w:t>
      </w:r>
      <w:r>
        <w:rPr>
          <w:bCs/>
          <w:b/>
        </w:rPr>
        <w:t xml:space="preserve">exception path</w:t>
      </w:r>
      <w:r>
        <w:t xml:space="preserve"> </w:t>
      </w:r>
      <w:r>
        <w:t xml:space="preserve">requiring approval workflow and customer acknowledgement (add to Exception Deployment Workflow section alongside Restricted region exceptions).</w:t>
      </w:r>
      <w:r>
        <w:t xml:space="preserve"> </w:t>
      </w:r>
      <w:r>
        <w:t xml:space="preserve">- Update Figure 2 (input modes diagram) to reflect this priority reversal.</w:t>
      </w:r>
    </w:p>
    <w:p>
      <w:r>
        <w:pict>
          <v:rect style="width:0;height:1.5pt" o:hralign="center" o:hrstd="t" o:hr="t"/>
        </w:pict>
      </w:r>
    </w:p>
    <w:bookmarkEnd w:id="27"/>
    <w:bookmarkStart w:id="28" w:name="X3e0c06e1bd06a56776ea32cab997da9476c338a"/>
    <w:p>
      <w:pPr>
        <w:pStyle w:val="Heading3"/>
      </w:pPr>
      <w:r>
        <w:t xml:space="preserve">DEV-008 — Standby Activation Per Customer in Priority Waves (DR-019): Not in ADR-003</w:t>
      </w:r>
    </w:p>
    <w:p>
      <w:pPr>
        <w:pStyle w:val="FirstParagraph"/>
      </w:pPr>
      <w:r>
        <w:rPr>
          <w:bCs/>
          <w:b/>
        </w:rPr>
        <w:t xml:space="preserve">Severity:</w:t>
      </w:r>
      <w:r>
        <w:t xml:space="preserve"> </w:t>
      </w:r>
      <w:r>
        <w:t xml:space="preserve">🟠 Significant</w:t>
      </w:r>
      <w:r>
        <w:br/>
      </w:r>
      <w:r>
        <w:rPr>
          <w:bCs/>
          <w:b/>
        </w:rPr>
        <w:t xml:space="preserve">Requirement:</w:t>
      </w:r>
      <w:r>
        <w:t xml:space="preserve"> </w:t>
      </w:r>
      <w:r>
        <w:t xml:space="preserve">DR-019, DR-009, DR-006</w:t>
      </w:r>
      <w:r>
        <w:br/>
      </w:r>
      <w:r>
        <w:rPr>
          <w:bCs/>
          <w:b/>
        </w:rPr>
        <w:t xml:space="preserve">Current ADR:</w:t>
      </w:r>
      <w:r>
        <w:t xml:space="preserve"> </w:t>
      </w:r>
      <w:r>
        <w:t xml:space="preserve">ADR-003 defines the five-state machine and three-tier transfer. DR activation semantics documented at the mode level, not per-customer.</w:t>
      </w:r>
    </w:p>
    <w:p>
      <w:pPr>
        <w:pStyle w:val="BodyText"/>
      </w:pPr>
      <w:r>
        <w:rPr>
          <w:bCs/>
          <w:b/>
        </w:rPr>
        <w:t xml:space="preserve">Gap:</w:t>
      </w:r>
    </w:p>
    <w:p>
      <w:pPr>
        <w:pStyle w:val="BodyText"/>
      </w:pPr>
      <w:r>
        <w:t xml:space="preserve">The requirements define a per-customer activation workflow:</w:t>
      </w:r>
    </w:p>
    <w:p>
      <w:pPr>
        <w:pStyle w:val="BlockText"/>
      </w:pPr>
      <w:r>
        <w:t xml:space="preserve">“</w:t>
      </w:r>
      <w:r>
        <w:t xml:space="preserve">On an authorised DR declaration, the engine shall transition the failed region’s customers’ pre-placed DR instances from associated → allocated (inactive/standby → active) in approved business-priority order, acquiring capacity via the staged sequence in DR-006. Activation state per customer must be tracked, auditable, and reversible on failback.</w:t>
      </w:r>
      <w:r>
        <w:t xml:space="preserve">”</w:t>
      </w:r>
      <w:r>
        <w:t xml:space="preserve"> </w:t>
      </w:r>
      <w:r>
        <w:t xml:space="preserve">(DR-019)</w:t>
      </w:r>
    </w:p>
    <w:p>
      <w:pPr>
        <w:pStyle w:val="FirstParagraph"/>
      </w:pPr>
      <w:r>
        <w:t xml:space="preserve">ADR-003’s DR Activation Semantics section covers mode-level gating (</w:t>
      </w:r>
      <w:r>
        <w:t xml:space="preserve">“</w:t>
      </w:r>
      <w:r>
        <w:t xml:space="preserve">entering DR_EVENT_ACTIVE only establishes the operating mode</w:t>
      </w:r>
      <w:r>
        <w:t xml:space="preserve">”</w:t>
      </w:r>
      <w:r>
        <w:t xml:space="preserve">) but does not specify:</w:t>
      </w:r>
      <w:r>
        <w:t xml:space="preserve"> </w:t>
      </w:r>
      <w:r>
        <w:t xml:space="preserve">- The per-customer</w:t>
      </w:r>
      <w:r>
        <w:t xml:space="preserve"> </w:t>
      </w:r>
      <w:r>
        <w:rPr>
          <w:rStyle w:val="VerbatimChar"/>
        </w:rPr>
        <w:t xml:space="preserve">associated → allocated</w:t>
      </w:r>
      <w:r>
        <w:t xml:space="preserve"> </w:t>
      </w:r>
      <w:r>
        <w:t xml:space="preserve">transition mechanics</w:t>
      </w:r>
      <w:r>
        <w:t xml:space="preserve"> </w:t>
      </w:r>
      <w:r>
        <w:t xml:space="preserve">- Priority wave sequencing (P0/P-1 first via bootstrap, then rebalancing)</w:t>
      </w:r>
      <w:r>
        <w:t xml:space="preserve"> </w:t>
      </w:r>
      <w:r>
        <w:t xml:space="preserve">- Per-customer activation state tracking and auditability</w:t>
      </w:r>
      <w:r>
        <w:t xml:space="preserve"> </w:t>
      </w:r>
      <w:r>
        <w:t xml:space="preserve">- The staged DR-006 acquisition sequence (bootstrap → available quota → CVAL sacrifice → sharing → pooled quota → Azure request)</w:t>
      </w:r>
      <w:r>
        <w:t xml:space="preserve"> </w:t>
      </w:r>
      <w:r>
        <w:t xml:space="preserve">- Reversibility guarantee on failback (DR-013)</w:t>
      </w:r>
    </w:p>
    <w:p>
      <w:pPr>
        <w:pStyle w:val="BodyText"/>
      </w:pPr>
      <w:r>
        <w:rPr>
          <w:bCs/>
          <w:b/>
        </w:rPr>
        <w:t xml:space="preserve">Required action:</w:t>
      </w:r>
      <w:r>
        <w:t xml:space="preserve"> </w:t>
      </w:r>
      <w:r>
        <w:t xml:space="preserve">- ADR-003: Add a normative subsection</w:t>
      </w:r>
      <w:r>
        <w:t xml:space="preserve"> </w:t>
      </w:r>
      <w:r>
        <w:t xml:space="preserve">“</w:t>
      </w:r>
      <w:r>
        <w:t xml:space="preserve">Per-Customer DR Activation Workflow</w:t>
      </w:r>
      <w:r>
        <w:t xml:space="preserve">”</w:t>
      </w:r>
      <w:r>
        <w:t xml:space="preserve"> </w:t>
      </w:r>
      <w:r>
        <w:t xml:space="preserve">covering the six-stage DR-006 acquisition sequence, priority wave model,</w:t>
      </w:r>
      <w:r>
        <w:t xml:space="preserve"> </w:t>
      </w:r>
      <w:r>
        <w:rPr>
          <w:rStyle w:val="VerbatimChar"/>
        </w:rPr>
        <w:t xml:space="preserve">associated → allocated</w:t>
      </w:r>
      <w:r>
        <w:t xml:space="preserve"> </w:t>
      </w:r>
      <w:r>
        <w:t xml:space="preserve">mechanics, per-customer activation entity fields, and failback reversal.</w:t>
      </w:r>
    </w:p>
    <w:p>
      <w:r>
        <w:pict>
          <v:rect style="width:0;height:1.5pt" o:hralign="center" o:hrstd="t" o:hr="t"/>
        </w:pict>
      </w:r>
    </w:p>
    <w:bookmarkEnd w:id="28"/>
    <w:bookmarkStart w:id="29" w:name="X17d7aaced0b6c51693db58f824f66c41946a224"/>
    <w:p>
      <w:pPr>
        <w:pStyle w:val="Heading3"/>
      </w:pPr>
      <w:r>
        <w:t xml:space="preserve">DEV-009 — CVAL Double-Count Guard (PLC-010): Not Explicitly in ADRs</w:t>
      </w:r>
    </w:p>
    <w:p>
      <w:pPr>
        <w:pStyle w:val="FirstParagraph"/>
      </w:pPr>
      <w:r>
        <w:rPr>
          <w:bCs/>
          <w:b/>
        </w:rPr>
        <w:t xml:space="preserve">Severity:</w:t>
      </w:r>
      <w:r>
        <w:t xml:space="preserve"> </w:t>
      </w:r>
      <w:r>
        <w:t xml:space="preserve">🟡 Moderate</w:t>
      </w:r>
      <w:r>
        <w:br/>
      </w:r>
      <w:r>
        <w:rPr>
          <w:bCs/>
          <w:b/>
        </w:rPr>
        <w:t xml:space="preserve">Requirement:</w:t>
      </w:r>
      <w:r>
        <w:t xml:space="preserve"> </w:t>
      </w:r>
      <w:r>
        <w:t xml:space="preserve">PLC-010</w:t>
      </w:r>
      <w:r>
        <w:br/>
      </w:r>
      <w:r>
        <w:rPr>
          <w:bCs/>
          <w:b/>
        </w:rPr>
        <w:t xml:space="preserve">Current ADR:</w:t>
      </w:r>
      <w:r>
        <w:t xml:space="preserve"> </w:t>
      </w:r>
      <w:r>
        <w:t xml:space="preserve">ADR-003 covers NonProd/DR co-location and HC-6 coverage floor.</w:t>
      </w:r>
    </w:p>
    <w:p>
      <w:pPr>
        <w:pStyle w:val="BodyText"/>
      </w:pPr>
      <w:r>
        <w:rPr>
          <w:bCs/>
          <w:b/>
        </w:rPr>
        <w:t xml:space="preserve">Gap:</w:t>
      </w:r>
    </w:p>
    <w:p>
      <w:pPr>
        <w:pStyle w:val="BodyText"/>
      </w:pPr>
      <w:r>
        <w:t xml:space="preserve">PLC-010 adds a constraint that the current ADR does not make explicit:</w:t>
      </w:r>
    </w:p>
    <w:p>
      <w:pPr>
        <w:pStyle w:val="BlockText"/>
      </w:pPr>
      <w:r>
        <w:t xml:space="preserve">“</w:t>
      </w:r>
      <w:r>
        <w:t xml:space="preserve">When CVAL and DR co-locate, the engine must record that the CVAL capacity is earmarked as releasable toward that customer’s DR activation, and must not double-count it as both live CVAL and available DR headroom.</w:t>
      </w:r>
      <w:r>
        <w:t xml:space="preserve">”</w:t>
      </w:r>
      <w:r>
        <w:t xml:space="preserve"> </w:t>
      </w:r>
      <w:r>
        <w:t xml:space="preserve">(PLC-010)</w:t>
      </w:r>
    </w:p>
    <w:p>
      <w:pPr>
        <w:pStyle w:val="FirstParagraph"/>
      </w:pPr>
      <w:r>
        <w:t xml:space="preserve">The HC-6 floor formula (</w:t>
      </w:r>
      <w:r>
        <w:rPr>
          <w:rStyle w:val="VerbatimChar"/>
        </w:rPr>
        <w:t xml:space="preserve">dr_crg_free_slots + nonprod_crg_effective_free ≥ prod_vm_count × dr_ratio_max</w:t>
      </w:r>
      <w:r>
        <w:t xml:space="preserve">) treats</w:t>
      </w:r>
      <w:r>
        <w:t xml:space="preserve"> </w:t>
      </w:r>
      <w:r>
        <w:rPr>
          <w:rStyle w:val="VerbatimChar"/>
        </w:rPr>
        <w:t xml:space="preserve">nonprod_crg_effective_free</w:t>
      </w:r>
      <w:r>
        <w:t xml:space="preserve"> </w:t>
      </w:r>
      <w:r>
        <w:t xml:space="preserve">as headroom — which implies it counts co-located CVAL toward DR. But the</w:t>
      </w:r>
      <w:r>
        <w:t xml:space="preserve"> </w:t>
      </w:r>
      <w:r>
        <w:rPr>
          <w:bCs/>
          <w:b/>
        </w:rPr>
        <w:t xml:space="preserve">earmarking</w:t>
      </w:r>
      <w:r>
        <w:t xml:space="preserve"> </w:t>
      </w:r>
      <w:r>
        <w:t xml:space="preserve">(CVAL flagged as committed releasable capacity for a specific customer’s DR activation) and the</w:t>
      </w:r>
      <w:r>
        <w:t xml:space="preserve"> </w:t>
      </w:r>
      <w:r>
        <w:rPr>
          <w:bCs/>
          <w:b/>
        </w:rPr>
        <w:t xml:space="preserve">no-double-count rule</w:t>
      </w:r>
      <w:r>
        <w:t xml:space="preserve"> </w:t>
      </w:r>
      <w:r>
        <w:t xml:space="preserve">(do not credit it simultaneously as live CVAL AND available DR) are not documented.</w:t>
      </w:r>
    </w:p>
    <w:p>
      <w:pPr>
        <w:pStyle w:val="BodyText"/>
      </w:pPr>
      <w:r>
        <w:rPr>
          <w:bCs/>
          <w:b/>
        </w:rPr>
        <w:t xml:space="preserve">Required action:</w:t>
      </w:r>
      <w:r>
        <w:t xml:space="preserve"> </w:t>
      </w:r>
      <w:r>
        <w:t xml:space="preserve">- ADR-003: Add a</w:t>
      </w:r>
      <w:r>
        <w:t xml:space="preserve"> </w:t>
      </w:r>
      <w:r>
        <w:rPr>
          <w:rStyle w:val="VerbatimChar"/>
        </w:rPr>
        <w:t xml:space="preserve">CVALEarmarkRecord</w:t>
      </w:r>
      <w:r>
        <w:t xml:space="preserve"> </w:t>
      </w:r>
      <w:r>
        <w:t xml:space="preserve">entity or field on the seed record indicating which CVAL slots are committed to DR activation. Clarify that earmarked CVAL is counted toward DR headroom only — not toward live CVAL capacity.</w:t>
      </w:r>
    </w:p>
    <w:p>
      <w:r>
        <w:pict>
          <v:rect style="width:0;height:1.5pt" o:hralign="center" o:hrstd="t" o:hr="t"/>
        </w:pict>
      </w:r>
    </w:p>
    <w:bookmarkEnd w:id="29"/>
    <w:bookmarkStart w:id="30" w:name="Xa2c9870e9699c9eab6d3bc566383a7f20b3de7f"/>
    <w:p>
      <w:pPr>
        <w:pStyle w:val="Heading3"/>
      </w:pPr>
      <w:r>
        <w:t xml:space="preserve">DEV-010 — Reservation Target Formula (CAP-003): Not in ADRs</w:t>
      </w:r>
    </w:p>
    <w:p>
      <w:pPr>
        <w:pStyle w:val="FirstParagraph"/>
      </w:pPr>
      <w:r>
        <w:rPr>
          <w:bCs/>
          <w:b/>
        </w:rPr>
        <w:t xml:space="preserve">Severity:</w:t>
      </w:r>
      <w:r>
        <w:t xml:space="preserve"> </w:t>
      </w:r>
      <w:r>
        <w:t xml:space="preserve">🟡 Moderate</w:t>
      </w:r>
      <w:r>
        <w:br/>
      </w:r>
      <w:r>
        <w:rPr>
          <w:bCs/>
          <w:b/>
        </w:rPr>
        <w:t xml:space="preserve">Requirement:</w:t>
      </w:r>
      <w:r>
        <w:t xml:space="preserve"> </w:t>
      </w:r>
      <w:r>
        <w:t xml:space="preserve">CAP-003, CAP-004, CAP-008</w:t>
      </w:r>
      <w:r>
        <w:br/>
      </w:r>
      <w:r>
        <w:rPr>
          <w:bCs/>
          <w:b/>
        </w:rPr>
        <w:t xml:space="preserve">Current ADR:</w:t>
      </w:r>
      <w:r>
        <w:t xml:space="preserve"> </w:t>
      </w:r>
      <w:r>
        <w:t xml:space="preserve">ADR-004 has</w:t>
      </w:r>
      <w:r>
        <w:t xml:space="preserve"> </w:t>
      </w:r>
      <w:r>
        <w:rPr>
          <w:rStyle w:val="VerbatimChar"/>
        </w:rPr>
        <w:t xml:space="preserve">Forecast_Quantity = ceil(Forecast_Peak × (1 + Growth_Buffer) + DR_Buffer)</w:t>
      </w:r>
    </w:p>
    <w:p>
      <w:pPr>
        <w:pStyle w:val="BodyText"/>
      </w:pPr>
      <w:r>
        <w:rPr>
          <w:bCs/>
          <w:b/>
        </w:rPr>
        <w:t xml:space="preserve">Gap:</w:t>
      </w:r>
    </w:p>
    <w:p>
      <w:pPr>
        <w:pStyle w:val="BodyText"/>
      </w:pPr>
      <w:r>
        <w:t xml:space="preserve">Requirements define the fundamental reservation floor formula:</w:t>
      </w:r>
    </w:p>
    <w:p>
      <w:pPr>
        <w:pStyle w:val="SourceCode"/>
      </w:pPr>
      <w:r>
        <w:rPr>
          <w:rStyle w:val="VerbatimChar"/>
        </w:rPr>
        <w:t xml:space="preserve">Target Reserved Capacity = Allocated VM Count + Configured Buffer</w:t>
      </w:r>
    </w:p>
    <w:p>
      <w:pPr>
        <w:pStyle w:val="FirstParagraph"/>
      </w:pPr>
      <w:r>
        <w:t xml:space="preserve">explicitly from</w:t>
      </w:r>
      <w:r>
        <w:t xml:space="preserve"> </w:t>
      </w:r>
      <w:r>
        <w:rPr>
          <w:bCs/>
          <w:b/>
        </w:rPr>
        <w:t xml:space="preserve">allocated (running)</w:t>
      </w:r>
      <w:r>
        <w:t xml:space="preserve"> </w:t>
      </w:r>
      <w:r>
        <w:t xml:space="preserve">VMs, not associated-but-deallocated. CAP-004 states associated-but-deallocated VMs do not automatically force reservation retention.</w:t>
      </w:r>
    </w:p>
    <w:p>
      <w:pPr>
        <w:pStyle w:val="BodyText"/>
      </w:pPr>
      <w:r>
        <w:t xml:space="preserve">The ADR-004 formula is a</w:t>
      </w:r>
      <w:r>
        <w:t xml:space="preserve"> </w:t>
      </w:r>
      <w:r>
        <w:rPr>
          <w:bCs/>
          <w:b/>
        </w:rPr>
        <w:t xml:space="preserve">forecast-based growth formula</w:t>
      </w:r>
      <w:r>
        <w:t xml:space="preserve"> </w:t>
      </w:r>
      <w:r>
        <w:t xml:space="preserve">— correct for long-horizon capacity planning, but it is not the same as the continuous</w:t>
      </w:r>
      <w:r>
        <w:t xml:space="preserve"> </w:t>
      </w:r>
      <w:r>
        <w:rPr>
          <w:bCs/>
          <w:b/>
        </w:rPr>
        <w:t xml:space="preserve">floor reconciliation target</w:t>
      </w:r>
      <w:r>
        <w:t xml:space="preserve"> </w:t>
      </w:r>
      <w:r>
        <w:t xml:space="preserve">(CAP-003). The two are complementary but distinct. ADRs do not document:</w:t>
      </w:r>
      <w:r>
        <w:t xml:space="preserve"> </w:t>
      </w:r>
      <w:r>
        <w:t xml:space="preserve">- The</w:t>
      </w:r>
      <w:r>
        <w:t xml:space="preserve"> </w:t>
      </w:r>
      <w:r>
        <w:rPr>
          <w:rStyle w:val="VerbatimChar"/>
        </w:rPr>
        <w:t xml:space="preserve">allocated + buffer</w:t>
      </w:r>
      <w:r>
        <w:t xml:space="preserve"> </w:t>
      </w:r>
      <w:r>
        <w:t xml:space="preserve">floor formula</w:t>
      </w:r>
      <w:r>
        <w:t xml:space="preserve"> </w:t>
      </w:r>
      <w:r>
        <w:t xml:space="preserve">- The distinction between allocated vs associated VMs in reconciliation</w:t>
      </w:r>
      <w:r>
        <w:t xml:space="preserve"> </w:t>
      </w:r>
      <w:r>
        <w:t xml:space="preserve">- The policy that associated-but-deallocated VMs are reported separately, not used to size reservations</w:t>
      </w:r>
    </w:p>
    <w:p>
      <w:pPr>
        <w:pStyle w:val="BodyText"/>
      </w:pPr>
      <w:r>
        <w:rPr>
          <w:bCs/>
          <w:b/>
        </w:rPr>
        <w:t xml:space="preserve">Required action:</w:t>
      </w:r>
      <w:r>
        <w:t xml:space="preserve"> </w:t>
      </w:r>
      <w:r>
        <w:t xml:space="preserve">- ADR-004: Add the</w:t>
      </w:r>
      <w:r>
        <w:t xml:space="preserve"> </w:t>
      </w:r>
      <w:r>
        <w:rPr>
          <w:rStyle w:val="VerbatimChar"/>
        </w:rPr>
        <w:t xml:space="preserve">Target Reserved Capacity = Allocated VM Count + Buffer</w:t>
      </w:r>
      <w:r>
        <w:t xml:space="preserve"> </w:t>
      </w:r>
      <w:r>
        <w:t xml:space="preserve">floor formula alongside the forecast formula. Clarify that the reconciliation loop uses the floor formula, while the forecast formula drives proactive growth ahead of demand. Document the allocated/associated distinction as normative.</w:t>
      </w:r>
    </w:p>
    <w:p>
      <w:r>
        <w:pict>
          <v:rect style="width:0;height:1.5pt" o:hralign="center" o:hrstd="t" o:hr="t"/>
        </w:pict>
      </w:r>
    </w:p>
    <w:bookmarkEnd w:id="30"/>
    <w:bookmarkStart w:id="31" w:name="X79e273b7406168c4fc9ab502f7dd50528c5a07b"/>
    <w:p>
      <w:pPr>
        <w:pStyle w:val="Heading3"/>
      </w:pPr>
      <w:r>
        <w:t xml:space="preserve">DEV-011 — Zero-Capacity Support and No-Auto-Delete Policy (CAP-009/010): Not in ADRs</w:t>
      </w:r>
    </w:p>
    <w:p>
      <w:pPr>
        <w:pStyle w:val="FirstParagraph"/>
      </w:pPr>
      <w:r>
        <w:rPr>
          <w:bCs/>
          <w:b/>
        </w:rPr>
        <w:t xml:space="preserve">Severity:</w:t>
      </w:r>
      <w:r>
        <w:t xml:space="preserve"> </w:t>
      </w:r>
      <w:r>
        <w:t xml:space="preserve">🟡 Moderate</w:t>
      </w:r>
      <w:r>
        <w:br/>
      </w:r>
      <w:r>
        <w:rPr>
          <w:bCs/>
          <w:b/>
        </w:rPr>
        <w:t xml:space="preserve">Requirement:</w:t>
      </w:r>
      <w:r>
        <w:t xml:space="preserve"> </w:t>
      </w:r>
      <w:r>
        <w:t xml:space="preserve">CAP-009, CAP-010, FIN-005</w:t>
      </w:r>
      <w:r>
        <w:br/>
      </w:r>
      <w:r>
        <w:rPr>
          <w:bCs/>
          <w:b/>
        </w:rPr>
        <w:t xml:space="preserve">Current ADR:</w:t>
      </w:r>
      <w:r>
        <w:t xml:space="preserve"> </w:t>
      </w:r>
      <w:r>
        <w:t xml:space="preserve">Not mentioned.</w:t>
      </w:r>
    </w:p>
    <w:p>
      <w:pPr>
        <w:pStyle w:val="BodyText"/>
      </w:pPr>
      <w:r>
        <w:rPr>
          <w:bCs/>
          <w:b/>
        </w:rPr>
        <w:t xml:space="preserve">Gap:</w:t>
      </w:r>
    </w:p>
    <w:p>
      <w:pPr>
        <w:pStyle w:val="BodyText"/>
      </w:pPr>
      <w:r>
        <w:t xml:space="preserve">Requirements mandate: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CAP-009:</w:t>
      </w:r>
      <w:r>
        <w:t xml:space="preserve"> </w:t>
      </w:r>
      <w:r>
        <w:t xml:space="preserve">Reduce an unused managed reservation to</w:t>
      </w:r>
      <w:r>
        <w:t xml:space="preserve"> </w:t>
      </w:r>
      <w:r>
        <w:rPr>
          <w:bCs/>
          <w:b/>
        </w:rPr>
        <w:t xml:space="preserve">zero</w:t>
      </w:r>
      <w:r>
        <w:t xml:space="preserve"> </w:t>
      </w:r>
      <w:r>
        <w:t xml:space="preserve">rather than deleting the reservation object (</w:t>
      </w:r>
      <w:r>
        <w:t xml:space="preserve">“</w:t>
      </w:r>
      <w:r>
        <w:t xml:space="preserve">set it to zero, don’t delete it</w:t>
      </w:r>
      <w:r>
        <w:t xml:space="preserve">”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CAP-010:</w:t>
      </w:r>
      <w:r>
        <w:t xml:space="preserve"> </w:t>
      </w:r>
      <w:r>
        <w:t xml:space="preserve">Normal reconciliation never deletes CRGs or reservation definitions; deletion uses a separate approved decommissioning workflow.</w:t>
      </w:r>
    </w:p>
    <w:p>
      <w:pPr>
        <w:pStyle w:val="BodyText"/>
      </w:pPr>
      <w:r>
        <w:t xml:space="preserve">These are operationally critical — without them, the reconciliation loop may delete CRGs, which triggers deployment failures when the resource is referenced in the scope file (CAP-002). The FIN-005 note (</w:t>
      </w:r>
      <w:r>
        <w:t xml:space="preserve">“</w:t>
      </w:r>
      <w:r>
        <w:t xml:space="preserve">the cost-optimisation team already chases orphaned reservations left behind after maintenance — set to zero, don’t delete</w:t>
      </w:r>
      <w:r>
        <w:t xml:space="preserve">”</w:t>
      </w:r>
      <w:r>
        <w:t xml:space="preserve">) indicates this is a known operational pattern.</w:t>
      </w:r>
    </w:p>
    <w:p>
      <w:pPr>
        <w:pStyle w:val="BodyText"/>
      </w:pPr>
      <w:r>
        <w:rPr>
          <w:bCs/>
          <w:b/>
        </w:rPr>
        <w:t xml:space="preserve">Required action:</w:t>
      </w:r>
      <w:r>
        <w:t xml:space="preserve"> </w:t>
      </w:r>
      <w:r>
        <w:t xml:space="preserve">- ADR-003 or ADR-004: Document zero-capacity policy and no-auto-delete as normative reconciliation constraints.</w:t>
      </w:r>
    </w:p>
    <w:p>
      <w:r>
        <w:pict>
          <v:rect style="width:0;height:1.5pt" o:hralign="center" o:hrstd="t" o:hr="t"/>
        </w:pict>
      </w:r>
    </w:p>
    <w:bookmarkEnd w:id="31"/>
    <w:bookmarkStart w:id="32" w:name="Xf40da274c44bd262b8a4b22e09b303873266ef4"/>
    <w:p>
      <w:pPr>
        <w:pStyle w:val="Heading3"/>
      </w:pPr>
      <w:r>
        <w:t xml:space="preserve">DEV-012 — Deployment Readiness States (RDY-002): Not in ADRs</w:t>
      </w:r>
    </w:p>
    <w:p>
      <w:pPr>
        <w:pStyle w:val="FirstParagraph"/>
      </w:pPr>
      <w:r>
        <w:rPr>
          <w:bCs/>
          <w:b/>
        </w:rPr>
        <w:t xml:space="preserve">Severity:</w:t>
      </w:r>
      <w:r>
        <w:t xml:space="preserve"> </w:t>
      </w:r>
      <w:r>
        <w:t xml:space="preserve">🟡 Moderate</w:t>
      </w:r>
      <w:r>
        <w:br/>
      </w:r>
      <w:r>
        <w:rPr>
          <w:bCs/>
          <w:b/>
        </w:rPr>
        <w:t xml:space="preserve">Requirement:</w:t>
      </w:r>
      <w:r>
        <w:t xml:space="preserve"> </w:t>
      </w:r>
      <w:r>
        <w:t xml:space="preserve">RDY-001, RDY-002, RDY-004</w:t>
      </w:r>
      <w:r>
        <w:br/>
      </w:r>
      <w:r>
        <w:rPr>
          <w:bCs/>
          <w:b/>
        </w:rPr>
        <w:t xml:space="preserve">Current ADR:</w:t>
      </w:r>
      <w:r>
        <w:t xml:space="preserve"> </w:t>
      </w:r>
      <w:r>
        <w:t xml:space="preserve">Not mentioned.</w:t>
      </w:r>
    </w:p>
    <w:p>
      <w:pPr>
        <w:pStyle w:val="BodyText"/>
      </w:pPr>
      <w:r>
        <w:rPr>
          <w:bCs/>
          <w:b/>
        </w:rPr>
        <w:t xml:space="preserve">Gap:</w:t>
      </w:r>
    </w:p>
    <w:p>
      <w:pPr>
        <w:pStyle w:val="BodyText"/>
      </w:pPr>
      <w:r>
        <w:t xml:space="preserve">The requirements define a machine-readable readiness state for the deployment gate:</w:t>
      </w:r>
    </w:p>
    <w:p>
      <w:pPr>
        <w:pStyle w:val="SourceCode"/>
      </w:pPr>
      <w:r>
        <w:rPr>
          <w:rStyle w:val="VerbatimChar"/>
        </w:rPr>
        <w:t xml:space="preserve">READY | READY_WITH_RISK | QUOTA_DEFICIT | RESERVATION_DEFICIT |</w:t>
      </w:r>
      <w:r>
        <w:br/>
      </w:r>
      <w:r>
        <w:rPr>
          <w:rStyle w:val="VerbatimChar"/>
        </w:rPr>
        <w:t xml:space="preserve">CAPACITY_UNAVAILABLE | STALE_STATE | POLICY_BLOCKED | VALIDATION_REQUIRED</w:t>
      </w:r>
    </w:p>
    <w:p>
      <w:pPr>
        <w:pStyle w:val="FirstParagraph"/>
      </w:pPr>
      <w:r>
        <w:t xml:space="preserve">No ADR defines this API surface, the stale-state cut-off (RDY-004), or the readiness gate logic (RDY-001). This is the primary output of the capacity engine to AEP/provisioning.</w:t>
      </w:r>
    </w:p>
    <w:p>
      <w:pPr>
        <w:pStyle w:val="BodyText"/>
      </w:pPr>
      <w:r>
        <w:rPr>
          <w:bCs/>
          <w:b/>
        </w:rPr>
        <w:t xml:space="preserve">Required action:</w:t>
      </w:r>
      <w:r>
        <w:t xml:space="preserve"> </w:t>
      </w:r>
      <w:r>
        <w:t xml:space="preserve">- ADR-001 or a new ADR section on the placement output contract: define the readiness state enum, the staleness threshold, and the gate conditions for each state.</w:t>
      </w:r>
    </w:p>
    <w:p>
      <w:r>
        <w:pict>
          <v:rect style="width:0;height:1.5pt" o:hralign="center" o:hrstd="t" o:hr="t"/>
        </w:pict>
      </w:r>
    </w:p>
    <w:bookmarkEnd w:id="32"/>
    <w:bookmarkStart w:id="33" w:name="Xc922741d364dfbc9904873cbc95ab2ff36c8736"/>
    <w:p>
      <w:pPr>
        <w:pStyle w:val="Heading3"/>
      </w:pPr>
      <w:r>
        <w:t xml:space="preserve">DEV-013 — DR_NOT_OFFERED Regional Flag (DR-014): Not in ADRs</w:t>
      </w:r>
    </w:p>
    <w:p>
      <w:pPr>
        <w:pStyle w:val="FirstParagraph"/>
      </w:pPr>
      <w:r>
        <w:rPr>
          <w:bCs/>
          <w:b/>
        </w:rPr>
        <w:t xml:space="preserve">Severity:</w:t>
      </w:r>
      <w:r>
        <w:t xml:space="preserve"> </w:t>
      </w:r>
      <w:r>
        <w:t xml:space="preserve">🟡 Moderate</w:t>
      </w:r>
      <w:r>
        <w:br/>
      </w:r>
      <w:r>
        <w:rPr>
          <w:bCs/>
          <w:b/>
        </w:rPr>
        <w:t xml:space="preserve">Requirement:</w:t>
      </w:r>
      <w:r>
        <w:t xml:space="preserve"> </w:t>
      </w:r>
      <w:r>
        <w:t xml:space="preserve">DR-014, REG-001, DEC-001</w:t>
      </w:r>
      <w:r>
        <w:br/>
      </w:r>
      <w:r>
        <w:rPr>
          <w:bCs/>
          <w:b/>
        </w:rPr>
        <w:t xml:space="preserve">Current ADR:</w:t>
      </w:r>
      <w:r>
        <w:t xml:space="preserve"> </w:t>
      </w:r>
      <w:r>
        <w:t xml:space="preserve">ADR-001 mentions Middle East geo has insufficient Standard regions but does not define a</w:t>
      </w:r>
      <w:r>
        <w:t xml:space="preserve"> </w:t>
      </w:r>
      <w:r>
        <w:rPr>
          <w:rStyle w:val="VerbatimChar"/>
        </w:rPr>
        <w:t xml:space="preserve">DR_NOT_OFFERED</w:t>
      </w:r>
      <w:r>
        <w:t xml:space="preserve"> </w:t>
      </w:r>
      <w:r>
        <w:t xml:space="preserve">policy flag.</w:t>
      </w:r>
    </w:p>
    <w:p>
      <w:pPr>
        <w:pStyle w:val="BodyText"/>
      </w:pPr>
      <w:r>
        <w:rPr>
          <w:bCs/>
          <w:b/>
        </w:rPr>
        <w:t xml:space="preserve">Gap:</w:t>
      </w:r>
    </w:p>
    <w:p>
      <w:pPr>
        <w:pStyle w:val="BodyText"/>
      </w:pPr>
      <w:r>
        <w:t xml:space="preserve">Requirements mandate a per-region/country flag:</w:t>
      </w:r>
    </w:p>
    <w:p>
      <w:pPr>
        <w:pStyle w:val="BlockText"/>
      </w:pPr>
      <w:r>
        <w:t xml:space="preserve">“</w:t>
      </w:r>
      <w:r>
        <w:t xml:space="preserve">Support DR_NOT_OFFERED per country/region where legal/data-sovereignty prevents an acceptable DR design (current legal position for Middle East).</w:t>
      </w:r>
      <w:r>
        <w:t xml:space="preserve">”</w:t>
      </w:r>
      <w:r>
        <w:t xml:space="preserve"> </w:t>
      </w:r>
      <w:r>
        <w:t xml:space="preserve">(DR-014)</w:t>
      </w:r>
    </w:p>
    <w:p>
      <w:pPr>
        <w:pStyle w:val="FirstParagraph"/>
      </w:pPr>
      <w:r>
        <w:t xml:space="preserve">This flag must appear in the region catalogue (</w:t>
      </w:r>
      <w:r>
        <w:rPr>
          <w:rStyle w:val="VerbatimChar"/>
        </w:rPr>
        <w:t xml:space="preserve">REG-001</w:t>
      </w:r>
      <w:r>
        <w:t xml:space="preserve">), the customer seed record (PLC-003), and the placement pipeline (output: DR region or</w:t>
      </w:r>
      <w:r>
        <w:t xml:space="preserve"> </w:t>
      </w:r>
      <w:r>
        <w:rPr>
          <w:rStyle w:val="VerbatimChar"/>
        </w:rPr>
        <w:t xml:space="preserve">NOT_OFFERED</w:t>
      </w:r>
      <w:r>
        <w:t xml:space="preserve">). ADR-001 does not mention it.</w:t>
      </w:r>
    </w:p>
    <w:p>
      <w:pPr>
        <w:pStyle w:val="BodyText"/>
      </w:pPr>
      <w:r>
        <w:rPr>
          <w:bCs/>
          <w:b/>
        </w:rPr>
        <w:t xml:space="preserve">Required action:</w:t>
      </w:r>
      <w:r>
        <w:t xml:space="preserve"> </w:t>
      </w:r>
      <w:r>
        <w:t xml:space="preserve">- ADR-001: Add</w:t>
      </w:r>
      <w:r>
        <w:t xml:space="preserve"> </w:t>
      </w:r>
      <w:r>
        <w:rPr>
          <w:rStyle w:val="VerbatimChar"/>
        </w:rPr>
        <w:t xml:space="preserve">DR_NOT_OFFERED</w:t>
      </w:r>
      <w:r>
        <w:t xml:space="preserve"> </w:t>
      </w:r>
      <w:r>
        <w:t xml:space="preserve">as a first-class region attribute in</w:t>
      </w:r>
      <w:r>
        <w:t xml:space="preserve"> </w:t>
      </w:r>
      <w:r>
        <w:rPr>
          <w:rStyle w:val="VerbatimChar"/>
        </w:rPr>
        <w:t xml:space="preserve">PlacementPolicy</w:t>
      </w:r>
      <w:r>
        <w:t xml:space="preserve">, document its effect on seed record generation and placement pipeline output, and reference DEC-001 as the pending decision on which geographies carry this flag.</w:t>
      </w:r>
    </w:p>
    <w:p>
      <w:r>
        <w:pict>
          <v:rect style="width:0;height:1.5pt" o:hralign="center" o:hrstd="t" o:hr="t"/>
        </w:pict>
      </w:r>
    </w:p>
    <w:bookmarkEnd w:id="33"/>
    <w:bookmarkStart w:id="34" w:name="X71ac1e442e383dd0c991b402a752d050bc8115f"/>
    <w:p>
      <w:pPr>
        <w:pStyle w:val="Heading3"/>
      </w:pPr>
      <w:r>
        <w:t xml:space="preserve">DEV-014 — Quota-as-Governor Strategy (QUA-005): Not Explicitly in ADRs</w:t>
      </w:r>
    </w:p>
    <w:p>
      <w:pPr>
        <w:pStyle w:val="FirstParagraph"/>
      </w:pPr>
      <w:r>
        <w:rPr>
          <w:bCs/>
          <w:b/>
        </w:rPr>
        <w:t xml:space="preserve">Severity:</w:t>
      </w:r>
      <w:r>
        <w:t xml:space="preserve"> </w:t>
      </w:r>
      <w:r>
        <w:t xml:space="preserve">🟡 Moderate</w:t>
      </w:r>
      <w:r>
        <w:br/>
      </w:r>
      <w:r>
        <w:rPr>
          <w:bCs/>
          <w:b/>
        </w:rPr>
        <w:t xml:space="preserve">Requirement:</w:t>
      </w:r>
      <w:r>
        <w:t xml:space="preserve"> </w:t>
      </w:r>
      <w:r>
        <w:t xml:space="preserve">QUA-005, §2 Strategic Drivers</w:t>
      </w:r>
      <w:r>
        <w:br/>
      </w:r>
      <w:r>
        <w:rPr>
          <w:bCs/>
          <w:b/>
        </w:rPr>
        <w:t xml:space="preserve">Current ADR:</w:t>
      </w:r>
      <w:r>
        <w:t xml:space="preserve"> </w:t>
      </w:r>
      <w:r>
        <w:t xml:space="preserve">ADR-002 governs quota groups and accounting. The strategic framing is absent.</w:t>
      </w:r>
    </w:p>
    <w:p>
      <w:pPr>
        <w:pStyle w:val="BodyText"/>
      </w:pPr>
      <w:r>
        <w:rPr>
          <w:bCs/>
          <w:b/>
        </w:rPr>
        <w:t xml:space="preserve">Gap:</w:t>
      </w:r>
    </w:p>
    <w:p>
      <w:pPr>
        <w:pStyle w:val="BodyText"/>
      </w:pPr>
      <w:r>
        <w:t xml:space="preserve">The requirements establish quota-as-governor as a first-class design principle:</w:t>
      </w:r>
    </w:p>
    <w:p>
      <w:pPr>
        <w:pStyle w:val="BlockText"/>
      </w:pPr>
      <w:r>
        <w:t xml:space="preserve">“</w:t>
      </w:r>
      <w:r>
        <w:t xml:space="preserve">Use quota allocation to cap deployable capacity by product, environment, subscription, region, and VM family. Do NOT increase a subscription’s quota merely because unallocated pooled quota exists — teams must justify need.</w:t>
      </w:r>
      <w:r>
        <w:t xml:space="preserve">”</w:t>
      </w:r>
      <w:r>
        <w:t xml:space="preserve"> </w:t>
      </w:r>
      <w:r>
        <w:t xml:space="preserve">(QUA-005)</w:t>
      </w:r>
    </w:p>
    <w:p>
      <w:pPr>
        <w:pStyle w:val="FirstParagraph"/>
      </w:pPr>
      <w:r>
        <w:t xml:space="preserve">ADR-002 handles the mechanics of quota group accounting but does not document the</w:t>
      </w:r>
      <w:r>
        <w:t xml:space="preserve"> </w:t>
      </w:r>
      <w:r>
        <w:rPr>
          <w:bCs/>
          <w:b/>
        </w:rPr>
        <w:t xml:space="preserve">governance intent</w:t>
      </w:r>
      <w:r>
        <w:t xml:space="preserve">: quota is a deliberate consumption governor, not just a technical constraint. This matters because it affects auto-increase gating, quota allocation triggers, and the justification model for quota increase requests (QUA-010).</w:t>
      </w:r>
    </w:p>
    <w:p>
      <w:pPr>
        <w:pStyle w:val="BodyText"/>
      </w:pPr>
      <w:r>
        <w:rPr>
          <w:bCs/>
          <w:b/>
        </w:rPr>
        <w:t xml:space="preserve">Required action:</w:t>
      </w:r>
      <w:r>
        <w:t xml:space="preserve"> </w:t>
      </w:r>
      <w:r>
        <w:t xml:space="preserve">- ADR-002: Add a context/principle statement documenting the quota-as-governor strategy (Melvin’s model) as the strategic basis for the two-group design and the approval-gated increase model.</w:t>
      </w:r>
    </w:p>
    <w:p>
      <w:r>
        <w:pict>
          <v:rect style="width:0;height:1.5pt" o:hralign="center" o:hrstd="t" o:hr="t"/>
        </w:pict>
      </w:r>
    </w:p>
    <w:bookmarkEnd w:id="34"/>
    <w:bookmarkStart w:id="35" w:name="Xbfaef6e898d566632c37ea5a6f6f96f0843159c"/>
    <w:p>
      <w:pPr>
        <w:pStyle w:val="Heading3"/>
      </w:pPr>
      <w:r>
        <w:t xml:space="preserve">DEV-015 — Reconciliation Mechanics (CAP-005/CAP-006): Not in ADRs</w:t>
      </w:r>
    </w:p>
    <w:p>
      <w:pPr>
        <w:pStyle w:val="FirstParagraph"/>
      </w:pPr>
      <w:r>
        <w:rPr>
          <w:bCs/>
          <w:b/>
        </w:rPr>
        <w:t xml:space="preserve">Severity:</w:t>
      </w:r>
      <w:r>
        <w:t xml:space="preserve"> </w:t>
      </w:r>
      <w:r>
        <w:t xml:space="preserve">🟢 Minor</w:t>
      </w:r>
      <w:r>
        <w:br/>
      </w:r>
      <w:r>
        <w:rPr>
          <w:bCs/>
          <w:b/>
        </w:rPr>
        <w:t xml:space="preserve">Requirement:</w:t>
      </w:r>
      <w:r>
        <w:t xml:space="preserve"> </w:t>
      </w:r>
      <w:r>
        <w:t xml:space="preserve">CAP-005, CAP-006, CAP-007, CAP-008</w:t>
      </w:r>
      <w:r>
        <w:br/>
      </w:r>
      <w:r>
        <w:rPr>
          <w:bCs/>
          <w:b/>
        </w:rPr>
        <w:t xml:space="preserve">Current ADR:</w:t>
      </w:r>
      <w:r>
        <w:t xml:space="preserve"> </w:t>
      </w:r>
      <w:r>
        <w:t xml:space="preserve">ADR-003/004 mention the reconciliation loop in passing.</w:t>
      </w:r>
    </w:p>
    <w:p>
      <w:pPr>
        <w:pStyle w:val="BodyText"/>
      </w:pPr>
      <w:r>
        <w:rPr>
          <w:bCs/>
          <w:b/>
        </w:rPr>
        <w:t xml:space="preserve">Gap:</w:t>
      </w:r>
    </w:p>
    <w:p>
      <w:pPr>
        <w:pStyle w:val="BodyText"/>
      </w:pPr>
      <w:r>
        <w:t xml:space="preserve">Requirements specify: automated reconciliation every 6 minutes (configurable, production interval TBD), comparing reserved quantity vs allocated vs associated vs available, with raise/lower actions. CAP-007 (alert on scale-up failure) and CAP-008 (scale-down policy with minimum-hold interval and DR protection) are not documented.</w:t>
      </w:r>
    </w:p>
    <w:p>
      <w:pPr>
        <w:pStyle w:val="BodyText"/>
      </w:pPr>
      <w:r>
        <w:rPr>
          <w:bCs/>
          <w:b/>
        </w:rPr>
        <w:t xml:space="preserve">Required action:</w:t>
      </w:r>
      <w:r>
        <w:t xml:space="preserve"> </w:t>
      </w:r>
      <w:r>
        <w:t xml:space="preserve">- ADR-004: Add a normative subsection for the reconciliation engine: frequency, comparison inputs (reserved/allocated/associated/available/buffer), raise/lower decision logic, scale-up failure alerting, and scale-down guards.</w:t>
      </w:r>
    </w:p>
    <w:p>
      <w:r>
        <w:pict>
          <v:rect style="width:0;height:1.5pt" o:hralign="center" o:hrstd="t" o:hr="t"/>
        </w:pict>
      </w:r>
    </w:p>
    <w:bookmarkEnd w:id="35"/>
    <w:bookmarkStart w:id="36" w:name="X6fd2fa3ed33dce12fde73725715e8b6dbda50f0"/>
    <w:p>
      <w:pPr>
        <w:pStyle w:val="Heading3"/>
      </w:pPr>
      <w:r>
        <w:t xml:space="preserve">DEV-016 — Three-Region Minimum as Normative Requirement (REG-003): Not in ADRs</w:t>
      </w:r>
    </w:p>
    <w:p>
      <w:pPr>
        <w:pStyle w:val="FirstParagraph"/>
      </w:pPr>
      <w:r>
        <w:rPr>
          <w:bCs/>
          <w:b/>
        </w:rPr>
        <w:t xml:space="preserve">Severity:</w:t>
      </w:r>
      <w:r>
        <w:t xml:space="preserve"> </w:t>
      </w:r>
      <w:r>
        <w:t xml:space="preserve">🟢 Minor</w:t>
      </w:r>
      <w:r>
        <w:br/>
      </w:r>
      <w:r>
        <w:rPr>
          <w:bCs/>
          <w:b/>
        </w:rPr>
        <w:t xml:space="preserve">Requirement:</w:t>
      </w:r>
      <w:r>
        <w:t xml:space="preserve"> </w:t>
      </w:r>
      <w:r>
        <w:t xml:space="preserve">REG-003</w:t>
      </w:r>
      <w:r>
        <w:br/>
      </w:r>
      <w:r>
        <w:rPr>
          <w:bCs/>
          <w:b/>
        </w:rPr>
        <w:t xml:space="preserve">Current ADR:</w:t>
      </w:r>
      <w:r>
        <w:t xml:space="preserve"> </w:t>
      </w:r>
      <w:r>
        <w:t xml:space="preserve">ADR-001 mentions the Middle East geo issue in context but does not state three-region minimum as a normative design gate.</w:t>
      </w:r>
    </w:p>
    <w:p>
      <w:pPr>
        <w:pStyle w:val="BodyText"/>
      </w:pPr>
      <w:r>
        <w:rPr>
          <w:bCs/>
          <w:b/>
        </w:rPr>
        <w:t xml:space="preserve">Gap:</w:t>
      </w:r>
    </w:p>
    <w:p>
      <w:pPr>
        <w:pStyle w:val="BodyText"/>
      </w:pPr>
      <w:r>
        <w:t xml:space="preserve">Requirements state:</w:t>
      </w:r>
    </w:p>
    <w:p>
      <w:pPr>
        <w:pStyle w:val="BlockText"/>
      </w:pPr>
      <w:r>
        <w:t xml:space="preserve">“</w:t>
      </w:r>
      <w:r>
        <w:t xml:space="preserve">Three-to-four regions per geography is a design goal. A two-region model is explicitly identified as problematic — it cannot guarantee sufficient failover capacity if all production concentrates in one location.</w:t>
      </w:r>
      <w:r>
        <w:t xml:space="preserve">”</w:t>
      </w:r>
      <w:r>
        <w:t xml:space="preserve"> </w:t>
      </w:r>
      <w:r>
        <w:t xml:space="preserve">(REG-003)</w:t>
      </w:r>
    </w:p>
    <w:p>
      <w:pPr>
        <w:pStyle w:val="FirstParagraph"/>
      </w:pPr>
      <w:r>
        <w:rPr>
          <w:bCs/>
          <w:b/>
        </w:rPr>
        <w:t xml:space="preserve">Required action:</w:t>
      </w:r>
      <w:r>
        <w:t xml:space="preserve"> </w:t>
      </w:r>
      <w:r>
        <w:t xml:space="preserve">- ADR-001: Document the three-region minimum as a normative constraint on the placement pipeline. A two-region geography is a known limitation (Middle East) requiring explicit governance approval and a</w:t>
      </w:r>
      <w:r>
        <w:t xml:space="preserve"> </w:t>
      </w:r>
      <w:r>
        <w:rPr>
          <w:rStyle w:val="VerbatimChar"/>
        </w:rPr>
        <w:t xml:space="preserve">DR_NOT_OFFERED</w:t>
      </w:r>
      <w:r>
        <w:t xml:space="preserve"> </w:t>
      </w:r>
      <w:r>
        <w:t xml:space="preserve">or cross-geo exception.</w:t>
      </w:r>
    </w:p>
    <w:p>
      <w:r>
        <w:pict>
          <v:rect style="width:0;height:1.5pt" o:hralign="center" o:hrstd="t" o:hr="t"/>
        </w:pict>
      </w:r>
    </w:p>
    <w:bookmarkEnd w:id="36"/>
    <w:bookmarkStart w:id="37" w:name="Xcab9459f661d5aa45eaa1a355355a93a7a3c41c"/>
    <w:p>
      <w:pPr>
        <w:pStyle w:val="Heading3"/>
      </w:pPr>
      <w:r>
        <w:t xml:space="preserve">DEV-017 — Configurable Region Catalogue with Version Control (REG-001/REG-002): Not Explicit</w:t>
      </w:r>
    </w:p>
    <w:p>
      <w:pPr>
        <w:pStyle w:val="FirstParagraph"/>
      </w:pPr>
      <w:r>
        <w:rPr>
          <w:bCs/>
          <w:b/>
        </w:rPr>
        <w:t xml:space="preserve">Severity:</w:t>
      </w:r>
      <w:r>
        <w:t xml:space="preserve"> </w:t>
      </w:r>
      <w:r>
        <w:t xml:space="preserve">🟢 Minor</w:t>
      </w:r>
      <w:r>
        <w:br/>
      </w:r>
      <w:r>
        <w:rPr>
          <w:bCs/>
          <w:b/>
        </w:rPr>
        <w:t xml:space="preserve">Requirement:</w:t>
      </w:r>
      <w:r>
        <w:t xml:space="preserve"> </w:t>
      </w:r>
      <w:r>
        <w:t xml:space="preserve">REG-001, REG-002, DAT-005</w:t>
      </w:r>
      <w:r>
        <w:br/>
      </w:r>
      <w:r>
        <w:rPr>
          <w:bCs/>
          <w:b/>
        </w:rPr>
        <w:t xml:space="preserve">Current ADR:</w:t>
      </w:r>
      <w:r>
        <w:t xml:space="preserve"> </w:t>
      </w:r>
      <w:r>
        <w:t xml:space="preserve">ADR-001 mentions</w:t>
      </w:r>
      <w:r>
        <w:t xml:space="preserve"> </w:t>
      </w:r>
      <w:r>
        <w:rPr>
          <w:rStyle w:val="VerbatimChar"/>
        </w:rPr>
        <w:t xml:space="preserve">PlacementPolicy</w:t>
      </w:r>
      <w:r>
        <w:t xml:space="preserve"> </w:t>
      </w:r>
      <w:r>
        <w:t xml:space="preserve">as config-as-code. REG-002 (region examples sourced from authoritative config, not slideware) is not mentioned.</w:t>
      </w:r>
    </w:p>
    <w:p>
      <w:pPr>
        <w:pStyle w:val="BodyText"/>
      </w:pPr>
      <w:r>
        <w:rPr>
          <w:bCs/>
          <w:b/>
        </w:rPr>
        <w:t xml:space="preserve">Gap:</w:t>
      </w:r>
    </w:p>
    <w:p>
      <w:pPr>
        <w:pStyle w:val="BodyText"/>
      </w:pPr>
      <w:r>
        <w:t xml:space="preserve">Requirements add two governance requirements not in ADR-001: the region catalogue must be</w:t>
      </w:r>
      <w:r>
        <w:t xml:space="preserve"> </w:t>
      </w:r>
      <w:r>
        <w:rPr>
          <w:bCs/>
          <w:b/>
        </w:rPr>
        <w:t xml:space="preserve">versioned and configuration-driven</w:t>
      </w:r>
      <w:r>
        <w:t xml:space="preserve"> </w:t>
      </w:r>
      <w:r>
        <w:t xml:space="preserve">(REG-001) and region examples must be sourced from authoritative configuration only (REG-002 —</w:t>
      </w:r>
      <w:r>
        <w:t xml:space="preserve"> </w:t>
      </w:r>
      <w:r>
        <w:t xml:space="preserve">“</w:t>
      </w:r>
      <w:r>
        <w:t xml:space="preserve">Belgium was corrected to Switzerland North during review</w:t>
      </w:r>
      <w:r>
        <w:t xml:space="preserve">”</w:t>
      </w:r>
      <w:r>
        <w:t xml:space="preserve">). DAT-005 requires scope file version control with decision traceability.</w:t>
      </w:r>
    </w:p>
    <w:p>
      <w:pPr>
        <w:pStyle w:val="BodyText"/>
      </w:pPr>
      <w:r>
        <w:rPr>
          <w:bCs/>
          <w:b/>
        </w:rPr>
        <w:t xml:space="preserve">Required action:</w:t>
      </w:r>
      <w:r>
        <w:t xml:space="preserve"> </w:t>
      </w:r>
      <w:r>
        <w:t xml:space="preserve">- ADR-001: Document</w:t>
      </w:r>
      <w:r>
        <w:t xml:space="preserve"> </w:t>
      </w:r>
      <w:r>
        <w:rPr>
          <w:rStyle w:val="VerbatimChar"/>
        </w:rPr>
        <w:t xml:space="preserve">PlacementPolicy</w:t>
      </w:r>
      <w:r>
        <w:t xml:space="preserve"> </w:t>
      </w:r>
      <w:r>
        <w:t xml:space="preserve">as the authoritative, versioned config source; add REG-002 as a governance constraint on documentation and example accuracy.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alignment-confirmed-no-deviation"/>
    <w:p>
      <w:pPr>
        <w:pStyle w:val="Heading2"/>
      </w:pPr>
      <w:r>
        <w:t xml:space="preserve">Alignment Confirmed (No Deviation)</w:t>
      </w:r>
    </w:p>
    <w:p>
      <w:pPr>
        <w:pStyle w:val="FirstParagraph"/>
      </w:pPr>
      <w:r>
        <w:t xml:space="preserve">These areas in the requirements are well-covered by the current ADRs: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ADR coverage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Sequential Prod → CVAL → DR placement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PLC-006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ADR-001: explicit pipeline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Hard separation: Prod ≠ CVAL ≠ DR capacity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ADR-001: HC-1/HC-4 + ADR-002: two-group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Exception workflow for Restricted regions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PLC-002 (partial)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ADR-001: EC-1..EC-4, VR-3, Exception Deployment Workflow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Two-group quota model design rationale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ADR-002: all three alternatives considered and rejected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 floor accounting formulas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DR-004, DR-005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ADR-002: DR_Floor_vCPU, Effective_NonProd_Ceiling, NonProd_Headroom, Group_Headroom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groupType preview dependency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DEP-001 (partial)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ADR-002: FC-11 preview, version-pin requirement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NonProd/DR co-location (HC-1 relaxed)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ENV-003 (note: DR may share with non-prod)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ADR-003: decision item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Five-state engine state machine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(overall DR ops)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ADR-003: full state machine 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Three-tier emergency transfer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DR-006 stages 1-3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ADR-003: Tier 1/2/3 with quota-neutral math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Approval-gated forecast growth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CAP-007 (partial)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ADR-004: 10-step lifecycle, Phase-1 approval gate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Auto-decrease exclusion (Phase 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CAP-008 (partial)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ADR-004: explicit exclusion with rationale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80% quota lead-time alerting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ADR-004: ForecastApproachingQuotaLimit at 14-day lead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Capacity sharing scope and POC-001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CAP-013, QUA-013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ADR-002: groupType POC dependency documented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Middle East geographic constraint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DR-014 (partial)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ADR-001: Middle East geo → cross-geo DR 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Region classification tiers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REG-001 (partial)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ADR-001: Standard/Restricted 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Weighted placement scoring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PLC-007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ADR-001: α/β/γ/δ/ε weights, PS_Prod/NonProd/DR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0" w:name="summary-adr-update-workplan"/>
    <w:p>
      <w:pPr>
        <w:pStyle w:val="Heading2"/>
      </w:pPr>
      <w:r>
        <w:t xml:space="preserve">Summary: ADR Update Workplan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Changes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ADR-001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(1) Reframe Scenario 2 (specific region) as primary default; Scenario 1 (geography) as exception path. (2) Add</w:t>
            </w:r>
            <w:r>
              <w:t xml:space="preserve"> </w:t>
            </w:r>
            <w:r>
              <w:rPr>
                <w:rStyle w:val="VerbatimChar"/>
              </w:rPr>
              <w:t xml:space="preserve">CustomerSeedRecord</w:t>
            </w:r>
            <w:r>
              <w:t xml:space="preserve"> </w:t>
            </w:r>
            <w:r>
              <w:t xml:space="preserve">entity and seed-reuse/seed-change governance. (3) Add</w:t>
            </w:r>
            <w:r>
              <w:t xml:space="preserve"> </w:t>
            </w:r>
            <w:r>
              <w:rPr>
                <w:rStyle w:val="VerbatimChar"/>
              </w:rPr>
              <w:t xml:space="preserve">DR_NOT_OFFERED</w:t>
            </w:r>
            <w:r>
              <w:t xml:space="preserve"> </w:t>
            </w:r>
            <w:r>
              <w:t xml:space="preserve">flag in</w:t>
            </w:r>
            <w:r>
              <w:t xml:space="preserve"> </w:t>
            </w:r>
            <w:r>
              <w:rPr>
                <w:rStyle w:val="VerbatimChar"/>
              </w:rPr>
              <w:t xml:space="preserve">PlacementPolicy</w:t>
            </w:r>
            <w:r>
              <w:t xml:space="preserve">. (4) Add three-region minimum as normative constraint. (5) Add deployment readiness state enum (RDY-002). (6) Version</w:t>
            </w:r>
            <w:r>
              <w:t xml:space="preserve"> </w:t>
            </w:r>
            <w:r>
              <w:rPr>
                <w:rStyle w:val="VerbatimChar"/>
              </w:rPr>
              <w:t xml:space="preserve">PlacementPolicy</w:t>
            </w:r>
            <w:r>
              <w:t xml:space="preserve"> </w:t>
            </w:r>
            <w:r>
              <w:t xml:space="preserve">config with REG-002 discipline.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ADR-002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(1) Add quota-as-governor strategic framing. (2) Add explicit cross-reference resolving the QUA-004 vs two-group tension. (3) Update</w:t>
            </w:r>
            <w:r>
              <w:t xml:space="preserve"> </w:t>
            </w:r>
            <w:r>
              <w:rPr>
                <w:rStyle w:val="VerbatimChar"/>
              </w:rPr>
              <w:t xml:space="preserve">DR_Floor_vCPU</w:t>
            </w:r>
            <w:r>
              <w:t xml:space="preserve"> </w:t>
            </w:r>
            <w:r>
              <w:t xml:space="preserve">formula to align with max-not-sum distributed portions rather than fixed ratio.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ADR-003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(1) Replace</w:t>
            </w:r>
            <w:r>
              <w:t xml:space="preserve"> </w:t>
            </w:r>
            <w:r>
              <w:rPr>
                <w:rStyle w:val="VerbatimChar"/>
              </w:rPr>
              <w:t xml:space="preserve">dr_ratio_*</w:t>
            </w:r>
            <w:r>
              <w:t xml:space="preserve"> </w:t>
            </w:r>
            <w:r>
              <w:t xml:space="preserve">constants with configurable bootstrap target. (2) Replace DR sizing formula with Appendix A.6 max-not-sum. (3) Add per-customer activation workflow (DR-019): associated→allocated transition, priority waves, DR-006 staged acquisition, failback reversal. (4) Add</w:t>
            </w:r>
            <w:r>
              <w:t xml:space="preserve"> </w:t>
            </w:r>
            <w:r>
              <w:rPr>
                <w:rStyle w:val="VerbatimChar"/>
              </w:rPr>
              <w:t xml:space="preserve">CVALEarmarkRecord</w:t>
            </w:r>
            <w:r>
              <w:t xml:space="preserve"> </w:t>
            </w:r>
            <w:r>
              <w:t xml:space="preserve">/ double-count guard (PLC-010). (5) Add zero-capacity and no-auto-delete policy (CAP-009/010). (6) Add reciprocal multi-source DR topology (DR-016) and reference to DR index. (7) Add POC-011 as a required validation gate.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ADR-004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(1) Add</w:t>
            </w:r>
            <w:r>
              <w:t xml:space="preserve"> </w:t>
            </w:r>
            <w:r>
              <w:rPr>
                <w:rStyle w:val="VerbatimChar"/>
              </w:rPr>
              <w:t xml:space="preserve">Target = Allocated + Buffer</w:t>
            </w:r>
            <w:r>
              <w:t xml:space="preserve"> </w:t>
            </w:r>
            <w:r>
              <w:t xml:space="preserve">floor formula alongside forecast formula; clarify allocated/associated distinction. (2) Add reconciliation engine normative spec (frequency, inputs, raise/lower logic, scale-down guards).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ADR-005 (new)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Distributed DR Reference Model — formalise §12A topology: three-role region model,</w:t>
            </w:r>
            <w:r>
              <w:t xml:space="preserve"> </w:t>
            </w:r>
            <w:r>
              <w:rPr>
                <w:rStyle w:val="VerbatimChar"/>
              </w:rPr>
              <w:t xml:space="preserve">SourceDestinationDRIndex</w:t>
            </w:r>
            <w:r>
              <w:t xml:space="preserve"> </w:t>
            </w:r>
            <w:r>
              <w:t xml:space="preserve">entity definition, bidirectional mapping, max-not-sum relationship, single-failure assumption boundary, observability requirements.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Generated August 2026. Review cycle: next ADR update pass.</w:t>
      </w:r>
    </w:p>
    <w:bookmarkEnd w:id="40"/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2026-08-27T16:32:55Z</dcterms:created>
  <dcterms:modified xsi:type="dcterms:W3CDTF">2026-08-27T16:32:55Z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