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21e0bae5fb6480dd21b62d993a8d3ae672aff54"/>
    <w:p>
      <w:pPr>
        <w:pStyle w:val="Heading1"/>
      </w:pPr>
      <w:r>
        <w:t xml:space="preserve">ACRME Requirements Code Glossary &amp; Master Index</w:t>
      </w:r>
    </w:p>
    <w:p>
      <w:pPr>
        <w:pStyle w:val="FirstParagraph"/>
      </w:pPr>
      <w:r>
        <w:rPr>
          <w:bCs/>
          <w:b/>
        </w:rPr>
        <w:t xml:space="preserve">Azure Capacity Reservation Management Engine (ACRME)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— aligned to Requirements Baseline v2.4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2026-09-08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Principal Cloud Architect</w:t>
      </w:r>
    </w:p>
    <w:p>
      <w:r>
        <w:pict>
          <v:rect style="width:0;height:1.5pt" o:hralign="center" o:hrstd="t" o:hr="t"/>
        </w:pict>
      </w:r>
    </w:p>
    <w:bookmarkStart w:id="20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glossary is the</w:t>
      </w:r>
      <w:r>
        <w:t xml:space="preserve"> </w:t>
      </w:r>
      <w:r>
        <w:rPr>
          <w:bCs/>
          <w:b/>
        </w:rPr>
        <w:t xml:space="preserve">single lookup point</w:t>
      </w:r>
      <w:r>
        <w:t xml:space="preserve"> </w:t>
      </w:r>
      <w:r>
        <w:t xml:space="preserve">for every requirements code used across the ACRME design corpus.</w:t>
      </w:r>
      <w:r>
        <w:t xml:space="preserve"> </w:t>
      </w:r>
      <w:r>
        <w:t xml:space="preserve">Each entry provides: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and its full name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one-line definition</w:t>
      </w:r>
      <w:r>
        <w:t xml:space="preserve"> </w:t>
      </w:r>
      <w:r>
        <w:t xml:space="preserve">of what it means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direct link</w:t>
      </w:r>
      <w:r>
        <w:t xml:space="preserve"> </w:t>
      </w:r>
      <w:r>
        <w:t xml:space="preserve">to the source document and section where the full normative detail lives</w:t>
      </w:r>
    </w:p>
    <w:p>
      <w:pPr>
        <w:pStyle w:val="FirstParagraph"/>
      </w:pPr>
      <w:r>
        <w:t xml:space="preserve">It does not reproduce the full specification — it tells you exactly where to find it.</w:t>
      </w:r>
    </w:p>
    <w:p>
      <w:r>
        <w:pict>
          <v:rect style="width:0;height:1.5pt" o:hralign="center" o:hrstd="t" o:hr="t"/>
        </w:pict>
      </w:r>
    </w:p>
    <w:bookmarkEnd w:id="20"/>
    <w:bookmarkStart w:id="21" w:name="code-family-quick-reference"/>
    <w:p>
      <w:pPr>
        <w:pStyle w:val="Heading2"/>
      </w:pPr>
      <w:r>
        <w:t xml:space="preserve">Code Family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2"/>
        <w:gridCol w:w="1152"/>
        <w:gridCol w:w="1007"/>
        <w:gridCol w:w="2304"/>
        <w:gridCol w:w="23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source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reg---region-strategy-requirements">
              <w:r>
                <w:rPr>
                  <w:rStyle w:val="Hyperlink"/>
                </w:rPr>
                <w:t xml:space="preserve">Region strategy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catalogue, distribution model, geography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ec---strategic-decisions">
              <w:r>
                <w:rPr>
                  <w:rStyle w:val="Hyperlink"/>
                </w:rPr>
                <w:t xml:space="preserve">Strategic decisions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business/legal decisions that gate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env---environment-policy-requirements">
              <w:r>
                <w:rPr>
                  <w:rStyle w:val="Hyperlink"/>
                </w:rPr>
                <w:t xml:space="preserve">Environment policy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/ CVAL / DR environment separation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4d5cc5a95fae8f55ac2871b2fc359ed688af001">
              <w:r>
                <w:rPr>
                  <w:rStyle w:val="Hyperlink"/>
                </w:rPr>
                <w:t xml:space="preserve">Capacity reservation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lifecycle, sharing, scaling, naming, zone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qua---quota-management-requirements">
              <w:r>
                <w:rPr>
                  <w:rStyle w:val="Hyperlink"/>
                </w:rPr>
                <w:t xml:space="preserve">Quota management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pooling, allocation, reclamation,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rdy---combined-capacity--quota-readiness">
              <w:r>
                <w:rPr>
                  <w:rStyle w:val="Hyperlink"/>
                </w:rPr>
                <w:t xml:space="preserve">Combined readiness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RDY-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readiness gate and state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816a0364541025feaaf4181bf171b318fd2af7b">
              <w:r>
                <w:rPr>
                  <w:rStyle w:val="Hyperlink"/>
                </w:rPr>
                <w:t xml:space="preserve">Placement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PLC-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placement, seed record, scoring, zone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7b89667f86a1f9a303d99fcd3cc479cdbbfabb9">
              <w:r>
                <w:rPr>
                  <w:rStyle w:val="Hyperlink"/>
                </w:rPr>
                <w:t xml:space="preserve">Disaster recovery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sizing, failover, failback, co-location, standby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a008b7211c38b4c6cb806aa32c1b41e7e49f1ba">
              <w:r>
                <w:rPr>
                  <w:rStyle w:val="Hyperlink"/>
                </w:rPr>
                <w:t xml:space="preserve">FinOps &amp; cost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cost, buffer economics, shared-DR overcommit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2af4ea9b329a566df09ada7eab8fca45c6c1d19">
              <w:r>
                <w:rPr>
                  <w:rStyle w:val="Hyperlink"/>
                </w:rPr>
                <w:t xml:space="preserve">AEP integration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Provisioning contract, idempotency, output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---state--data-requirements">
              <w:r>
                <w:rPr>
                  <w:rStyle w:val="Hyperlink"/>
                </w:rPr>
                <w:t xml:space="preserve">State &amp; data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store, entity model, freshness, config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06f1f5ad060a821ad85ec20705bf06515ddb1ab">
              <w:r>
                <w:rPr>
                  <w:rStyle w:val="Hyperlink"/>
                </w:rPr>
                <w:t xml:space="preserve">Observability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alerts, dashboards, SLO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65a7001c69e30788770746dabfd8ed277445dcf">
              <w:r>
                <w:rPr>
                  <w:rStyle w:val="Hyperlink"/>
                </w:rPr>
                <w:t xml:space="preserve">Governance &amp; security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audit, break-glass, secrets, data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b1c4c0607f695d8d620be325d43435e38b8fa16">
              <w:r>
                <w:rPr>
                  <w:rStyle w:val="Hyperlink"/>
                </w:rPr>
                <w:t xml:space="preserve">Non-functional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Availability, consistency, performance, 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ops---operational-requirements">
              <w:r>
                <w:rPr>
                  <w:rStyle w:val="Hyperlink"/>
                </w:rPr>
                <w:t xml:space="preserve">Operational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Runbooks, safe pause, override, naming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hc---hard-constraints">
              <w:r>
                <w:rPr>
                  <w:rStyle w:val="Hyperlink"/>
                </w:rPr>
                <w:t xml:space="preserve">Hard constraints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blocking rules that gate every placement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r---validation-rules">
              <w:r>
                <w:rPr>
                  <w:rStyle w:val="Hyperlink"/>
                </w:rPr>
                <w:t xml:space="preserve">Validation rules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enforcement checks derived from hard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---core-formulas-appendix-a">
              <w:r>
                <w:rPr>
                  <w:rStyle w:val="Hyperlink"/>
                </w:rPr>
                <w:t xml:space="preserve">Core formulas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 formulas for reservations, quota, DR, zone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Appendix 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deb2d32b927dffb86c18038568d34abe2f336c0">
              <w:r>
                <w:rPr>
                  <w:rStyle w:val="Hyperlink"/>
                </w:rPr>
                <w:t xml:space="preserve">Configurable 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and policies that are configurable (not 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9641a93a9d0d6dd5d10b67c9f437f306986a5bb">
              <w:r>
                <w:rPr>
                  <w:rStyle w:val="Hyperlink"/>
                </w:rPr>
                <w:t xml:space="preserve">Pending decisions / POCs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POC-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behaviour that must be validated before production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§23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fr---functional-requirements">
              <w:r>
                <w:rPr>
                  <w:rStyle w:val="Hyperlink"/>
                </w:rPr>
                <w:t xml:space="preserve">Functional requirements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functional capability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Requirements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3557a93b01fa2fa659a953843b48a690d0e3d1a">
              <w:r>
                <w:rPr>
                  <w:rStyle w:val="Hyperlink"/>
                </w:rPr>
                <w:t xml:space="preserve">Non-functional requirements (placement)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Latency, freshness, determinism for placement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Requirements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r---regional-placement-requirements">
              <w:r>
                <w:rPr>
                  <w:rStyle w:val="Hyperlink"/>
                </w:rPr>
                <w:t xml:space="preserve">Placement requirements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placement behaviours derived from placement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Requirements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dr---architecture-decision-records">
              <w:r>
                <w:rPr>
                  <w:rStyle w:val="Hyperlink"/>
                </w:rPr>
                <w:t xml:space="preserve">Architecture decisions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load-bearing architectural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Architecture/adr/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g---design-gaps">
              <w:r>
                <w:rPr>
                  <w:rStyle w:val="Hyperlink"/>
                </w:rPr>
                <w:t xml:space="preserve">Design gaps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documented open design items (30%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Class Diagrams Summary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crme-e---backlog-epics">
              <w:r>
                <w:rPr>
                  <w:rStyle w:val="Hyperlink"/>
                </w:rPr>
                <w:t xml:space="preserve">Backlog epics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delivery epics in the engineering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Epics/Stories/Tasks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reg-region-strategy-requirements"/>
    <w:p>
      <w:pPr>
        <w:pStyle w:val="Heading2"/>
      </w:pPr>
      <w:r>
        <w:t xml:space="preserve">REG — Region Strategy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22">
        <w:r>
          <w:rPr>
            <w:rStyle w:val="Hyperlink"/>
          </w:rPr>
          <w:t xml:space="preserve">Requirements Baseline v2.4 — §6 Region Strategy &amp; Classification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region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classification, eligibility, distribution model, and per-region flags are all configuration-driven and versioned; no hard-coded catalogue in engine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DR extension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is the authoritative cross-geography DR extension region (Europe geography); cross-geo DR path requires explicit policy approval (HC-10).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uses a three-region distribution model (Prod / CVAL / DR fully separated); all other geographies (Europe, Australia, Asia Pacific, Middle East) use a two-region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East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East is pending business confirmation before inclusion as a Standard region in the Asia Pacific geography.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dec-strategic-decisions"/>
    <w:p>
      <w:pPr>
        <w:pStyle w:val="Heading2"/>
      </w:pPr>
      <w:r>
        <w:t xml:space="preserve">DEC — Strategic Decisions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24">
        <w:r>
          <w:rPr>
            <w:rStyle w:val="Hyperlink"/>
          </w:rPr>
          <w:t xml:space="preserve">Requirements Baseline v2.4 — §23 Pending Decisions &amp; Mandatory POCs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Legal/business decision on Middle East DR (</w:t>
            </w: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is the current default until this decision records an approval per country/geography). Highest-priority gating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drill duration &amp; failback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 between extended ~1-year DR run and earlier ~30-day failback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exception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approves geography-only customer onboarding (exception path) and the format of binding customer acknowledgement.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env-environment-policy-requirements"/>
    <w:p>
      <w:pPr>
        <w:pStyle w:val="Heading2"/>
      </w:pPr>
      <w:r>
        <w:t xml:space="preserve">ENV — Environment Policy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26">
        <w:r>
          <w:rPr>
            <w:rStyle w:val="Hyperlink"/>
          </w:rPr>
          <w:t xml:space="preserve">Requirements Baseline v2.4 — §7 Environment Policy Requirements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reservation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approved production VM SKUs with reservations to guarantee compute availability.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Production-only initial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reservation coverage is mandatory; CVAL/DR reservation is a phased follow-on, not day-one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separation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Prod, CVAL, and DR must each be in a different region (US three-region); in two-region geographies CVAL and DR co-locate in the non-Prod region (PLC-010a — mandatory, not an exception).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is treated as a potential DR capacity source (its capacity can contribute to DR readiness).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bootstrap, not full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capacity is a lean bootstrap (enough to start recovery orchestration), not a full production duplicate.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bootstrap cannot be implicitly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zero DR target must be an explicit approved configuration, not an accidental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permanent R&amp;D reservations by default; short-lived POC reservations may be supported under governance.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X659e9c360cab53852039620670ca96d5b4a8164"/>
    <w:p>
      <w:pPr>
        <w:pStyle w:val="Heading2"/>
      </w:pPr>
      <w:r>
        <w:t xml:space="preserve">CAP — Capacity Reservation Management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28">
        <w:r>
          <w:rPr>
            <w:rStyle w:val="Hyperlink"/>
          </w:rPr>
          <w:t xml:space="preserve">Requirements Baseline v2.4 — §8 Capacity Reservation Management Requirements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managed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operates only on subscriptions, regions, SKUs, and environments declared in its versioned scope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subscription = all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deployed into a shared platform/core subscription are all classified production for reservation and buffer purposes; non-production workloads must not run there.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resource must precede config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managed subscription/CRG must exist as a real Azure resource before the engine activates management of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target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quantity = allocated demand + approved buffer; see formula A.1.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Associated-but-deallocated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Deallocated VMs associated to a CRG still consume reserved capacity; they must not be silently ignored in demand accounting.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Periodically compare reserved quantity against current demand; trigger scale-up or flag scale-down.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frequency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implementation reconciles every 6 minutes; production interval is configurable (C-4) and validated by POC-010.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Scale-up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allocated demand rises, attempt to increase reservation immediately; log failure with alert if Azure rejects.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Scale-down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allocated demand falls, reduce reservation only after the decommissioning workflow completes; not automatic.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Zero-capacity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Azure permits, reduce a reservation to</w:t>
            </w:r>
            <w:r>
              <w:t xml:space="preserve"> </w:t>
            </w:r>
            <w:r>
              <w:rPr>
                <w:rStyle w:val="VerbatimChar"/>
              </w:rPr>
              <w:t xml:space="preserve">quantity = 0</w:t>
            </w:r>
            <w:r>
              <w:t xml:space="preserve"> </w:t>
            </w:r>
            <w:r>
              <w:t xml:space="preserve">(not delete it) to preserve the CRG structure; extends CAP-022 seed matrix.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automatic deletion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CRGs and reservations are never automatically deleted; decommissioning is a gated workflow (CAP-008).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Availability-zone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Reservations are managed per availability zone; zone counts and zone-level capacity are tracked and reported independently (extends to CAP-023 per-AZ CRG structure).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Reservations are never counted, moved, or shared across regions without explicit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cross-subscription reservation sharing where approved; governed by the three-tier sharing model (Tier 1/2/3).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capacity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shared reservation, expose provider-side quantity, consumer-side allocated count, and net available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double 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shared to multiple consumers is counted once at the provider; consumer-allocated demand is tracked separately.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integrity validation (pre-deploy)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capacity availability before accepting a deployment request; block if insufficient.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failure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reservation enforcement fails at deploy time, the engine follows a defined policy (block / warn / allow with alert) — configurable per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Over-allocation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an explicit policy to permit VM association beyond reserved quantity (with alert); not silent.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Scope-file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SKU to management requires a scope-file change with approval; reconciles with CAP-024 reactive discovery.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Availability-Set VMs ineligible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in an Availability Set are mutually exclusive with Capacity Reservations and must be excluded from all reservation management (maps to HC-11).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Deallocate-or-migrate-to-AZ onboarding 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onboarding an AV-Set VM, it must be deallocated and redeployed into an availability zone — this is a pre-condition, not an engine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Seed-at-0 eligible-SKU/AZ matrix &amp; budget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 governed matrix of eligible SKU × region × AZ combinations with seed reservations created at</w:t>
            </w:r>
            <w:r>
              <w:t xml:space="preserve"> </w:t>
            </w:r>
            <w:r>
              <w:rPr>
                <w:rStyle w:val="VerbatimChar"/>
              </w:rPr>
              <w:t xml:space="preserve">quantity = 0</w:t>
            </w:r>
            <w:r>
              <w:t xml:space="preserve">; resizing from 0 requires product-team budget approval. Extends CAP-009.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and per-AZ CRG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environment, the engine maintains one regional CRG (non-zonal SKUs) plus one per-AZ CRG for each availability zone (</w:t>
            </w:r>
            <w:r>
              <w:rPr>
                <w:rStyle w:val="VerbatimChar"/>
              </w:rPr>
              <w:t xml:space="preserve">crg-&lt;env&gt;-&lt;region&gt;-az1/az2/az3</w:t>
            </w:r>
            <w:r>
              <w:t xml:space="preserve">). Extends CAP-011.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SKU/AZ discovery reconciled with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discovery auto-creates CRGs for new SKU/AZ combinations observed in demand; governed by the scope-file approval workflow (CAP-019).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qua-quota-management-requirements"/>
    <w:p>
      <w:pPr>
        <w:pStyle w:val="Heading2"/>
      </w:pPr>
      <w:r>
        <w:t xml:space="preserve">QUA — Quota Management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30">
        <w:r>
          <w:rPr>
            <w:rStyle w:val="Hyperlink"/>
          </w:rPr>
          <w:t xml:space="preserve">Requirements Baseline v2.4 — §9 Quota Management Requirements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quota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quota as a separate control plane from reservations; quota failure does not silently mask reservation success.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&amp; family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quota inventory by region and VM family for every managed subscription.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pooling (</w:t>
            </w:r>
            <w:r>
              <w:t xml:space="preserve">“</w:t>
            </w:r>
            <w:r>
              <w:t xml:space="preserve">quota hoarding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Azure quota is per-subscription by default, centralise it into a governed pool for controlled reallocation (quota hoarding governance practice).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governed pool per supported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one governed quota pool per region/VM-family scope rather than fragmented per-subscription pools.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as cost/consumption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allocation is a cost-control gate, not just a technical limit; changes require business justification.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growth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subscriptions hold a quota buffer above current usage to absorb growth without an increase request per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Quota–reservation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managed scope, quota available ≥ reserved quantity (or alert); a reservation without supporting quota is flagged</w:t>
            </w:r>
            <w:r>
              <w:t xml:space="preserve"> </w:t>
            </w:r>
            <w:r>
              <w:rPr>
                <w:rStyle w:val="VerbatimChar"/>
              </w:rPr>
              <w:t xml:space="preserve">READY_WITH_RISK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quota from the pool to a subscription on demand; reclaim when no longer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reclamation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Reclaim unused subscription quota into the pool on scope reduction, subscription offboarding, or environment retirement.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request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requests record reason, approver, business justification, and cost exposure before submission to Azure.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source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reusable quota assigned to decommissioned or lightly used subscriptions before requesting new quota from Azure.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Region-failure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bound to a failed region cannot be assumed available; failover planning must not depend on failed-region quota.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Consumer-subscription quota (POC-gated)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a VM deploying against a shared reservation still requires quota in the consumer subscription — but this behaviour must be confirmed by POC-001 before production dependency.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allocation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every allocation, reclamation, increase request, and approval with timestamp, actor, and justification.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rdy-combined-capacity-quota-readiness"/>
    <w:p>
      <w:pPr>
        <w:pStyle w:val="Heading2"/>
      </w:pPr>
      <w:r>
        <w:t xml:space="preserve">RDY — Combined Capacity &amp; Quota Readiness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32">
        <w:r>
          <w:rPr>
            <w:rStyle w:val="Hyperlink"/>
          </w:rPr>
          <w:t xml:space="preserve">Requirements Baseline v2.4 — §10 Combined Capacity &amp; Quota Readiness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readiness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deployment is capacity-ready only when reservation exists, quota is sufficient, and state is fresh — all three must be satisfied.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RDY-002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exposes a machine-readable readiness state: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READY_WITH_RISK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QUOTA_DEFICIT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CAPACITY_DEFICIT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NOT_MANAGED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and quota must 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reservation without sufficient deployable consumer quota is never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; it is at minimum</w:t>
            </w:r>
            <w:r>
              <w:t xml:space="preserve"> </w:t>
            </w:r>
            <w:r>
              <w:rPr>
                <w:rStyle w:val="VerbatimChar"/>
              </w:rPr>
              <w:t xml:space="preserve">READY_WITH_RISK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QUOTA_DEFICIT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RDY-004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stale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and provisioning must not use state older than the configured maximum freshness threshold; stale state fails safe (</w:t>
            </w:r>
            <w:r>
              <w:rPr>
                <w:rStyle w:val="VerbatimChar"/>
              </w:rPr>
              <w:t xml:space="preserve">STALE_STATE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X343c96b4c0398e6431b24571d3f0969821dc3d2"/>
    <w:p>
      <w:pPr>
        <w:pStyle w:val="Heading2"/>
      </w:pPr>
      <w:r>
        <w:t xml:space="preserve">PLC — Region Selection &amp; Customer Placement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34">
        <w:r>
          <w:rPr>
            <w:rStyle w:val="Hyperlink"/>
          </w:rPr>
          <w:t xml:space="preserve">Requirements Baseline v2.4 — §11 Region Selection &amp; Customer Placement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region is the primary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default onboarding path starts with the customer supplying an exact production region; geography-only is an exception requiring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Geography-based selection is exceptional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customer supplies only a geography (not an exact region), the engine selects via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but requires explicit exception approval (DEC-003).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placement decision creates an authoritative seed record holding Prod, CVAL, and DR regions; subsequent placements reuse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across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products/environments for the same customer reuse the same seed record regions; no per-product re-selection.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seed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seed record is never regenerated automatically; changes require an explicit operator action with reason and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&amp; DR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production is fixed, the engine selects CVAL and DR regions automatically, subject to hard constraints and separation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weighting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scoring considers live allocated demand (demand units, not customer count) and capacity headroom to prevent hotspots.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suitable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the lowest-risk suitable region; avoid regions at or near capacity ceiling.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AEP-triggered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is the first step in every AEP provisioning call; the pipeline is synchronous for the recommendation, async for the reservation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CVAL/DR co-location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customer’s CVAL and DR</w:t>
            </w:r>
            <w:r>
              <w:t xml:space="preserve"> </w:t>
            </w:r>
            <w:r>
              <w:rPr>
                <w:iCs/>
                <w:i/>
              </w:rPr>
              <w:t xml:space="preserve">may</w:t>
            </w:r>
            <w:r>
              <w:t xml:space="preserve"> </w:t>
            </w:r>
            <w:r>
              <w:t xml:space="preserve">share a region — this is the normal outcome in two-region geographies, not an exception.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Co-location mandatory in two-region 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any two-region geography, CVAL and DR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co-locate in the non-Prod region — there is no third region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zone-distribution target &amp; rebalancing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an approximately even</w:t>
            </w:r>
            <w:r>
              <w:t xml:space="preserve"> </w:t>
            </w:r>
            <w:r>
              <w:rPr>
                <w:rStyle w:val="VerbatimChar"/>
              </w:rPr>
              <w:t xml:space="preserve">≈ 1/zone_count</w:t>
            </w:r>
            <w:r>
              <w:t xml:space="preserve"> </w:t>
            </w:r>
            <w:r>
              <w:t xml:space="preserve">zone distribution for all placements; trigger rebalancing when skew exceeds the C-13 tolerance (formula A.9).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Xf5c59108ffa003b4eec81326bcb42e260c51bde"/>
    <w:p>
      <w:pPr>
        <w:pStyle w:val="Heading2"/>
      </w:pPr>
      <w:r>
        <w:t xml:space="preserve">DR — Disaster Recovery Capacity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36">
        <w:r>
          <w:rPr>
            <w:rStyle w:val="Hyperlink"/>
          </w:rPr>
          <w:t xml:space="preserve">Requirements Baseline v2.4 — §12 Disaster Recovery Capacity Requirements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Single-region failure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default model plans for one region failing at a time; simultaneous multi-region failure is out of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capacity is computed from the distributed multi-source, multi-destination reference model (Section 12A).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how each source region’s workload is distributed across destination regions; maintain the source→destination DR index (DR-018).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target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CVAL placement should land in the same region as the planned DR destination so CVAL capacity earmarks DR bootstrap slots.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may exceed DR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capacity may exceed the DR bootstrap requirement; the excess earmark is tracked but not wasted.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DR capacity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capacity is acquired in waves (CVAL earmark → bootstrap top-up → full demand) rather than reserved all-at-once.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target is 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quantity may be a node count, core count, percentage of source, or formula result; all are configurable (C-1).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prioritises the required control-plane nodes and SKUs needed to run recovery orchestration before general workload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prioritisation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prioritised recovery: critical workloads recover first, lower-priority workloads recover in sequence.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declaration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Destructive/service-impacting failover actions require an explicit authorised DR declaration; no silent auto-failover.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region not a capacity source during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a declared outage, the failed source region’s capacity is unavailable and must not be counted in failover planning.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drill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periodic DR drills with role-flip (source becomes destination and vice versa) and role restoration after the drill.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Failback policy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extended-run failback (~1 year) and shorter failback (~30 days); configurable per customer/geography (C-5, DEC-002).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policy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per geography; when set, no DR region is assigned and cross-geo DR substitution does not apply. See DEC-001.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active-active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that active-active DR is out of current baseline scope; architecture should not block its future addition.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Reciprocal multi-source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region may simultaneously be a source (hosting live workloads) and a destination (hosting standby for another region).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Non-concurrent capacity sharing (max, not 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DR-001 assumes only one region fails at a time, a destination’s DR capacity requirement is the</w:t>
            </w:r>
            <w:r>
              <w:t xml:space="preserve"> </w:t>
            </w:r>
            <w:r>
              <w:rPr>
                <w:bCs/>
                <w:b/>
              </w:rPr>
              <w:t xml:space="preserve">maximum</w:t>
            </w:r>
            <w:r>
              <w:t xml:space="preserve"> </w:t>
            </w:r>
            <w:r>
              <w:t xml:space="preserve">over its non-concurrent sources — not the sum (Appendix 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Source→destination DR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an authoritative index recording which source regions each destination protects and the failover portion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Standby activation on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an authorised DR declaration, the engine activates the pre-positioned standby capacity in the destination region in priority waves.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fin-cost-economics-finops-requirements"/>
    <w:p>
      <w:pPr>
        <w:pStyle w:val="Heading2"/>
      </w:pPr>
      <w:r>
        <w:t xml:space="preserve">FIN — Cost Economics &amp; FinOps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38">
        <w:r>
          <w:rPr>
            <w:rStyle w:val="Hyperlink"/>
          </w:rPr>
          <w:t xml:space="preserve">Requirements Baseline v2.4 — §13 Cost Economics &amp; FinOps Requirements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cost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and surface the cost of unused reserved capacity (idle reservations) per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economic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and bootstrap values are configurable so cost exposure can be tuned without code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before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increasing a persistent reservation, expose the projected monthly cost increase so the operator can approve with cost awareness.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cost is attributable to the owning team/product/environment for chargeback.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Underutilisation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Long-running underutilised reservations trigger a review notification rather than automatic deletion.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cost-only unsafe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optimisation never overrides a safety floor (HC-2, HC-6, HC-7); cost savings are bounded by capacity commitments.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Audit-friendly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Buffer/bootstrap values are versioned and traceable; historical cost decisions are explainable.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Shared-DR overcommit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DR-017 max-not-sum sizing overcommits a destination, the overcommit ratio is calculated and exposed per destination for leadership sign-off.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Xbdae4ab1f2109258320774804ac2dd10e31cf78"/>
    <w:p>
      <w:pPr>
        <w:pStyle w:val="Heading2"/>
      </w:pPr>
      <w:r>
        <w:t xml:space="preserve">INT — Provisioning &amp; AEP Integration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40">
        <w:r>
          <w:rPr>
            <w:rStyle w:val="Hyperlink"/>
          </w:rPr>
          <w:t xml:space="preserve">Requirements Baseline v2.4 — §14 Provisioning &amp; AEP Integration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API/workflow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AEP calls a capacity+placement API or triggers a workflow; ACRME returns a readiness verdict and placement recommendation.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checks and reservation actions are idempotent; AEP may retry without side effects.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AEP call must supply: customer/realm; product; environment; exact region or geography; SKU/VM family; intended demand.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returns: resolved Prod/CVAL/DR placement; readiness state; capacity available; quota available; operation handle for async tracking.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reservation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policy requires it, ACRME associates the newly deployed VM to the reservation after AEP confirms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deployment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two concurrent AEP calls from double-committing the same capacity; use optimistic locking or a deployment 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Partial-failure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quota is allocated but reservation fails, the engine compensates (rolls back the quota allocation) and returns a structured error.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dat-state-data-requirements"/>
    <w:p>
      <w:pPr>
        <w:pStyle w:val="Heading2"/>
      </w:pPr>
      <w:r>
        <w:t xml:space="preserve">DAT — State &amp; Data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42">
        <w:r>
          <w:rPr>
            <w:rStyle w:val="Hyperlink"/>
          </w:rPr>
          <w:t xml:space="preserve">Requirements Baseline v2.4 — §15 State &amp; Data Requirements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state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an authoritative desired-state store (Cosmos DB) as the single source of truth; Azure is the observed-state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state store must hold: subscriptions; regions/zones; SKUs/quota families; CRGs/reservations; seed records; assignments; snapshots; operation records; audit trail.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observation record carries a collection timestamp and a staleness flag; stale records block placement (RDY-004).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history sufficient to explain any past placement or sizing decision; minimum retention configurable.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files and policies are versioned; every decision record references the policy version in force at decision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and config schema changes follow a compatibility policy (additive changes only; breaking changes require version bump).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obs-observability-alerting-requirements"/>
    <w:p>
      <w:pPr>
        <w:pStyle w:val="Heading2"/>
      </w:pPr>
      <w:r>
        <w:t xml:space="preserve">OBS — Observability &amp; Alerting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44">
        <w:r>
          <w:rPr>
            <w:rStyle w:val="Hyperlink"/>
          </w:rPr>
          <w:t xml:space="preserve">Requirements Baseline v2.4 — §16 Observability &amp; Alerting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Emit: reserved quantity; allocated VM count; associated VM count; quota available; DR floor headroom; idle cost; reconciliation latency; staleness 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on: production buffer below target; DR capacity below floor; quota exhaustion; stale state; deployment blocked; unauthorised DR consumption; failed reconciliation.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alert includes: region; zone; subscription; SKU/family; policy version; last-known-good timestamp; remediation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dashboards at: regional; product; subscription; SKU; and DR-pair granularity.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 SLO metrics: availability of the placement decision path; reconciliation latency P99; data freshness percentage.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X480ca75f134ae63c7d77b15a382dc9ec460afc5"/>
    <w:p>
      <w:pPr>
        <w:pStyle w:val="Heading2"/>
      </w:pPr>
      <w:r>
        <w:t xml:space="preserve">GOV — Governance, Security &amp; Compliance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46">
        <w:r>
          <w:rPr>
            <w:rStyle w:val="Hyperlink"/>
          </w:rPr>
          <w:t xml:space="preserve">Requirements Baseline v2.4 — §17 Governance, Security &amp; Compliance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identities receive only the minimum permissions required; no standing owner/contributor on managed subscriptions.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approval, production mutations, and audit-log access are held by different roles; no single identity can approve and execute a high-impact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is constrained by tenant, management group, and subscription scope; no accidental cross-tenant or cross-geography blast radius.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High-impact changes (reducing production reservations, deleting a CRG, emergency override) require a named approver and a tracked approval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Break-glass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Break-glass access requires an authorised request with time limit, reason, and post-action audit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decision and mutation writes an immutable audit record with before/after values, actor, timestamp, and correlation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exception (geography-only onboarding, over-allocation, cross-geo DR) has an owner, reason, expiry, and renewal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&amp;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secrets in config files or logs; all credentials managed via Azure Key Vault and Managed Identity.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placement and workload metadata is classified and handled per organisational data-classification policy.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9" w:name="X801ce61f7cd0acf06da6fa2e484a612e4a654da"/>
    <w:p>
      <w:pPr>
        <w:pStyle w:val="Heading2"/>
      </w:pPr>
      <w:r>
        <w:t xml:space="preserve">NFR — Reliability &amp; Non-Functional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48">
        <w:r>
          <w:rPr>
            <w:rStyle w:val="Hyperlink"/>
          </w:rPr>
          <w:t xml:space="preserve">Requirements Baseline v2.4 — §18 Reliability &amp; Non-Functional Requirements</w:t>
        </w:r>
      </w:hyperlink>
    </w:p>
    <w:p>
      <w:pPr>
        <w:pStyle w:val="BlockText"/>
      </w:pPr>
      <w:r>
        <w:t xml:space="preserve">Note: The complete requirements reference uses</w:t>
      </w:r>
      <w:r>
        <w:t xml:space="preserve"> </w:t>
      </w:r>
      <w:r>
        <w:rPr>
          <w:rStyle w:val="VerbatimChar"/>
        </w:rPr>
        <w:t xml:space="preserve">NFR-1..NFR-7</w:t>
      </w:r>
      <w:r>
        <w:t xml:space="preserve"> </w:t>
      </w:r>
      <w:r>
        <w:t xml:space="preserve">for the top-level functional NFR areas and</w:t>
      </w:r>
      <w:r>
        <w:t xml:space="preserve"> </w:t>
      </w:r>
      <w:r>
        <w:rPr>
          <w:rStyle w:val="VerbatimChar"/>
        </w:rPr>
        <w:t xml:space="preserve">NFR-001..NFR-010</w:t>
      </w:r>
      <w:r>
        <w:t xml:space="preserve"> </w:t>
      </w:r>
      <w:r>
        <w:t xml:space="preserve">for the baseline detailed items. Both refer to the same concepts at different granularities.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capacity decision path is not an uncontrolled single point of failure; degraded-mode behaviour is defined and tested.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 control prevents double-committing capacity or quota; optimistic locking on all state-changing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responses meet an approved latency target; long-running Azure operations return a tracked async handle rather than blocking the caller.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Operates across hundreds of subscriptions, multiple regions/zones, VM families, products, and seed records without degradation.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API-throttling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batching, caching, exponential backoff with jitter, retry limits, and per-scope rate control; avoid Azure API storms during a regional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store, configuration, and audit trail support backup/restore and reconstruction of desired state after data-layer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mutating operations are idempotent or protected by a durable operation key; replayed calls have no additional effect.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Policies, formulas, reconciliation logic, weighting, failover distribution, and compensation are independently unit-testable without Azure dependency.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read-only/dry-run that shows intended reservation/quota/placement/cost changes without applying them — including DR failover simulation.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placement and sizing decision exposes the policy inputs, state snapshot, formula applied, and human-readable reason code.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1" w:name="ops-operational-requirements"/>
    <w:p>
      <w:pPr>
        <w:pStyle w:val="Heading2"/>
      </w:pPr>
      <w:r>
        <w:t xml:space="preserve">OPS — Operational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50">
        <w:r>
          <w:rPr>
            <w:rStyle w:val="Hyperlink"/>
          </w:rPr>
          <w:t xml:space="preserve">Requirements Baseline v2.4 — §19 Operational Requirements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 exist for: production buffer deficit; quota exhaustion; reservation scale-up failure; stale state; blocked deployment; DR declaration; CVAL shutdown; quota allocation to DR; reservation sharing activation/revocation; reconciliation rollback/pause; manual emergency override; regional recovery and failback; standby DR activation sequence (DR-019).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 can pause the engine’s mutation actions while retaining inventory collection and alerting (read-only mode).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operators can set temporary desired values with an expiry timestamp and reason; the engine never overwrites an active approved override.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Maintenance-window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maintenance that changes VM allocation or association is visible to the engine to prevent inappropriate scaling triggers or alert noise.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region, subscription, reservation scope, quota pool, alert, and exception has a named owning team and documented escalation route.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convention &amp;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managed resource groups, CRGs, and subscriptions follow a deterministic, parseable naming convention. Pattern: RG</w:t>
            </w:r>
            <w:r>
              <w:t xml:space="preserve"> </w:t>
            </w:r>
            <w:r>
              <w:rPr>
                <w:rStyle w:val="VerbatimChar"/>
              </w:rPr>
              <w:t xml:space="preserve">rg-odcr-&lt;env&gt;-&lt;region&gt;-&lt;NN&gt;</w:t>
            </w:r>
            <w:r>
              <w:t xml:space="preserve">; CRG</w:t>
            </w:r>
            <w:r>
              <w:t xml:space="preserve"> </w:t>
            </w:r>
            <w:r>
              <w:rPr>
                <w:rStyle w:val="VerbatimChar"/>
              </w:rPr>
              <w:t xml:space="preserve">crg-&lt;env&gt;-&lt;region&gt;-&lt;scope&gt;</w:t>
            </w:r>
            <w:r>
              <w:t xml:space="preserve"> </w:t>
            </w:r>
            <w:r>
              <w:t xml:space="preserve">(scope ∈ {reg, az1, az2, az3}); Subscription</w:t>
            </w:r>
            <w:r>
              <w:t xml:space="preserve"> </w:t>
            </w:r>
            <w:r>
              <w:rPr>
                <w:rStyle w:val="VerbatimChar"/>
              </w:rPr>
              <w:t xml:space="preserve">sub-&lt;org&gt;-&lt;domain&gt;-&lt;purpose&gt;-&lt;NN&gt;</w:t>
            </w:r>
            <w:r>
              <w:t xml:space="preserve">. See C-12 for configurability.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hc-hard-constraints"/>
    <w:p>
      <w:pPr>
        <w:pStyle w:val="Heading2"/>
      </w:pPr>
      <w:r>
        <w:t xml:space="preserve">HC — Hard Constraints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52">
        <w:r>
          <w:rPr>
            <w:rStyle w:val="Hyperlink"/>
          </w:rPr>
          <w:t xml:space="preserve">Hard Constraints Reference</w:t>
        </w:r>
      </w:hyperlink>
    </w:p>
    <w:p>
      <w:pPr>
        <w:pStyle w:val="BodyText"/>
      </w:pPr>
      <w:r>
        <w:t xml:space="preserve">Hard constraints are</w:t>
      </w:r>
      <w:r>
        <w:t xml:space="preserve"> </w:t>
      </w:r>
      <w:r>
        <w:rPr>
          <w:bCs/>
          <w:b/>
        </w:rPr>
        <w:t xml:space="preserve">blocking rules</w:t>
      </w:r>
      <w:r>
        <w:t xml:space="preserve"> </w:t>
      </w:r>
      <w:r>
        <w:t xml:space="preserve">applied by the placement pipeline before any scoring. A candidate region that fails any HC is eliminated — scoring is not applied to it.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Prod, CVAL, and DR must be in distinct regions (US three-region model). In two-region geographies, CVAL and DR co-locate in the non-Prod region under PLC-010a.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capacity must not be reduced below the allocated VM count; the floor is</w:t>
            </w:r>
            <w:r>
              <w:t xml:space="preserve"> </w:t>
            </w:r>
            <w:r>
              <w:rPr>
                <w:rStyle w:val="VerbatimChar"/>
              </w:rPr>
              <w:t xml:space="preserve">quantity ≥ allocated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quota in the target scope must be ≥ the vCPU count of the proposed reservation or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DR_SEPARATION_CLASS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regions must carry a different environment classification from Prod; a region designated Prod cannot simultaneously serve as 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ZONE_AVAILABILITY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target availability zone must exist and be usable in the target subscription/region before a zonal placement is accepted.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DR_COVERAGE_FLOOR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NonProd/CVAL placement in a DR-designated region must not reduce available capacity below the region’s DR floor (the bootstrap reserved for failover).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DR_FLOOR_INTEGRITY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must enforce the DR floor continuously; any reconciliation action that would bring available capacity below the floor is blocked.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GEOGRAPHY_CONTAINMENT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derived Prod region must fall within the Standard Capacity Regions for the customer’s chosen geography (not in a different geography).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STANDARD_REGION_ONLY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automated placement paths (geography-based, Prod derivation, NonProd/DR selection) must use Standard Capacity Regions only; Restricted regions are exception-path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CROSS_GEO_EXTENSION_PATH_APPROVED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cross-geography DR extension (e.g., Middle East Prod → Switzerland North DR) must be explicitly approved in the active PlacementPolicy before it is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AVAILABILITY_SET_INELIGIBLE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in an Azure Availability Set cannot be associated with a Capacity Reservation; they must be excluded from all reservation management (CAP-020).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vr-validation-rules"/>
    <w:p>
      <w:pPr>
        <w:pStyle w:val="Heading2"/>
      </w:pPr>
      <w:r>
        <w:t xml:space="preserve">VR — Validation Rules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52">
        <w:r>
          <w:rPr>
            <w:rStyle w:val="Hyperlink"/>
          </w:rPr>
          <w:t xml:space="preserve">Hard Constraints Reference — Validation Rules table</w:t>
        </w:r>
      </w:hyperlink>
    </w:p>
    <w:p>
      <w:pPr>
        <w:pStyle w:val="BodyText"/>
      </w:pPr>
      <w:r>
        <w:t xml:space="preserve">Validation rules are named enforcement checks that implement hard constraints in the placement pipeline code. They are the testable, auditable expression of the HC rules.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3867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≠ DR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and DR must not share a region.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≠ CVAL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Prod must not share a region.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CVAL/DR co-location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may share a region only under the approved PLC-010a co-location policy (two-region geographies).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within chosen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derived Prod region must be within the Standard Capacity Regions for the customer’s chosen geography.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paths use Standard regions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automated placement paths must use Standard Capacity Regions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CVAL/DR never in Restricted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must not use Restricted Capacity Regions under any condition, including exception deployments.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all Standard regions for a geography are eliminated by HC-1..HC-10, the engine returns a capacity exhaustion error with an ops alert.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Middle East geography with</w:t>
            </w:r>
            <w:r>
              <w:t xml:space="preserve"> </w:t>
            </w:r>
            <w:r>
              <w:rPr>
                <w:rStyle w:val="VerbatimChar"/>
              </w:rPr>
              <w:t xml:space="preserve">DR_NOT_OFFERED = true</w:t>
            </w:r>
            <w:r>
              <w:t xml:space="preserve"> </w:t>
            </w:r>
            <w:r>
              <w:t xml:space="preserve">(current legal position, DEC-001), the seed record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rPr>
                <w:rStyle w:val="VerbatimChar"/>
              </w:rPr>
              <w:t xml:space="preserve">dr_region = NOT_OFFERED</w:t>
            </w:r>
            <w:r>
              <w:t xml:space="preserve">; no auto-assignment of Switzerland North.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conditional cross-geo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after a recorded DEC-001 approval clears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: Switzerland North may be used as a cross-geo DR; if it then fails HC-1..HC-10, block with an ops alert (VR-9 applies).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fallback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DEC-001-approved conditional path only: if Switzerland North fails HC-1..HC-10, block placement with an ops alert.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 exception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Restricted region requested by a customer triggers the Scenario 2 exception path only; it is never auto-selected.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extension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cross-geography DR extension must be explicitly approved in the active PlacementPolicy before it can be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6" w:name="a.-core-formulas-appendix-a"/>
    <w:p>
      <w:pPr>
        <w:pStyle w:val="Heading2"/>
      </w:pPr>
      <w:r>
        <w:t xml:space="preserve">A. — Core Formulas (Appendix A)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55">
        <w:r>
          <w:rPr>
            <w:rStyle w:val="Hyperlink"/>
          </w:rPr>
          <w:t xml:space="preserve">Requirements Baseline v2.4 — Appendix A — Core Formulas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reserved_target = allocated + buffer</w:t>
            </w:r>
            <w:r>
              <w:t xml:space="preserve">; the approved buffer is configurable per product/region/env/SKU (C-2).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headroom = reserved - allocated</w:t>
            </w:r>
            <w:r>
              <w:t xml:space="preserve">; positive headroom means spare committed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deficit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deficit = allocated - reserved</w:t>
            </w:r>
            <w:r>
              <w:t xml:space="preserve">; a positive deficit means the reservation is under-sized for current demand.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subscription quota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available_quota = quota_limit - quota_current_value</w:t>
            </w:r>
            <w:r>
              <w:t xml:space="preserve">; the raw Azure-reported available quota.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quota deficit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quota_deficit = committed_vCPUs - available_quota</w:t>
            </w:r>
            <w:r>
              <w:t xml:space="preserve">; positive means the reservation cannot be backed by deployable quota.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destination requirement (CORRECTED)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DR_req(dest) = MAX over non-concurrent sources s protected by dest ( portion(s → dest) )</w:t>
            </w:r>
            <w:r>
              <w:t xml:space="preserve">; max-not-sum because DR-001 assumes only one source fails at a time (Appendix 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capacity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dr_gap(dest) = DR_req(dest) - dr_reserved(dest)</w:t>
            </w:r>
            <w:r>
              <w:t xml:space="preserve">; positive gap means the destination needs more DR bootstrap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Shared-DR overcommit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overcommit_ratio(dest) = sum_of_portions / max_portion</w:t>
            </w:r>
            <w:r>
              <w:t xml:space="preserve">; measures how oversubscribed the shared standby is; used in FIN-008 cost accounting.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zone-distribution target &amp; skew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target_per_zone = round(total / zone_count)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skew = max_count - min_count</w:t>
            </w:r>
            <w:r>
              <w:t xml:space="preserve">; rebalance triggered when skew &gt; C-13 tolerance. Implements PLC-011.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8" w:name="c-configurable-items-register-appendix-c"/>
    <w:p>
      <w:pPr>
        <w:pStyle w:val="Heading2"/>
      </w:pPr>
      <w:r>
        <w:t xml:space="preserve">C — Configurable Items Register (Appendix C)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57">
        <w:r>
          <w:rPr>
            <w:rStyle w:val="Hyperlink"/>
          </w:rPr>
          <w:t xml:space="preserve">Requirements Baseline v2.4 — §22 Configurable Items Register</w:t>
        </w:r>
      </w:hyperlink>
    </w:p>
    <w:p>
      <w:pPr>
        <w:pStyle w:val="BodyText"/>
      </w:pPr>
      <w:r>
        <w:t xml:space="preserve">These are items where the</w:t>
      </w:r>
      <w:r>
        <w:t xml:space="preserve"> </w:t>
      </w:r>
      <w:r>
        <w:rPr>
          <w:iCs/>
          <w:i/>
        </w:rPr>
        <w:t xml:space="preserve">capability</w:t>
      </w:r>
      <w:r>
        <w:t xml:space="preserve"> </w:t>
      </w:r>
      <w:r>
        <w:t xml:space="preserve">is required but the</w:t>
      </w:r>
      <w:r>
        <w:t xml:space="preserve"> </w:t>
      </w:r>
      <w:r>
        <w:rPr>
          <w:iCs/>
          <w:i/>
        </w:rPr>
        <w:t xml:space="preserve">specific value or policy</w:t>
      </w:r>
      <w:r>
        <w:t xml:space="preserve"> </w:t>
      </w:r>
      <w:r>
        <w:t xml:space="preserve">is not fixed in the baseline — they are driven by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configuration.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218"/>
        <w:gridCol w:w="3858"/>
        <w:gridCol w:w="16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</w:t>
            </w:r>
            <w:r>
              <w:t xml:space="preserve"> </w:t>
            </w:r>
            <w:r>
              <w:t xml:space="preserve">“</w:t>
            </w:r>
            <w:r>
              <w:t xml:space="preserve">enough to bootstrap</w:t>
            </w:r>
            <w:r>
              <w:t xml:space="preserve">”</w:t>
            </w:r>
            <w:r>
              <w:t xml:space="preserve">; discussed 30–40% → 10–20% → ~5% → used-is-free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no fixed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+ buffer</w:t>
            </w:r>
            <w:r>
              <w:t xml:space="preserve">; ref impl buffer = 1 in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by product/region/env/SKU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 above usage to support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value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impl every 6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prod value TBD (POC-010)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Failback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~1-year run; ~30-day failback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 (DEC-002)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selection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production region (default); geography (exception)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+ exception policy (DEC-003)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governed pool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catalogue &amp;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geographies (US 3-region; Europe/Australia/Asia Pacific/Middle East 2-region); restricted/standard classes;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(REG-001)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over-allocation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allocated; allow over-association with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policy (CAP-018)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drill duration/rotation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drill; role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 (DEC-002)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sizing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over non-concurrent sources</w:t>
            </w:r>
            <w:r>
              <w:t xml:space="preserve"> </w:t>
            </w:r>
            <w:r>
              <w:t xml:space="preserve">(DR-017); sum available as conservative per-scope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max is default (Appendix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naming convention &amp;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RG/CRG/subscription naming with env/region/purpose tokens + zero-padded counter (OPS-006); CRG scope tokens</w:t>
            </w:r>
            <w:r>
              <w:t xml:space="preserve"> </w:t>
            </w:r>
            <w:r>
              <w:rPr>
                <w:rStyle w:val="VerbatimChar"/>
              </w:rPr>
              <w:t xml:space="preserve">reg/az1/az2/az3</w:t>
            </w:r>
            <w:r>
              <w:t xml:space="preserve"> </w:t>
            </w:r>
            <w:r>
              <w:t xml:space="preserve">per CAP-023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Zone-distribution target &amp;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≈</w:t>
            </w:r>
            <w:r>
              <w:rPr>
                <w:rStyle w:val="VerbatimChar"/>
              </w:rPr>
              <w:t xml:space="preserve">1/zone_count</w:t>
            </w:r>
            <w:r>
              <w:t xml:space="preserve"> </w:t>
            </w:r>
            <w:r>
              <w:t xml:space="preserve">per zone (≈33% in three-zone regions) with configurable skew tolerance before rebalancing (PLC-011, A.9)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poc-dep-pending-decisions-mandatory-pocs"/>
    <w:p>
      <w:pPr>
        <w:pStyle w:val="Heading2"/>
      </w:pPr>
      <w:r>
        <w:t xml:space="preserve">POC / DEP — Pending Decisions &amp; Mandatory POCs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24">
        <w:r>
          <w:rPr>
            <w:rStyle w:val="Hyperlink"/>
          </w:rPr>
          <w:t xml:space="preserve">Requirements Baseline v2.4 — §23 Pending Decisions &amp; Mandatory POCs</w:t>
        </w:r>
      </w:hyperlink>
    </w:p>
    <w:p>
      <w:pPr>
        <w:pStyle w:val="BodyText"/>
      </w:pPr>
      <w:r>
        <w:t xml:space="preserve">POC items are Azure behaviours that</w:t>
      </w:r>
      <w:r>
        <w:t xml:space="preserve"> </w:t>
      </w:r>
      <w:r>
        <w:rPr>
          <w:bCs/>
          <w:b/>
        </w:rPr>
        <w:t xml:space="preserve">must be validated</w:t>
      </w:r>
      <w:r>
        <w:t xml:space="preserve"> </w:t>
      </w:r>
      <w:r>
        <w:t xml:space="preserve">before a production dependency can be declared. DEP items are external dependencies gating design decisions.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46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 sharing quota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consumer subscription must hold its own quota when consuming a shared reservation.</w:t>
            </w:r>
            <w:r>
              <w:t xml:space="preserve"> </w:t>
            </w:r>
            <w:r>
              <w:rPr>
                <w:bCs/>
                <w:b/>
              </w:rPr>
              <w:t xml:space="preserve">(Top technical unknown.)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consumption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Azure allocates shared capacity when multiple consumers request the same SKU simultaneously.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Zone/subscription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supported sharing combinations for the selected feature version (Preview or GA).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under throttling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reconciliation and retry behaviour during Azure API throttling.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association/shutdown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and guarantee behaviour across allocated/stopped/deallocated/associated/disassociated states.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subscription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subscription+cluster vs shared production subscription model for DR bootstrap.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bootstrap per product including required control-plane nodes and SKUs.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buffer policies by product/VM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reserved-capacity buffer by product/region/zone/SKU.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interval after API throttling and cost testing (C-4).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that shared/overcommitted DR reservations (DR-017) behave correctly when a standby set activates; quantify residual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feature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Capacity Reservation Sharing preview → GA status and approved enterprise-usage conditions.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1" w:name="fr-functional-requirements"/>
    <w:p>
      <w:pPr>
        <w:pStyle w:val="Heading2"/>
      </w:pPr>
      <w:r>
        <w:t xml:space="preserve">FR — Functional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60">
        <w:r>
          <w:rPr>
            <w:rStyle w:val="Hyperlink"/>
          </w:rPr>
          <w:t xml:space="preserve">Complete Requirements Reference — Part 1</w:t>
        </w:r>
      </w:hyperlink>
    </w:p>
    <w:p>
      <w:pPr>
        <w:pStyle w:val="BodyText"/>
      </w:pPr>
      <w:r>
        <w:t xml:space="preserve">FR codes are the eight top-level functional capability areas; each expands to sub-requirements (FR-N.M).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 Lifecycle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 lifecycle of CRGs and CRs across the Azure estate at API version 2024-03-01+.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 Sharing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the three-step RBAC setup for Provider-Consumer CRG sharing; manages subscription membership and 100-consumer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Zone Mapping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Discovers, stores, and resolves logical-to-physical zone mappings across Provider-Consumer subscription pairs.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Queries, tracks, and enforces quota constraints across managed subscriptions and quota groups.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Failover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pre-positioned DR capacity pairs, failover triggering, and failback orchestration.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Placement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and selects Prod/CVAL/DR regions using placement scoring pipeline; creates and manages seed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Forecasts demand growth and triggers proactive quota/reservation increase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Surfaces idle reservation cost, overcommit ratios, and FinOps metrics; supports configurable economic policy.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3" w:name="Xa58a79fb4f28baaa1dabbe4ac176b3eb4bfaf94"/>
    <w:p>
      <w:pPr>
        <w:pStyle w:val="Heading2"/>
      </w:pPr>
      <w:r>
        <w:t xml:space="preserve">NFR-R — Placement Non-Functional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62">
        <w:r>
          <w:rPr>
            <w:rStyle w:val="Hyperlink"/>
          </w:rPr>
          <w:t xml:space="preserve">Complete Requirements Reference — Part 3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API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recommendation API P99 latency &lt; 2 seconds for datasets with 100+ CRGs.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state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state used for placement must be ≤ 5 minutes old (via 5-min reconciliation or 10-min Cosmos DB fallback).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scoring is deterministic and repeatable: same inputs always produce the same output; versioned policy enables replay.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5" w:name="r-regional-placement-requirements"/>
    <w:p>
      <w:pPr>
        <w:pStyle w:val="Heading2"/>
      </w:pPr>
      <w:r>
        <w:t xml:space="preserve">R — Regional Placement Requirements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64">
        <w:r>
          <w:rPr>
            <w:rStyle w:val="Hyperlink"/>
          </w:rPr>
          <w:t xml:space="preserve">Complete Requirements Reference — Part 3, Regional Placement Requirements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→ Prod region 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Customer-supplied geography → engine derives Prod region via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Standard regions in that geography.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NonProd/DR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selects NonProd and DR regions automatically; never same as Prod; allows NonProd=DR co-existence (PLC-010a).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gate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HC-1..HC-10 gate all region eligibility before scoring.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zone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zone resolution via stored zone mapping registry on VM deployment against a shared CRG.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Capacity-weighted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and capacity-weighted distribution prevent hotspots; uses demand units (vCPUs), not customer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floor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placement is blocked if it would encroach on the</w:t>
            </w:r>
            <w:r>
              <w:t xml:space="preserve"> </w:t>
            </w:r>
            <w:r>
              <w:rPr>
                <w:rStyle w:val="VerbatimChar"/>
              </w:rPr>
              <w:t xml:space="preserve">dr_floor_vcpu</w:t>
            </w:r>
            <w:r>
              <w:t xml:space="preserve"> </w:t>
            </w:r>
            <w:r>
              <w:t xml:space="preserve">of the target region (HC-7).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special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Saudi Arabia Central + UAE North; cross-geo DR path conditional on DEC-001 clearance.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is deterministic and auditable: all scores, candidate sets, and policy version are written to an OperationRecord for replay.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72" w:name="adr-architecture-decision-records"/>
    <w:p>
      <w:pPr>
        <w:pStyle w:val="Heading2"/>
      </w:pPr>
      <w:r>
        <w:t xml:space="preserve">ADR — Architecture Decision Records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66">
        <w:r>
          <w:rPr>
            <w:rStyle w:val="Hyperlink"/>
          </w:rPr>
          <w:t xml:space="preserve">Architecture/adr/</w:t>
        </w:r>
      </w:hyperlink>
    </w:p>
    <w:p>
      <w:pPr>
        <w:pStyle w:val="BodyText"/>
      </w:pPr>
      <w:r>
        <w:t xml:space="preserve">ADRs are formal, self-contained records of the load-bearing architectural decisions with Context / Decision / Consequences / Alternatives-considered sections. Each includes rendered architecture diagrams.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1080"/>
        <w:gridCol w:w="3060"/>
        <w:gridCol w:w="27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&amp;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Geography-aware placement scoring pipeline (PS_Prod / PS_NonProd / PS_DR), HC-1..HC-10 filter pipeline, validation rules VR-1..VR-11, and the CustomerSeedRecord model.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acrme_adr_001_region_selection.md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&amp; 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governed quota pool, two-group model (Provider + Consumer), DR-floor accounting formula, max-not-sum sizing, and quota increase workflow.</w:t>
            </w:r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acrme_adr_002_quota_and_capacity_management.md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 During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model, three-tier sharing model, DR activation sequence, CVAL earmark, engine state machine, and no-double-count rule.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acrme_adr_003_capacity_management_during_dr.md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&amp; Increase of Capacity &amp;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10-step steady-state lifecycle, 5-phase auto-increase trigger model, forecast horizon, debounce/settle policy, and auto-decrease exclusion rule.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acrme_adr_004_forecast_and_increase_of_capacity_and_quota.md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Multi-source multi-destination DR topology, overcommit accounting, annual mock DR drill, failback orchestration, and the max-not-sum sizing correction.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acrme_adr_005_distributed_dr_reference_model.md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4" w:name="g-design-gaps"/>
    <w:p>
      <w:pPr>
        <w:pStyle w:val="Heading2"/>
      </w:pPr>
      <w:r>
        <w:t xml:space="preserve">G — Design Gaps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73">
        <w:r>
          <w:rPr>
            <w:rStyle w:val="Hyperlink"/>
          </w:rPr>
          <w:t xml:space="preserve">UML Class Diagrams Summary — Known Gaps</w:t>
        </w:r>
      </w:hyperlink>
    </w:p>
    <w:p>
      <w:pPr>
        <w:pStyle w:val="BodyText"/>
      </w:pPr>
      <w:r>
        <w:t xml:space="preserve">G-codes identify</w:t>
      </w:r>
      <w:r>
        <w:t xml:space="preserve"> </w:t>
      </w:r>
      <w:r>
        <w:rPr>
          <w:bCs/>
          <w:b/>
        </w:rPr>
        <w:t xml:space="preserve">explicitly documented open design items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30% gap</w:t>
      </w:r>
      <w:r>
        <w:t xml:space="preserve">”</w:t>
      </w:r>
      <w:r>
        <w:t xml:space="preserve"> </w:t>
      </w:r>
      <w:r>
        <w:t xml:space="preserve">declared in the UML class diagrams summary. These are design decisions, not research tasks.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1159"/>
        <w:gridCol w:w="4056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credential model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decision yet on how ACRME authenticates to a consumer-owned resource group to forcibly disassociate a VM (customer-provisioned UAMI? Cross-tenant SPN? Delegated consent?).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VM disassociation cannot be implemented until 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G-15 / 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mode state machine incomplete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engine_mode</w:t>
            </w:r>
            <w:r>
              <w:t xml:space="preserve"> </w:t>
            </w:r>
            <w:r>
              <w:t xml:space="preserve">transition guards, concurrency model, crash-recovery sequence, and operator API contracts are not yet fully specified.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loop and runner core cannot be production-hardened.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DB entity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key strategy, secondary indexes, TTL policies, and consistency levels for all entities are not yet designed.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Data-layer implementation cannot begin; partition keys are irreversible after production data is written.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service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Request/response DTOs, RBAC enforcement middleware, API versioning, and endpoint specifications for all services are not yet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Inter-service integration cannot be coded or tested.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6" w:name="acrme-e-backlog-epics"/>
    <w:p>
      <w:pPr>
        <w:pStyle w:val="Heading2"/>
      </w:pPr>
      <w:r>
        <w:t xml:space="preserve">ACRME-E — Backlog Epics</w:t>
      </w:r>
    </w:p>
    <w:p>
      <w:pPr>
        <w:pStyle w:val="FirstParagraph"/>
      </w:pPr>
      <w:r>
        <w:rPr>
          <w:bCs/>
          <w:b/>
        </w:rPr>
        <w:t xml:space="preserve">Primary source:</w:t>
      </w:r>
      <w:r>
        <w:t xml:space="preserve"> </w:t>
      </w:r>
      <w:hyperlink r:id="rId75">
        <w:r>
          <w:rPr>
            <w:rStyle w:val="Hyperlink"/>
          </w:rPr>
          <w:t xml:space="preserve">Backlog Epics, Stories &amp; Tasks — Epic Index</w:t>
        </w:r>
      </w:hyperlink>
    </w:p>
    <w:p>
      <w:pPr>
        <w:pStyle w:val="BodyText"/>
      </w:pPr>
      <w:r>
        <w:t xml:space="preserve">Each epic contains stories (</w:t>
      </w:r>
      <w:r>
        <w:rPr>
          <w:rStyle w:val="VerbatimChar"/>
        </w:rPr>
        <w:t xml:space="preserve">ACRME-S####</w:t>
      </w:r>
      <w:r>
        <w:t xml:space="preserve">) and tasks (</w:t>
      </w:r>
      <w:r>
        <w:rPr>
          <w:rStyle w:val="VerbatimChar"/>
        </w:rPr>
        <w:t xml:space="preserve">ACRME-T######</w:t>
      </w:r>
      <w:r>
        <w:t xml:space="preserve">). 20 epics / 72 stories / 193 tasks / 457 story points total.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2124"/>
        <w:gridCol w:w="1738"/>
        <w:gridCol w:w="1545"/>
        <w:gridCol w:w="1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&amp; Platform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&amp; Onboarding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&amp; Capacity Reservation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Sharing &amp; Consumer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Cross-Subscription Zone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&amp; Placement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Scoring &amp;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Model &amp; Concurrency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Activation &amp; Failback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Escalation (Emergency Capacity)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&amp; VMSS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Architecture &amp; Entity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RBAC &amp; Managed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Observability, Dashboards &amp;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&amp;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&amp; Validation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Readiness Gates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ACRME-E20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v2.4 Reservation-Model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complete-code-inventory-alphabetical"/>
    <w:p>
      <w:pPr>
        <w:pStyle w:val="Heading2"/>
      </w:pPr>
      <w:r>
        <w:t xml:space="preserve">Complete Code Inventory (Alphabetical)</w:t>
      </w:r>
    </w:p>
    <w:p>
      <w:pPr>
        <w:pStyle w:val="FirstParagraph"/>
      </w:pPr>
      <w:r>
        <w:t xml:space="preserve">Quick-scan index of every code in the corpus, in alphabetical/numerical order.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target:</w:t>
            </w:r>
            <w:r>
              <w:t xml:space="preserve"> </w:t>
            </w:r>
            <w:r>
              <w:rPr>
                <w:rStyle w:val="VerbatimChar"/>
              </w:rPr>
              <w:t xml:space="preserve">reserved = allocated +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headroom:</w:t>
            </w:r>
            <w:r>
              <w:t xml:space="preserve"> </w:t>
            </w:r>
            <w:r>
              <w:rPr>
                <w:rStyle w:val="VerbatimChar"/>
              </w:rPr>
              <w:t xml:space="preserve">headroom = reserved - allocated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deficit:</w:t>
            </w:r>
            <w:r>
              <w:t xml:space="preserve"> </w:t>
            </w:r>
            <w:r>
              <w:rPr>
                <w:rStyle w:val="VerbatimChar"/>
              </w:rPr>
              <w:t xml:space="preserve">deficit = allocated - 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subscription quota:</w:t>
            </w:r>
            <w:r>
              <w:t xml:space="preserve"> </w:t>
            </w:r>
            <w:r>
              <w:rPr>
                <w:rStyle w:val="VerbatimChar"/>
              </w:rPr>
              <w:t xml:space="preserve">quota_limit − quota_current_value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quota deficit:</w:t>
            </w:r>
            <w:r>
              <w:t xml:space="preserve"> </w:t>
            </w:r>
            <w:r>
              <w:rPr>
                <w:rStyle w:val="VerbatimChar"/>
              </w:rPr>
              <w:t xml:space="preserve">committed_vCPUs − available_quota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destination requirement (max, not sum)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capacity gap:</w:t>
            </w:r>
            <w:r>
              <w:t xml:space="preserve"> </w:t>
            </w:r>
            <w:r>
              <w:rPr>
                <w:rStyle w:val="VerbatimChar"/>
              </w:rPr>
              <w:t xml:space="preserve">DR_req − dr_reserved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Shared-DR overcommit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zone-distribution target and skew (PLC-011)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ACRME-E01..E20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→ Production Readiness (20 delivery epics)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and placement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and capacity management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 during DR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and increase of capacity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bootstrap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reservation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quota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Failback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selection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grouping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catalogue and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over-allocation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drill duration/rotation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sizing basis (max vs sum)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naming convention and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Zone-distribution target and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managed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subscription = all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resource must precede config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target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Associated-but-deallocated VMs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Scale-up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Scale-down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Zero-capacity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automatic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Availability-zone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capacity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double 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integrity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failure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Over-allocation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Scope-file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Availability-Set VMs ineligible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Deallocate-or-migrate-to-AZ precondition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Seed-at-0 matrix and budget governance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and per-AZ CRG structure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SKU/AZ discovery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store, entities, freshness, history, 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offering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drill duration and failback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exception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feature maturity (CR Sharing Preview→GA)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Single-region failure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target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may exceed DR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DR capacity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target is 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prioritisation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declaration 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region unavailable during outage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drill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Failback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DR_NOT_OFFERED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active-active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Reciprocal multi-source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Non-concurrent max-not-sum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Source→destination DR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Standby activation on 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through R&amp;D environment policy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cost, buffer, overcommit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functional capability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credential model (Tier 3)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G-15/B-3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mode state machine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DB entity schemas not yet 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service contracts not yet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 through data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HC-1..11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 placement rules (region, capacity, quota, zone)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AEP contract, idempotency, input/output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Availability, consistency, performance,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Latency, freshness, determinism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alerts, dashboards, SLO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Runbooks, pause, override, naming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PLC-001..011 + PLC-010a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record, scoring, zone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POC-001..011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behaviour validation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QUA-001..014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Pooling, allocation, reclamation,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R1..8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placement behaviours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RDY-001..004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readiness gate and state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catalogue, distribution model, cross-geo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VR-1..11 + VR-8a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enforcement checks for hard constraints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index is generated from the v2.4 baseline. When new codes are introduced, add them here first — this document is the master lookup point.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../../Architecture/adr/" TargetMode="External" /><Relationship Type="http://schemas.openxmlformats.org/officeDocument/2006/relationships/hyperlink" Id="rId67" Target="../../Architecture/adr/acrme_adr_001_region_selection.md" TargetMode="External" /><Relationship Type="http://schemas.openxmlformats.org/officeDocument/2006/relationships/hyperlink" Id="rId68" Target="../../Architecture/adr/acrme_adr_002_quota_and_capacity_management.md" TargetMode="External" /><Relationship Type="http://schemas.openxmlformats.org/officeDocument/2006/relationships/hyperlink" Id="rId69" Target="../../Architecture/adr/acrme_adr_003_capacity_management_during_dr.md" TargetMode="External" /><Relationship Type="http://schemas.openxmlformats.org/officeDocument/2006/relationships/hyperlink" Id="rId70" Target="../../Architecture/adr/acrme_adr_004_forecast_and_increase_of_capacity_and_quota.md" TargetMode="External" /><Relationship Type="http://schemas.openxmlformats.org/officeDocument/2006/relationships/hyperlink" Id="rId71" Target="../../Architecture/adr/acrme_adr_005_distributed_dr_reference_model.md" TargetMode="External" /><Relationship Type="http://schemas.openxmlformats.org/officeDocument/2006/relationships/hyperlink" Id="rId73" Target="../../Design/acrme_uml_class_diagrams_summary.md" TargetMode="External" /><Relationship Type="http://schemas.openxmlformats.org/officeDocument/2006/relationships/hyperlink" Id="rId75" Target="../../Reference-Material/backlog/acrme_epics_stories_tasks.md" TargetMode="External" /><Relationship Type="http://schemas.openxmlformats.org/officeDocument/2006/relationships/hyperlink" Id="rId52" Target="../../Reference-Material/reference/acrme_hard_constraints_reference.md" TargetMode="External" /><Relationship Type="http://schemas.openxmlformats.org/officeDocument/2006/relationships/hyperlink" Id="rId60" Target="../../Requirements/acrme_complete_requirements_reference.md#part-1--functional-requirements-fr-1-through-fr-8" TargetMode="External" /><Relationship Type="http://schemas.openxmlformats.org/officeDocument/2006/relationships/hyperlink" Id="rId62" Target="../../Requirements/acrme_complete_requirements_reference.md#placement-non-functional-requirements-nfr-r1nfr-r3" TargetMode="External" /><Relationship Type="http://schemas.openxmlformats.org/officeDocument/2006/relationships/hyperlink" Id="rId64" Target="../../Requirements/acrme_complete_requirements_reference.md#regional-placement-requirements-r1r8" TargetMode="External" /><Relationship Type="http://schemas.openxmlformats.org/officeDocument/2006/relationships/hyperlink" Id="rId32" Target="../../Requirements/acrme_requirements_baseline_v2_4.md#10-combined-capacity--quota-readiness" TargetMode="External" /><Relationship Type="http://schemas.openxmlformats.org/officeDocument/2006/relationships/hyperlink" Id="rId34" Target="../../Requirements/acrme_requirements_baseline_v2_4.md#11-region-selection--customer-placement" TargetMode="External" /><Relationship Type="http://schemas.openxmlformats.org/officeDocument/2006/relationships/hyperlink" Id="rId36" Target="../../Requirements/acrme_requirements_baseline_v2_4.md#12-disaster-recovery-capacity-requirements" TargetMode="External" /><Relationship Type="http://schemas.openxmlformats.org/officeDocument/2006/relationships/hyperlink" Id="rId38" Target="../../Requirements/acrme_requirements_baseline_v2_4.md#13-cost-economics--finops-requirements" TargetMode="External" /><Relationship Type="http://schemas.openxmlformats.org/officeDocument/2006/relationships/hyperlink" Id="rId40" Target="../../Requirements/acrme_requirements_baseline_v2_4.md#14-provisioning--aep-integration" TargetMode="External" /><Relationship Type="http://schemas.openxmlformats.org/officeDocument/2006/relationships/hyperlink" Id="rId42" Target="../../Requirements/acrme_requirements_baseline_v2_4.md#15-state--data-requirements" TargetMode="External" /><Relationship Type="http://schemas.openxmlformats.org/officeDocument/2006/relationships/hyperlink" Id="rId44" Target="../../Requirements/acrme_requirements_baseline_v2_4.md#16-observability--alerting" TargetMode="External" /><Relationship Type="http://schemas.openxmlformats.org/officeDocument/2006/relationships/hyperlink" Id="rId46" Target="../../Requirements/acrme_requirements_baseline_v2_4.md#17-governance-security--compliance" TargetMode="External" /><Relationship Type="http://schemas.openxmlformats.org/officeDocument/2006/relationships/hyperlink" Id="rId48" Target="../../Requirements/acrme_requirements_baseline_v2_4.md#18-reliability--non-functional-requirements" TargetMode="External" /><Relationship Type="http://schemas.openxmlformats.org/officeDocument/2006/relationships/hyperlink" Id="rId50" Target="../../Requirements/acrme_requirements_baseline_v2_4.md#19-operational-requirements" TargetMode="External" /><Relationship Type="http://schemas.openxmlformats.org/officeDocument/2006/relationships/hyperlink" Id="rId57" Target="../../Requirements/acrme_requirements_baseline_v2_4.md#22-configurable-items-register" TargetMode="External" /><Relationship Type="http://schemas.openxmlformats.org/officeDocument/2006/relationships/hyperlink" Id="rId24" Target="../../Requirements/acrme_requirements_baseline_v2_4.md#23-pending-decisions--mandatory-pocs" TargetMode="External" /><Relationship Type="http://schemas.openxmlformats.org/officeDocument/2006/relationships/hyperlink" Id="rId22" Target="../../Requirements/acrme_requirements_baseline_v2_4.md#6-region-strategy--classification" TargetMode="External" /><Relationship Type="http://schemas.openxmlformats.org/officeDocument/2006/relationships/hyperlink" Id="rId26" Target="../../Requirements/acrme_requirements_baseline_v2_4.md#7-environment-policy-requirements" TargetMode="External" /><Relationship Type="http://schemas.openxmlformats.org/officeDocument/2006/relationships/hyperlink" Id="rId28" Target="../../Requirements/acrme_requirements_baseline_v2_4.md#8-capacity-reservation-management-requirements" TargetMode="External" /><Relationship Type="http://schemas.openxmlformats.org/officeDocument/2006/relationships/hyperlink" Id="rId30" Target="../../Requirements/acrme_requirements_baseline_v2_4.md#9-quota-management-requirements" TargetMode="External" /><Relationship Type="http://schemas.openxmlformats.org/officeDocument/2006/relationships/hyperlink" Id="rId55" Target="../../Requirements/acrme_requirements_baseline_v2_4.md#appendix-a--core-formul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./../Architecture/adr/" TargetMode="External" /><Relationship Type="http://schemas.openxmlformats.org/officeDocument/2006/relationships/hyperlink" Id="rId67" Target="../../Architecture/adr/acrme_adr_001_region_selection.md" TargetMode="External" /><Relationship Type="http://schemas.openxmlformats.org/officeDocument/2006/relationships/hyperlink" Id="rId68" Target="../../Architecture/adr/acrme_adr_002_quota_and_capacity_management.md" TargetMode="External" /><Relationship Type="http://schemas.openxmlformats.org/officeDocument/2006/relationships/hyperlink" Id="rId69" Target="../../Architecture/adr/acrme_adr_003_capacity_management_during_dr.md" TargetMode="External" /><Relationship Type="http://schemas.openxmlformats.org/officeDocument/2006/relationships/hyperlink" Id="rId70" Target="../../Architecture/adr/acrme_adr_004_forecast_and_increase_of_capacity_and_quota.md" TargetMode="External" /><Relationship Type="http://schemas.openxmlformats.org/officeDocument/2006/relationships/hyperlink" Id="rId71" Target="../../Architecture/adr/acrme_adr_005_distributed_dr_reference_model.md" TargetMode="External" /><Relationship Type="http://schemas.openxmlformats.org/officeDocument/2006/relationships/hyperlink" Id="rId73" Target="../../Design/acrme_uml_class_diagrams_summary.md" TargetMode="External" /><Relationship Type="http://schemas.openxmlformats.org/officeDocument/2006/relationships/hyperlink" Id="rId75" Target="../../Reference-Material/backlog/acrme_epics_stories_tasks.md" TargetMode="External" /><Relationship Type="http://schemas.openxmlformats.org/officeDocument/2006/relationships/hyperlink" Id="rId52" Target="../../Reference-Material/reference/acrme_hard_constraints_reference.md" TargetMode="External" /><Relationship Type="http://schemas.openxmlformats.org/officeDocument/2006/relationships/hyperlink" Id="rId60" Target="../../Requirements/acrme_complete_requirements_reference.md#part-1--functional-requirements-fr-1-through-fr-8" TargetMode="External" /><Relationship Type="http://schemas.openxmlformats.org/officeDocument/2006/relationships/hyperlink" Id="rId62" Target="../../Requirements/acrme_complete_requirements_reference.md#placement-non-functional-requirements-nfr-r1nfr-r3" TargetMode="External" /><Relationship Type="http://schemas.openxmlformats.org/officeDocument/2006/relationships/hyperlink" Id="rId64" Target="../../Requirements/acrme_complete_requirements_reference.md#regional-placement-requirements-r1r8" TargetMode="External" /><Relationship Type="http://schemas.openxmlformats.org/officeDocument/2006/relationships/hyperlink" Id="rId32" Target="../../Requirements/acrme_requirements_baseline_v2_4.md#10-combined-capacity--quota-readiness" TargetMode="External" /><Relationship Type="http://schemas.openxmlformats.org/officeDocument/2006/relationships/hyperlink" Id="rId34" Target="../../Requirements/acrme_requirements_baseline_v2_4.md#11-region-selection--customer-placement" TargetMode="External" /><Relationship Type="http://schemas.openxmlformats.org/officeDocument/2006/relationships/hyperlink" Id="rId36" Target="../../Requirements/acrme_requirements_baseline_v2_4.md#12-disaster-recovery-capacity-requirements" TargetMode="External" /><Relationship Type="http://schemas.openxmlformats.org/officeDocument/2006/relationships/hyperlink" Id="rId38" Target="../../Requirements/acrme_requirements_baseline_v2_4.md#13-cost-economics--finops-requirements" TargetMode="External" /><Relationship Type="http://schemas.openxmlformats.org/officeDocument/2006/relationships/hyperlink" Id="rId40" Target="../../Requirements/acrme_requirements_baseline_v2_4.md#14-provisioning--aep-integration" TargetMode="External" /><Relationship Type="http://schemas.openxmlformats.org/officeDocument/2006/relationships/hyperlink" Id="rId42" Target="../../Requirements/acrme_requirements_baseline_v2_4.md#15-state--data-requirements" TargetMode="External" /><Relationship Type="http://schemas.openxmlformats.org/officeDocument/2006/relationships/hyperlink" Id="rId44" Target="../../Requirements/acrme_requirements_baseline_v2_4.md#16-observability--alerting" TargetMode="External" /><Relationship Type="http://schemas.openxmlformats.org/officeDocument/2006/relationships/hyperlink" Id="rId46" Target="../../Requirements/acrme_requirements_baseline_v2_4.md#17-governance-security--compliance" TargetMode="External" /><Relationship Type="http://schemas.openxmlformats.org/officeDocument/2006/relationships/hyperlink" Id="rId48" Target="../../Requirements/acrme_requirements_baseline_v2_4.md#18-reliability--non-functional-requirements" TargetMode="External" /><Relationship Type="http://schemas.openxmlformats.org/officeDocument/2006/relationships/hyperlink" Id="rId50" Target="../../Requirements/acrme_requirements_baseline_v2_4.md#19-operational-requirements" TargetMode="External" /><Relationship Type="http://schemas.openxmlformats.org/officeDocument/2006/relationships/hyperlink" Id="rId57" Target="../../Requirements/acrme_requirements_baseline_v2_4.md#22-configurable-items-register" TargetMode="External" /><Relationship Type="http://schemas.openxmlformats.org/officeDocument/2006/relationships/hyperlink" Id="rId24" Target="../../Requirements/acrme_requirements_baseline_v2_4.md#23-pending-decisions--mandatory-pocs" TargetMode="External" /><Relationship Type="http://schemas.openxmlformats.org/officeDocument/2006/relationships/hyperlink" Id="rId22" Target="../../Requirements/acrme_requirements_baseline_v2_4.md#6-region-strategy--classification" TargetMode="External" /><Relationship Type="http://schemas.openxmlformats.org/officeDocument/2006/relationships/hyperlink" Id="rId26" Target="../../Requirements/acrme_requirements_baseline_v2_4.md#7-environment-policy-requirements" TargetMode="External" /><Relationship Type="http://schemas.openxmlformats.org/officeDocument/2006/relationships/hyperlink" Id="rId28" Target="../../Requirements/acrme_requirements_baseline_v2_4.md#8-capacity-reservation-management-requirements" TargetMode="External" /><Relationship Type="http://schemas.openxmlformats.org/officeDocument/2006/relationships/hyperlink" Id="rId30" Target="../../Requirements/acrme_requirements_baseline_v2_4.md#9-quota-management-requirements" TargetMode="External" /><Relationship Type="http://schemas.openxmlformats.org/officeDocument/2006/relationships/hyperlink" Id="rId55" Target="../../Requirements/acrme_requirements_baseline_v2_4.md#appendix-a--core-formul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2026-09-08T05:45:39Z</dcterms:created>
  <dcterms:modified xsi:type="dcterms:W3CDTF">2026-09-08T05:45:39Z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