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e67224c32721cd544941117b3523d28dcdf211"/>
    <w:p>
      <w:pPr>
        <w:pStyle w:val="Heading1"/>
      </w:pPr>
      <w:r>
        <w:t xml:space="preserve">ADR-007 Companion — Dual-Path (</w:t>
      </w:r>
      <w:r>
        <w:t xml:space="preserve">“</w:t>
      </w:r>
      <w:r>
        <w:t xml:space="preserve">2-Prong</w:t>
      </w:r>
      <w:r>
        <w:t xml:space="preserve">”</w:t>
      </w:r>
      <w:r>
        <w:t xml:space="preserve">) Model: Variance &amp; Impact Analysis</w:t>
      </w:r>
    </w:p>
    <w:p>
      <w:pPr>
        <w:pStyle w:val="FirstParagraph"/>
      </w:pPr>
      <w:r>
        <w:rPr>
          <w:bCs/>
          <w:b/>
        </w:rPr>
        <w:t xml:space="preserve">Companion analysis to ADR-007 (CRG/CR Deployment Model)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&amp; Impact Analysis — Dual-Path CRG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ADR-007 — CRG/CR Deployment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— for review before ADR-007 is moved from PROPOSED to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v2.4 (7 Sep 2026) — re-read for this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Platform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Answer:</w:t>
            </w:r>
            <w:r>
              <w:t xml:space="preserve"> </w:t>
            </w:r>
            <w:r>
              <w:rPr>
                <w:iCs/>
                <w:i/>
              </w:rPr>
              <w:t xml:space="preserve">What does the 2-prong model change across the overall design? List each variance, plan to address each, and call out specifically what breaks.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Label conventions:</w:t>
      </w:r>
      <w:r>
        <w:t xml:space="preserve"> </w:t>
      </w:r>
      <w:r>
        <w:rPr>
          <w:rStyle w:val="VerbatimChar"/>
        </w:rPr>
        <w:t xml:space="preserve">[Baseline Requirement]</w:t>
      </w:r>
      <w:r>
        <w:t xml:space="preserve"> </w:t>
      </w:r>
      <w:r>
        <w:t xml:space="preserve">= normative text in v2.4;</w:t>
      </w:r>
      <w:r>
        <w:t xml:space="preserve"> </w:t>
      </w:r>
      <w:r>
        <w:rPr>
          <w:rStyle w:val="VerbatimChar"/>
        </w:rPr>
        <w:t xml:space="preserve">[Verified Azure Fact — FC-nn]</w:t>
      </w:r>
      <w:r>
        <w:t xml:space="preserve"> </w:t>
      </w:r>
      <w:r>
        <w:t xml:space="preserve">= confirmed against MS Learn (see ADR-007 §2);</w:t>
      </w:r>
      <w:r>
        <w:t xml:space="preserve"> </w:t>
      </w:r>
      <w:r>
        <w:rPr>
          <w:rStyle w:val="VerbatimChar"/>
        </w:rPr>
        <w:t xml:space="preserve">[Assumption]</w:t>
      </w:r>
      <w:r>
        <w:t xml:space="preserve"> </w:t>
      </w:r>
      <w:r>
        <w:t xml:space="preserve">= carries risk;</w:t>
      </w:r>
      <w:r>
        <w:t xml:space="preserve"> </w:t>
      </w:r>
      <w:r>
        <w:rPr>
          <w:rStyle w:val="VerbatimChar"/>
        </w:rPr>
        <w:t xml:space="preserve">[Variance]</w:t>
      </w:r>
      <w:r>
        <w:t xml:space="preserve"> </w:t>
      </w:r>
      <w:r>
        <w:t xml:space="preserve">= a delta this model introduces vs the current baseline/design corpus.</w:t>
      </w:r>
    </w:p>
    <w:p>
      <w:r>
        <w:pict>
          <v:rect style="width:0;height:1.5pt" o:hralign="center" o:hrstd="t" o:hr="t"/>
        </w:pict>
      </w:r>
    </w:p>
    <w:bookmarkStart w:id="20" w:name="X4eaca49889764a36e049c812936bac8b374ef0c"/>
    <w:p>
      <w:pPr>
        <w:pStyle w:val="Heading2"/>
      </w:pPr>
      <w:r>
        <w:t xml:space="preserve">1. Framing Check — Is It One Model or Two? (Read This First)</w:t>
      </w:r>
    </w:p>
    <w:p>
      <w:pPr>
        <w:pStyle w:val="FirstParagraph"/>
      </w:pPr>
      <w:r>
        <w:t xml:space="preserve">Your phrasing is</w:t>
      </w:r>
      <w:r>
        <w:t xml:space="preserve"> </w:t>
      </w:r>
      <w:r>
        <w:t xml:space="preserve">“</w:t>
      </w:r>
      <w:r>
        <w:t xml:space="preserve">2-prong model … more modern focused.</w:t>
      </w:r>
      <w:r>
        <w:t xml:space="preserve">”</w:t>
      </w:r>
      <w:r>
        <w:t xml:space="preserve"> </w:t>
      </w:r>
      <w:r>
        <w:t xml:space="preserve">Before listing variances, the framing must be pinned down, because the variance set is different depending on which of two interpretations we adopt.</w:t>
      </w:r>
      <w:r>
        <w:t xml:space="preserve"> </w:t>
      </w:r>
      <w:r>
        <w:rPr>
          <w:bCs/>
          <w:b/>
        </w:rPr>
        <w:t xml:space="preserve">Being critical of the hypothesis is part of the task, so this is called out explicitly rather than assumed away.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6"/>
        <w:gridCol w:w="1431"/>
        <w:gridCol w:w="1717"/>
        <w:gridCol w:w="3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ADR-007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for 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 Two parallel operating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distinct modern operating model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a distinct heritage operating model, each with its own structure, naming, lifecycle, and engine logic.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Rejected.</w:t>
            </w:r>
            <w:r>
              <w:t xml:space="preserve"> </w:t>
            </w:r>
            <w:r>
              <w:t xml:space="preserve">ADR-007 §3.3 explicitly finds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no separate operating model</w:t>
            </w:r>
            <w:r>
              <w:t xml:space="preserve"> </w:t>
            </w:r>
            <w:r>
              <w:t xml:space="preserve">for modern vs heritage.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add complexity — two structures the engine must reason about.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 One unified structural model, two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access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CRG structure (CAP-023), naming (OPS-006/C-12), and reconciliation logic. Only the</w:t>
            </w:r>
            <w:r>
              <w:t xml:space="preserve"> </w:t>
            </w:r>
            <w:r>
              <w:rPr>
                <w:bCs/>
                <w:b/>
              </w:rPr>
              <w:t xml:space="preserve">CRG-resolution access path</w:t>
            </w:r>
            <w:r>
              <w:t xml:space="preserve"> </w:t>
            </w:r>
            <w:r>
              <w:t xml:space="preserve">differs:</w:t>
            </w:r>
            <w:r>
              <w:t xml:space="preserve"> </w:t>
            </w:r>
            <w:r>
              <w:rPr>
                <w:iCs/>
                <w:i/>
              </w:rPr>
              <w:t xml:space="preserve">shared</w:t>
            </w:r>
            <w:r>
              <w:t xml:space="preserve"> </w:t>
            </w:r>
            <w:r>
              <w:t xml:space="preserve">(modern + remediated) vs</w:t>
            </w:r>
            <w:r>
              <w:t xml:space="preserve"> </w:t>
            </w:r>
            <w:r>
              <w:rPr>
                <w:iCs/>
                <w:i/>
              </w:rPr>
              <w:t xml:space="preserve">local</w:t>
            </w:r>
            <w:r>
              <w:t xml:space="preserve"> </w:t>
            </w:r>
            <w:r>
              <w:t xml:space="preserve">(un-remediated heritage).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(Option C).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Does not touch region selection.</w:t>
            </w:r>
            <w:r>
              <w:t xml:space="preserve"> </w:t>
            </w:r>
            <w:r>
              <w:t xml:space="preserve">The path branch lives in CRG resolution, downstream of region/zone selection.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analysis adopts interpretation (B)</w:t>
      </w:r>
      <w:r>
        <w:t xml:space="preserve"> </w:t>
      </w:r>
      <w:r>
        <w:t xml:space="preserve">— that is the</w:t>
      </w:r>
      <w:r>
        <w:t xml:space="preserve"> </w:t>
      </w:r>
      <w:r>
        <w:t xml:space="preserve">“</w:t>
      </w:r>
      <w:r>
        <w:t xml:space="preserve">2-prong</w:t>
      </w:r>
      <w:r>
        <w:t xml:space="preserve">”</w:t>
      </w:r>
      <w:r>
        <w:t xml:space="preserve"> </w:t>
      </w:r>
      <w:r>
        <w:t xml:space="preserve">your statement supports (</w:t>
      </w:r>
      <w:r>
        <w:t xml:space="preserve">“</w:t>
      </w:r>
      <w:r>
        <w:t xml:space="preserve">shouldn’t add complexity to region selection</w:t>
      </w:r>
      <w:r>
        <w:t xml:space="preserve">”</w:t>
      </w:r>
      <w:r>
        <w:t xml:space="preserve">). Every variance below is scoped to interpretation (B). If the enterprise instead wants interpretation (A), variances V-05, V-07, and V-14 expand materially and region selection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be impacted; that path is not recommended and is flagged at the end (§7, Open Decision OD-1).</w:t>
      </w:r>
    </w:p>
    <w:p>
      <w:pPr>
        <w:pStyle w:val="BodyText"/>
      </w:pPr>
      <w:r>
        <w:rPr>
          <w:bCs/>
          <w:b/>
        </w:rPr>
        <w:t xml:space="preserve">Net answer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it more modern focused?</w:t>
      </w:r>
      <w:r>
        <w:rPr>
          <w:bCs/>
          <w:b/>
        </w:rPr>
        <w:t xml:space="preserve">”</w:t>
      </w:r>
      <w:r>
        <w:t xml:space="preserve"> </w:t>
      </w:r>
      <w:r>
        <w:t xml:space="preserve">Yes — the</w:t>
      </w:r>
      <w:r>
        <w:t xml:space="preserve"> </w:t>
      </w:r>
      <w:r>
        <w:rPr>
          <w:iCs/>
          <w:i/>
        </w:rPr>
        <w:t xml:space="preserve">shared</w:t>
      </w:r>
      <w:r>
        <w:t xml:space="preserve"> </w:t>
      </w:r>
      <w:r>
        <w:t xml:space="preserve">prong is the strategic default for modern (environment-aligned) subscriptions; the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prong is a</w:t>
      </w:r>
      <w:r>
        <w:t xml:space="preserve"> </w:t>
      </w:r>
      <w:r>
        <w:rPr>
          <w:bCs/>
          <w:b/>
        </w:rPr>
        <w:t xml:space="preserve">coexistence/fallback path</w:t>
      </w:r>
      <w:r>
        <w:t xml:space="preserve"> </w:t>
      </w:r>
      <w:r>
        <w:t xml:space="preserve">that keeps heritage workloads running unchanged until remediated. In production</w:t>
      </w:r>
      <w:r>
        <w:t xml:space="preserve"> </w:t>
      </w:r>
      <w:r>
        <w:rPr>
          <w:bCs/>
          <w:b/>
        </w:rPr>
        <w:t xml:space="preserve">today</w:t>
      </w:r>
      <w:r>
        <w:t xml:space="preserve">, the local prong is the only production-safe path until DEP-001 (Preview→GA) and POC-001 (quota) clear — the shared prong is aspirational until then (see V-10, V-11).</w:t>
      </w:r>
    </w:p>
    <w:p>
      <w:r>
        <w:pict>
          <v:rect style="width:0;height:1.5pt" o:hralign="center" o:hrstd="t" o:hr="t"/>
        </w:pict>
      </w:r>
    </w:p>
    <w:bookmarkEnd w:id="20"/>
    <w:bookmarkStart w:id="21" w:name="Xd4a057a701ccf39182b814caebbe9fd12ef430a"/>
    <w:p>
      <w:pPr>
        <w:pStyle w:val="Heading2"/>
      </w:pPr>
      <w:r>
        <w:t xml:space="preserve">2. Region-Selection Guarantee (Your Specific Concern)</w:t>
      </w:r>
    </w:p>
    <w:p>
      <w:pPr>
        <w:pStyle w:val="FirstParagraph"/>
      </w:pPr>
      <w:r>
        <w:rPr>
          <w:rStyle w:val="VerbatimChar"/>
        </w:rPr>
        <w:t xml:space="preserve">[Baseline Requirement]</w:t>
      </w:r>
      <w:r>
        <w:t xml:space="preserve"> </w:t>
      </w:r>
      <w:r>
        <w:t xml:space="preserve">Region/zone selection is driven by the placement scoring pipeline over the configurable catalogue (REG-001), the Hard Constraints, ENV-003 separation, and PLC-006/PLC-010/PLC-010a co-location rules.</w:t>
      </w:r>
      <w:r>
        <w:t xml:space="preserve"> </w:t>
      </w:r>
      <w:r>
        <w:rPr>
          <w:bCs/>
          <w:b/>
        </w:rPr>
        <w:t xml:space="preserve">Nothing in region selection references CRG ownership or sharing.</w:t>
      </w:r>
    </w:p>
    <w:p>
      <w:pPr>
        <w:pStyle w:val="BodyText"/>
      </w:pPr>
      <w:r>
        <w:t xml:space="preserve">The engine has two distinct layers; the 2-prong branch is confined to Layer 2: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2"/>
        <w:gridCol w:w="1931"/>
        <w:gridCol w:w="1545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2-prong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— Region/zone selection</w:t>
            </w:r>
            <w:r>
              <w:t xml:space="preserve"> </w:t>
            </w:r>
            <w:r>
              <w:t xml:space="preserve">(ADR-001)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Which region + AZ?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REG-001 catalogue, geography model (US 3-region / others 2-region), ENV-003, PLC-010/010a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— path-agnostic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— CRG resolution</w:t>
            </w:r>
            <w:r>
              <w:t xml:space="preserve"> </w:t>
            </w:r>
            <w:r>
              <w:t xml:space="preserve">(ADR-007 §10.3)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Which CRG, owned by which subscription?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(domain, region, track)</w:t>
            </w:r>
            <w:r>
              <w:t xml:space="preserve"> </w:t>
            </w:r>
            <w:r>
              <w:t xml:space="preserve">→ provider sub → CRG</w:t>
            </w:r>
            <w:r>
              <w:t xml:space="preserve"> </w:t>
            </w:r>
            <w:r>
              <w:rPr>
                <w:bCs/>
                <w:b/>
              </w:rPr>
              <w:t xml:space="preserve">(shared)</w:t>
            </w:r>
            <w:r>
              <w:t xml:space="preserve"> </w:t>
            </w:r>
            <w:r>
              <w:rPr>
                <w:iCs/>
                <w:i/>
              </w:rPr>
              <w:t xml:space="preserve">or</w:t>
            </w:r>
            <w:r>
              <w:t xml:space="preserve"> </w:t>
            </w:r>
            <w:r>
              <w:t xml:space="preserve">local CRG in consumer sub</w:t>
            </w:r>
            <w:r>
              <w:t xml:space="preserve"> </w:t>
            </w:r>
            <w:r>
              <w:rPr>
                <w:bCs/>
                <w:b/>
              </w:rPr>
              <w:t xml:space="preserve">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</w:t>
            </w:r>
            <w:r>
              <w:t xml:space="preserve"> </w:t>
            </w:r>
            <w:r>
              <w:rPr>
                <w:iCs/>
                <w:i/>
              </w:rPr>
              <w:t xml:space="preserve">only</w:t>
            </w:r>
            <w:r>
              <w:t xml:space="preserve"> </w:t>
            </w:r>
            <w:r>
              <w:t xml:space="preserve">place shared/local branches</w:t>
            </w:r>
          </w:p>
        </w:tc>
      </w:tr>
    </w:tbl>
    <w:p>
      <w:pPr>
        <w:pStyle w:val="BodyText"/>
      </w:pPr>
      <w:r>
        <w:t xml:space="preserve">In the §10.3 consumer-assignment algorithm,</w:t>
      </w:r>
      <w:r>
        <w:t xml:space="preserve"> </w:t>
      </w:r>
      <w:r>
        <w:rPr>
          <w:rStyle w:val="VerbatimChar"/>
          <w:bCs/>
          <w:b/>
        </w:rPr>
        <w:t xml:space="preserve">region</w:t>
      </w:r>
      <w:r>
        <w:rPr>
          <w:bCs/>
          <w:b/>
        </w:rPr>
        <w:t xml:space="preserve"> </w:t>
      </w:r>
      <w:r>
        <w:rPr>
          <w:bCs/>
          <w:b/>
        </w:rPr>
        <w:t xml:space="preserve">is an input, not an output</w:t>
      </w:r>
      <w:r>
        <w:t xml:space="preserve"> </w:t>
      </w:r>
      <w:r>
        <w:t xml:space="preserve">— L1 has already decided it before L2 runs. A heritage (local) and a modern (shared) workload in the same geography select the</w:t>
      </w:r>
      <w:r>
        <w:t xml:space="preserve"> </w:t>
      </w:r>
      <w:r>
        <w:rPr>
          <w:bCs/>
          <w:b/>
        </w:rPr>
        <w:t xml:space="preserve">identical region + AZ</w:t>
      </w:r>
      <w:r>
        <w:t xml:space="preserve">; they differ only in</w:t>
      </w:r>
      <w:r>
        <w:t xml:space="preserve"> </w:t>
      </w:r>
      <w:r>
        <w:rPr>
          <w:iCs/>
          <w:i/>
        </w:rPr>
        <w:t xml:space="preserve">who owns the CRG in that zone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Variance V-06 (new, protective):</w:t>
      </w:r>
      <w:r>
        <w:t xml:space="preserve"> </w:t>
      </w:r>
      <w:r>
        <w:t xml:space="preserve">ADR-007 relies on this ordering but never states it as a hard invariant. We add:</w:t>
      </w:r>
    </w:p>
    <w:p>
      <w:pPr>
        <w:pStyle w:val="BlockText"/>
      </w:pPr>
      <w:r>
        <w:rPr>
          <w:bCs/>
          <w:b/>
        </w:rPr>
        <w:t xml:space="preserve">INV-R1 (proposed):</w:t>
      </w:r>
      <w:r>
        <w:t xml:space="preserve"> </w:t>
      </w:r>
      <w:r>
        <w:t xml:space="preserve">Region/zone selection (ADR-001 / PLC-006) is path-agnostic. The shared-vs-local CRG determination occurs only in the CRG-resolution layer, which consumes region as an input. No modern/heritage classification, provider-subscription lookup, or sharing-grant state may be an input to region or zone selection.</w:t>
      </w:r>
    </w:p>
    <w:p>
      <w:pPr>
        <w:pStyle w:val="FirstParagraph"/>
      </w:pPr>
      <w:r>
        <w:t xml:space="preserve">This makes your requirement enforceable and prevents a future change from leaking heritage logic upward into region selection.</w:t>
      </w:r>
    </w:p>
    <w:p>
      <w:r>
        <w:pict>
          <v:rect style="width:0;height:1.5pt" o:hralign="center" o:hrstd="t" o:hr="t"/>
        </w:pict>
      </w:r>
    </w:p>
    <w:bookmarkEnd w:id="21"/>
    <w:bookmarkStart w:id="22" w:name="complete-variance-register"/>
    <w:p>
      <w:pPr>
        <w:pStyle w:val="Heading2"/>
      </w:pPr>
      <w:r>
        <w:t xml:space="preserve">3. Complete Variance Register</w:t>
      </w:r>
    </w:p>
    <w:p>
      <w:pPr>
        <w:pStyle w:val="FirstParagraph"/>
      </w:pPr>
      <w:r>
        <w:t xml:space="preserve">Each variance is classified as</w:t>
      </w:r>
      <w:r>
        <w:t xml:space="preserve"> </w:t>
      </w:r>
      <w:r>
        <w:rPr>
          <w:bCs/>
          <w:b/>
        </w:rPr>
        <w:t xml:space="preserve">BREAKING</w:t>
      </w:r>
      <w:r>
        <w:t xml:space="preserve"> </w:t>
      </w:r>
      <w:r>
        <w:t xml:space="preserve">(contradicts or invalidates existing normative text / design artifacts),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(net-new; nothing existing becomes wrong), or</w:t>
      </w:r>
      <w:r>
        <w:t xml:space="preserve"> </w:t>
      </w:r>
      <w:r>
        <w:rPr>
          <w:bCs/>
          <w:b/>
        </w:rPr>
        <w:t xml:space="preserve">RECONCILE</w:t>
      </w:r>
      <w:r>
        <w:t xml:space="preserve"> </w:t>
      </w:r>
      <w:r>
        <w:t xml:space="preserve">(existing docs describe a narrower world and must be updated to stay consistent, but were not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at the time).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523"/>
        <w:gridCol w:w="3960"/>
        <w:gridCol w:w="913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limit semantics:</w:t>
            </w:r>
            <w:r>
              <w:t xml:space="preserve"> </w:t>
            </w:r>
            <w:r>
              <w:t xml:space="preserve">“</w:t>
            </w:r>
            <w:r>
              <w:t xml:space="preserve">~100 per tenant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exactly 100 consumer subs per CRG</w:t>
            </w:r>
            <w:r>
              <w:t xml:space="preserve"> </w:t>
            </w:r>
            <w:r>
              <w:t xml:space="preserve">+ 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</w:t>
            </w:r>
            <w:r>
              <w:t xml:space="preserve"> </w:t>
            </w:r>
            <w:r>
              <w:t xml:space="preserve">(text + 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subscription</w:t>
            </w:r>
            <w:r>
              <w:t xml:space="preserve"> </w:t>
            </w:r>
            <w:r>
              <w:t xml:space="preserve">owns CRGs, separate from workload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CAP-023, deployment-layout, provisioning-plan, RBAC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</w:t>
            </w:r>
            <w:r>
              <w:t xml:space="preserve"> </w:t>
            </w:r>
            <w:r>
              <w:t xml:space="preserve">(ownership locus)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Sharing-grant lifecycle</w:t>
            </w:r>
            <w:r>
              <w:t xml:space="preserve"> </w:t>
            </w:r>
            <w:r>
              <w:t xml:space="preserve">(grant/revoke/audit) as a first-class engine duty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 —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(new CAP-026)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MG-scoped</w:t>
            </w:r>
            <w:r>
              <w:t xml:space="preserve"> </w:t>
            </w:r>
            <w:r>
              <w:t xml:space="preserve">sharing grants for NFR-004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 —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(CAP-013 clause)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must resolve</w:t>
            </w:r>
            <w:r>
              <w:t xml:space="preserve"> </w:t>
            </w:r>
            <w:r>
              <w:rPr>
                <w:bCs/>
                <w:b/>
              </w:rPr>
              <w:t xml:space="preserve">two CRG paths</w:t>
            </w:r>
            <w:r>
              <w:t xml:space="preserve"> </w:t>
            </w:r>
            <w:r>
              <w:t xml:space="preserve">(shared vs local) + CRG-type flag in a</w:t>
            </w:r>
            <w:r>
              <w:t xml:space="preserve"> </w:t>
            </w:r>
            <w:r>
              <w:rPr>
                <w:bCs/>
                <w:b/>
              </w:rPr>
              <w:t xml:space="preserve">shard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design, UML class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(new state + branch)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Region-selection invariant INV-R1</w:t>
            </w:r>
            <w:r>
              <w:t xml:space="preserve"> </w:t>
            </w:r>
            <w:r>
              <w:t xml:space="preserve">(path-agnostic)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(protective)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Heritage/modern classification</w:t>
            </w:r>
            <w:r>
              <w:t xml:space="preserve"> </w:t>
            </w:r>
            <w:r>
              <w:t xml:space="preserve">+ heritage</w:t>
            </w:r>
            <w:r>
              <w:t xml:space="preserve"> </w:t>
            </w:r>
            <w:r>
              <w:rPr>
                <w:bCs/>
                <w:b/>
              </w:rPr>
              <w:t xml:space="preserve">excluded from sharing</w:t>
            </w:r>
            <w:r>
              <w:t xml:space="preserve"> </w:t>
            </w:r>
            <w:r>
              <w:t xml:space="preserve">until remediated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 — new taxonomy)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(A-01/A-02 → firm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 enforced at a</w:t>
            </w:r>
            <w:r>
              <w:t xml:space="preserve"> </w:t>
            </w:r>
            <w:r>
              <w:rPr>
                <w:bCs/>
                <w:b/>
              </w:rPr>
              <w:t xml:space="preserve">new surface</w:t>
            </w:r>
            <w:r>
              <w:t xml:space="preserve">: the sharing-grant boundary (grant audit), not only intra-subscription non-mixing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 enforcement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(mechanism 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taken:</w:t>
            </w:r>
            <w:r>
              <w:t xml:space="preserve"> </w:t>
            </w:r>
            <w:r>
              <w:rPr>
                <w:bCs/>
                <w:b/>
              </w:rPr>
              <w:t xml:space="preserve">dedicated DR provider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POC-006 (open)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(pending POC)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Shared-prong viability depends on</w:t>
            </w:r>
            <w:r>
              <w:t xml:space="preserve"> </w:t>
            </w:r>
            <w:r>
              <w:rPr>
                <w:bCs/>
                <w:b/>
              </w:rPr>
              <w:t xml:space="preserve">quota behaviour</w:t>
            </w:r>
            <w:r>
              <w:t xml:space="preserve"> </w:t>
            </w:r>
            <w:r>
              <w:t xml:space="preserve">(provider- vs consumer-scoped)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(open) — cost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(blocks shared prong)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prong is</w:t>
            </w:r>
            <w:r>
              <w:t xml:space="preserve"> </w:t>
            </w:r>
            <w:r>
              <w:rPr>
                <w:bCs/>
                <w:b/>
              </w:rPr>
              <w:t xml:space="preserve">Public Preview</w:t>
            </w:r>
            <w:r>
              <w:t xml:space="preserve">, not production-safe until approved/GA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 (open)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(blocks shared prong)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convention extension</w:t>
            </w:r>
            <w:r>
              <w:t xml:space="preserve"> </w:t>
            </w:r>
            <w:r>
              <w:t xml:space="preserve">for provider subs + shard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OPS-006 / 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(additive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</w:t>
            </w:r>
            <w:r>
              <w:t xml:space="preserve"> </w:t>
            </w:r>
            <w:r>
              <w:rPr>
                <w:bCs/>
                <w:b/>
              </w:rPr>
              <w:t xml:space="preserve">design corpus</w:t>
            </w:r>
            <w:r>
              <w:t xml:space="preserve"> </w:t>
            </w:r>
            <w:r>
              <w:t xml:space="preserve">describes single-path CRG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design docs + 3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what-breaks-explicit-call-out"/>
    <w:p>
      <w:pPr>
        <w:pStyle w:val="Heading2"/>
      </w:pPr>
      <w:r>
        <w:t xml:space="preserve">4. What BREAKS — Explicit Call-Out</w:t>
      </w:r>
    </w:p>
    <w:p>
      <w:pPr>
        <w:pStyle w:val="FirstParagraph"/>
      </w:pPr>
      <w:r>
        <w:t xml:space="preserve">Only three items genuinely break something already written or already assumed. Everything else is additive or a doc-reconciliation. These three must be resolved before ADR-007 moves to ACCEPTED.</w:t>
      </w:r>
    </w:p>
    <w:bookmarkStart w:id="23" w:name="b-1-cap-013-limit-semantics-v-01"/>
    <w:p>
      <w:pPr>
        <w:pStyle w:val="Heading3"/>
      </w:pPr>
      <w:r>
        <w:t xml:space="preserve">B-1 — CAP-013 limit semantics (V-01)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 baseline 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…up to ~100 subscriptions per tenant.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breaks:</w:t>
      </w:r>
      <w:r>
        <w:t xml:space="preserve"> </w:t>
      </w:r>
      <w:r>
        <w:t xml:space="preserve">The number is attached to the</w:t>
      </w:r>
      <w:r>
        <w:t xml:space="preserve"> </w:t>
      </w:r>
      <w:r>
        <w:rPr>
          <w:bCs/>
          <w:b/>
        </w:rPr>
        <w:t xml:space="preserve">wrong scope</w:t>
      </w:r>
      <w:r>
        <w:t xml:space="preserve"> </w:t>
      </w:r>
      <w:r>
        <w:t xml:space="preserve">(tenant) and marked approximate.</w:t>
      </w:r>
      <w:r>
        <w:t xml:space="preserve"> </w:t>
      </w:r>
      <w:r>
        <w:rPr>
          <w:rStyle w:val="VerbatimChar"/>
        </w:rPr>
        <w:t xml:space="preserve">[Verified Azure Fact — FC-03]</w:t>
      </w:r>
      <w:r>
        <w:t xml:space="preserve"> </w:t>
      </w:r>
      <w:r>
        <w:t xml:space="preserve">the real limit is</w:t>
      </w:r>
      <w:r>
        <w:t xml:space="preserve"> </w:t>
      </w:r>
      <w:r>
        <w:rPr>
          <w:bCs/>
          <w:b/>
        </w:rPr>
        <w:t xml:space="preserve">exactly 100 consumer subscriptions per CRG</w:t>
      </w:r>
      <w:r>
        <w:t xml:space="preserve"> </w:t>
      </w:r>
      <w:r>
        <w:t xml:space="preserve">— a hard platform limit, not per-tenant and not a Preview soft cap.</w:t>
      </w:r>
      <w:r>
        <w:t xml:space="preserve"> </w:t>
      </w:r>
      <w:r>
        <w:rPr>
          <w:rStyle w:val="VerbatimChar"/>
        </w:rPr>
        <w:t xml:space="preserve">[FC-02]</w:t>
      </w:r>
      <w:r>
        <w:t xml:space="preserve"> </w:t>
      </w:r>
      <w:r>
        <w:t xml:space="preserve">the sharing unit is the CRG, not the CR.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Specifically what it invalidates:</w:t>
      </w:r>
      <w:r>
        <w:t xml:space="preserve"> </w:t>
      </w:r>
      <w:r>
        <w:t xml:space="preserve">Any capacity-planning arithmetic, POC scenario, or sizing statement that treated</w:t>
      </w:r>
      <w:r>
        <w:t xml:space="preserve"> </w:t>
      </w:r>
      <w:r>
        <w:t xml:space="preserve">“</w:t>
      </w:r>
      <w:r>
        <w:t xml:space="preserve">100</w:t>
      </w:r>
      <w:r>
        <w:t xml:space="preserve">”</w:t>
      </w:r>
      <w:r>
        <w:t xml:space="preserve"> </w:t>
      </w:r>
      <w:r>
        <w:t xml:space="preserve">as a tenant-wide ceiling. Under the correct semantics, a single tenant can serve</w:t>
      </w:r>
      <w:r>
        <w:t xml:space="preserve"> </w:t>
      </w:r>
      <w:r>
        <w:rPr>
          <w:bCs/>
          <w:b/>
        </w:rPr>
        <w:t xml:space="preserve">hundreds</w:t>
      </w:r>
      <w:r>
        <w:t xml:space="preserve"> </w:t>
      </w:r>
      <w:r>
        <w:t xml:space="preserve">of consumer subscriptions (NFR-004) by adding CRGs/shards — but no single CRG may exceed 100 consumers. Docs that read</w:t>
      </w:r>
      <w:r>
        <w:t xml:space="preserve"> </w:t>
      </w:r>
      <w:r>
        <w:t xml:space="preserve">“</w:t>
      </w:r>
      <w:r>
        <w:t xml:space="preserve">~100/tenant</w:t>
      </w:r>
      <w:r>
        <w:t xml:space="preserve">”</w:t>
      </w:r>
      <w:r>
        <w:t xml:space="preserve"> </w:t>
      </w:r>
      <w:r>
        <w:t xml:space="preserve">imply the platform cannot meet NFR-004, which is false and would mis-scope the sharding requirement.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Adopt the CAP-013 correction already drafted in ADR-007 §15.1 (per-CRG limit + mandatory workload-domain sharding + CRG-is-the-unit). See remediation task T-01.</w:t>
      </w:r>
    </w:p>
    <w:bookmarkEnd w:id="23"/>
    <w:bookmarkStart w:id="24" w:name="b-2-crg-ownership-locus-vs-cap-023-v-02"/>
    <w:p>
      <w:pPr>
        <w:pStyle w:val="Heading3"/>
      </w:pPr>
      <w:r>
        <w:t xml:space="preserve">B-2 — CRG ownership locus vs CAP-023 (V-02)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Current baseline text (CAP-023):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each environment within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 subscription and region</w:t>
      </w:r>
      <w:r>
        <w:rPr>
          <w:iCs/>
          <w:i/>
        </w:rPr>
        <w:t xml:space="preserve">, reservations are organised into … one regional CRG plus one per-AZ CRG…</w:t>
      </w:r>
      <w:r>
        <w:rPr>
          <w:iCs/>
          <w:i/>
        </w:rPr>
        <w:t xml:space="preserve">”</w:t>
      </w:r>
      <w:r>
        <w:t xml:space="preserve"> </w:t>
      </w:r>
      <w:r>
        <w:t xml:space="preserve">— i.e. CAP-023 as written assumes the CRG lives</w:t>
      </w:r>
      <w:r>
        <w:t xml:space="preserve"> </w:t>
      </w:r>
      <w:r>
        <w:rPr>
          <w:bCs/>
          <w:b/>
        </w:rPr>
        <w:t xml:space="preserve">in the workload subscription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breaks:</w:t>
      </w:r>
      <w:r>
        <w:t xml:space="preserve"> </w:t>
      </w:r>
      <w:r>
        <w:t xml:space="preserve">The shared prong relocates CRG ownership to a dedicated</w:t>
      </w:r>
      <w:r>
        <w:t xml:space="preserve"> </w:t>
      </w:r>
      <w:r>
        <w:rPr>
          <w:bCs/>
          <w:b/>
        </w:rPr>
        <w:t xml:space="preserve">provider subscription</w:t>
      </w:r>
      <w:r>
        <w:t xml:space="preserve"> </w:t>
      </w:r>
      <w:r>
        <w:t xml:space="preserve">that hosts no workload VMs; the workload (consumer) subscription owns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CRG and merely receives a sharing grant. This contradicts the literal</w:t>
      </w:r>
      <w:r>
        <w:t xml:space="preserve"> </w:t>
      </w:r>
      <w:r>
        <w:t xml:space="preserve">“</w:t>
      </w:r>
      <w:r>
        <w:t xml:space="preserve">within a subscription</w:t>
      </w:r>
      <w:r>
        <w:t xml:space="preserve">”</w:t>
      </w:r>
      <w:r>
        <w:t xml:space="preserve"> </w:t>
      </w:r>
      <w:r>
        <w:t xml:space="preserve">reading of CAP-023 and the assumption baked into three artifacts: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acrme_cr_crg_deployment_layout.md</w:t>
      </w:r>
      <w:r>
        <w:t xml:space="preserve"> </w:t>
      </w:r>
      <w:r>
        <w:t xml:space="preserve">— shows CRGs co-resident with workloads.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acrme_crg_cr_foundation_provisioning_plan.md</w:t>
      </w:r>
      <w:r>
        <w:t xml:space="preserve"> </w:t>
      </w:r>
      <w:r>
        <w:t xml:space="preserve">— provisioning steps assume the consumer sub owns the CRG.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acrme_security_and_rbac_guide.md</w:t>
      </w:r>
      <w:r>
        <w:t xml:space="preserve"> </w:t>
      </w:r>
      <w:r>
        <w:t xml:space="preserve">— CRG owner role is assigned in the workload subscription, not a provider MI.</w:t>
      </w:r>
    </w:p>
    <w:p>
      <w:pPr>
        <w:numPr>
          <w:ilvl w:val="1"/>
          <w:numId w:val="1003"/>
        </w:numPr>
        <w:pStyle w:val="Compact"/>
      </w:pPr>
      <w:r>
        <w:t xml:space="preserve">Diagrams 7 &amp; 8 (foundation provisioning; sharing model) — provider/consumer split is partial.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Important nuance (why it is a real break, not cosmetic):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prong the CAP-023</w:t>
      </w:r>
      <w:r>
        <w:t xml:space="preserve"> </w:t>
      </w:r>
      <w:r>
        <w:t xml:space="preserve">“</w:t>
      </w:r>
      <w:r>
        <w:t xml:space="preserve">within a subscription</w:t>
      </w:r>
      <w:r>
        <w:t xml:space="preserve">”</w:t>
      </w:r>
      <w:r>
        <w:t xml:space="preserve"> </w:t>
      </w:r>
      <w:r>
        <w:t xml:space="preserve">reading still holds. So CAP-023 must be generalised to say ownership is</w:t>
      </w:r>
      <w:r>
        <w:t xml:space="preserve"> </w:t>
      </w:r>
      <w:r>
        <w:rPr>
          <w:iCs/>
          <w:i/>
        </w:rPr>
        <w:t xml:space="preserve">either</w:t>
      </w:r>
      <w:r>
        <w:t xml:space="preserve"> </w:t>
      </w:r>
      <w:r>
        <w:t xml:space="preserve">the workload subscription (local prong)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a provider subscription (shared prong) — the</w:t>
      </w:r>
      <w:r>
        <w:t xml:space="preserve"> </w:t>
      </w:r>
      <w:r>
        <w:rPr>
          <w:bCs/>
          <w:b/>
        </w:rPr>
        <w:t xml:space="preserve">structure</w:t>
      </w:r>
      <w:r>
        <w:t xml:space="preserve"> </w:t>
      </w:r>
      <w:r>
        <w:t xml:space="preserve">(regional + per-AZ, never-mixed) is identical in both. Without this, CAP-023 and CAP-025 (proposed) directly conflict.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Generalise CAP-023 ownership wording + ratify CAP-025 (provider subscription model, already drafted ADR-007 §15). Gate on POC-006. See T-02.</w:t>
      </w:r>
    </w:p>
    <w:bookmarkEnd w:id="24"/>
    <w:bookmarkStart w:id="25" w:name="b-3-env-003-enforcement-surface-v-08"/>
    <w:p>
      <w:pPr>
        <w:pStyle w:val="Heading3"/>
      </w:pPr>
      <w:r>
        <w:t xml:space="preserve">B-3 — ENV-003 enforcement surface (V-08)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Current baseline text (ENV-003):</w:t>
      </w:r>
      <w:r>
        <w:t xml:space="preserve"> </w:t>
      </w:r>
      <w:r>
        <w:t xml:space="preserve">Non-prod/prod and DR/prod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capacity; DR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 with non-prod.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breaks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ENV-003’s</w:t>
      </w:r>
      <w:r>
        <w:t xml:space="preserve"> </w:t>
      </w:r>
      <w:r>
        <w:rPr>
          <w:iCs/>
          <w:i/>
        </w:rPr>
        <w:t xml:space="preserve">intent</w:t>
      </w:r>
      <w:r>
        <w:t xml:space="preserve"> </w:t>
      </w:r>
      <w:r>
        <w:t xml:space="preserve">is fully preserved — but the</w:t>
      </w:r>
      <w:r>
        <w:t xml:space="preserve"> </w:t>
      </w:r>
      <w:r>
        <w:rPr>
          <w:bCs/>
          <w:b/>
        </w:rPr>
        <w:t xml:space="preserve">mechanism</w:t>
      </w:r>
      <w:r>
        <w:t xml:space="preserve"> </w:t>
      </w:r>
      <w:r>
        <w:t xml:space="preserve">the existing design relies on (don’t co-mingle environments inside one subscription) is</w:t>
      </w:r>
      <w:r>
        <w:t xml:space="preserve"> </w:t>
      </w:r>
      <w:r>
        <w:rPr>
          <w:bCs/>
          <w:b/>
        </w:rPr>
        <w:t xml:space="preserve">no longer sufficient</w:t>
      </w:r>
      <w:r>
        <w:t xml:space="preserve"> </w:t>
      </w:r>
      <w:r>
        <w:t xml:space="preserve">on its own. In the shared prong a mis-scoped</w:t>
      </w:r>
      <w:r>
        <w:t xml:space="preserve"> </w:t>
      </w:r>
      <w:r>
        <w:rPr>
          <w:bCs/>
          <w:b/>
        </w:rPr>
        <w:t xml:space="preserve">sharing grant</w:t>
      </w:r>
      <w:r>
        <w:t xml:space="preserve"> </w:t>
      </w:r>
      <w:r>
        <w:t xml:space="preserve">(e.g. a Prod provider CRG granted to a subscription that also runs CVAL) creates a cross-environment capacity path that intra-subscription checks would never catch.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Specifically what it invalidates:</w:t>
      </w:r>
      <w:r>
        <w:t xml:space="preserve"> </w:t>
      </w:r>
      <w:r>
        <w:t xml:space="preserve">Any validation/audit design that assumes ENV-003 is satisfied purely by subscription-level environment alignment. A</w:t>
      </w:r>
      <w:r>
        <w:t xml:space="preserve"> </w:t>
      </w:r>
      <w:r>
        <w:rPr>
          <w:bCs/>
          <w:b/>
        </w:rPr>
        <w:t xml:space="preserve">new mandatory audit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no sharing grant crosses the Prod ↔ CVAL/DR boundary</w:t>
      </w:r>
      <w:r>
        <w:t xml:space="preserve">”</w:t>
      </w:r>
      <w:r>
        <w:t xml:space="preserve"> </w:t>
      </w:r>
      <w:r>
        <w:t xml:space="preserve">— becomes part of every reconciliation cycle. This is why</w:t>
      </w:r>
      <w:r>
        <w:t xml:space="preserve"> </w:t>
      </w:r>
      <w:r>
        <w:rPr>
          <w:bCs/>
          <w:b/>
        </w:rPr>
        <w:t xml:space="preserve">heritage (mixed-environment) subscriptions are excluded from the shared prong</w:t>
      </w:r>
      <w:r>
        <w:t xml:space="preserve"> </w:t>
      </w:r>
      <w:r>
        <w:t xml:space="preserve">(V-07): granting to them would breach ENV-003 at the grant boundary.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Ratify CAP-026 (grant lifecycle + boundary audit) and add the coexistence invariant to the reconciliation loop. See T-03.</w:t>
      </w:r>
    </w:p>
    <w:p>
      <w:pPr>
        <w:pStyle w:val="FirstParagraph"/>
      </w:pPr>
      <w:r>
        <w:rPr>
          <w:bCs/>
          <w:b/>
        </w:rPr>
        <w:t xml:space="preserve">Everything else does NOT break the existing design</w:t>
      </w:r>
      <w:r>
        <w:t xml:space="preserve"> </w:t>
      </w:r>
      <w:r>
        <w:t xml:space="preserve">— it is either net-new capability (V-03, V-04, V-05, V-06, V-07) or documentation that must be brought forward to match (V-09, V-12, V-13). The</w:t>
      </w:r>
      <w:r>
        <w:t xml:space="preserve"> </w:t>
      </w:r>
      <w:r>
        <w:rPr>
          <w:bCs/>
          <w:b/>
        </w:rPr>
        <w:t xml:space="preserve">local prong is operationally identical to today’s pre-sharing state</w:t>
      </w:r>
      <w:r>
        <w:t xml:space="preserve">, so no currently-running workload is disrupted by adopting the 2-prong model.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mediation-plan-one-task-per-variance"/>
    <w:p>
      <w:pPr>
        <w:pStyle w:val="Heading2"/>
      </w:pPr>
      <w:r>
        <w:t xml:space="preserve">5. Remediation Plan — One Task per Variance</w:t>
      </w:r>
    </w:p>
    <w:p>
      <w:pPr>
        <w:pStyle w:val="FirstParagraph"/>
      </w:pPr>
      <w:r>
        <w:t xml:space="preserve">Sequenced so that breaking items and their gates land before dependent work.</w:t>
      </w:r>
      <w:r>
        <w:t xml:space="preserve"> </w:t>
      </w:r>
      <w:r>
        <w:t xml:space="preserve">“</w:t>
      </w:r>
      <w:r>
        <w:t xml:space="preserve">Gate</w:t>
      </w:r>
      <w:r>
        <w:t xml:space="preserve">”</w:t>
      </w:r>
      <w:r>
        <w:t xml:space="preserve"> </w:t>
      </w:r>
      <w:r>
        <w:t xml:space="preserve">= the open POC/decision that must clear before the task can be</w:t>
      </w:r>
      <w:r>
        <w:t xml:space="preserve"> </w:t>
      </w:r>
      <w:r>
        <w:rPr>
          <w:iCs/>
          <w:i/>
        </w:rPr>
        <w:t xml:space="preserve">finalised</w:t>
      </w:r>
      <w:r>
        <w:t xml:space="preserve"> </w:t>
      </w:r>
      <w:r>
        <w:t xml:space="preserve">(design can proceed in parallel).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1382"/>
        <w:gridCol w:w="1005"/>
        <w:gridCol w:w="880"/>
        <w:gridCol w:w="2640"/>
        <w:gridCol w:w="12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/ 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V-01 (B-1)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CAP-013 correction: per-CRG=100 (hard), CRG-is-unit, mandatory workload-domain sharding clause. Update any doc/POC scenario citing</w:t>
            </w:r>
            <w:r>
              <w:t xml:space="preserve"> </w:t>
            </w:r>
            <w:r>
              <w:t xml:space="preserve">“</w:t>
            </w:r>
            <w:r>
              <w:t xml:space="preserve">~100/tenant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V-02 (B-2)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 CAP-023 ownership (workload-sub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provider-sub; structure identical). Ratify</w:t>
            </w:r>
            <w:r>
              <w:t xml:space="preserve"> </w:t>
            </w:r>
            <w:r>
              <w:rPr>
                <w:bCs/>
                <w:b/>
              </w:rPr>
              <w:t xml:space="preserve">CAP-025</w:t>
            </w:r>
            <w:r>
              <w:t xml:space="preserve"> </w:t>
            </w:r>
            <w:r>
              <w:t xml:space="preserve">(provider subscription model).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V-08 (B-3)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Ratify</w:t>
            </w:r>
            <w:r>
              <w:t xml:space="preserve"> </w:t>
            </w:r>
            <w:r>
              <w:rPr>
                <w:bCs/>
                <w:b/>
              </w:rPr>
              <w:t xml:space="preserve">CAP-026</w:t>
            </w:r>
            <w:r>
              <w:t xml:space="preserve"> </w:t>
            </w:r>
            <w:r>
              <w:t xml:space="preserve">(grant lifecycle + ENV-003 grant-boundary audit). Add grant-boundary check to reconciliation loop.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+ Platform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bCs/>
                <w:b/>
              </w:rPr>
              <w:t xml:space="preserve">INV-R1</w:t>
            </w:r>
            <w:r>
              <w:t xml:space="preserve"> </w:t>
            </w:r>
            <w:r>
              <w:t xml:space="preserve">(region-selection path-agnostic) to ADR-001 principles and ADR-007 §4.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MG-scoped sharing-grant clause to CAP-013; design MG-subtree grant propagation.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the</w:t>
            </w:r>
            <w:r>
              <w:t xml:space="preserve"> </w:t>
            </w:r>
            <w:r>
              <w:rPr>
                <w:bCs/>
                <w:b/>
              </w:rPr>
              <w:t xml:space="preserve">shard registry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(domain,region,track)→provider→[CRG]</w:t>
            </w:r>
            <w:r>
              <w:t xml:space="preserve"> </w:t>
            </w:r>
            <w:r>
              <w:t xml:space="preserve">+ CRG-type flag local/shared) and the L2 resolution branch; update UML class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OD-2 (registry 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up heritage/modern</w:t>
            </w:r>
            <w:r>
              <w:t xml:space="preserve"> </w:t>
            </w:r>
            <w:r>
              <w:rPr>
                <w:bCs/>
                <w:b/>
              </w:rPr>
              <w:t xml:space="preserve">classification rules</w:t>
            </w:r>
            <w:r>
              <w:t xml:space="preserve"> </w:t>
            </w:r>
            <w:r>
              <w:t xml:space="preserve">(A-01/A-02) and the heritage-exclusion-from-sharing rule; publish remediation backlog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OD-1 (taxonomy)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OPS-006/C-12 with provider-sub + shard-counter tokens (</w:t>
            </w:r>
            <w:r>
              <w:rPr>
                <w:rStyle w:val="VerbatimChar"/>
              </w:rPr>
              <w:t xml:space="preserve">sub-&lt;org&gt;-cld-cr-&lt;track&gt;-&lt;domain&gt;-&lt;region&gt;-&lt;NN&gt;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dedicated-DR-provider-subscription position or revert to shared.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quota-scope POC; if provider-scoped, keep local-prong fallback (rollback flag already designed, ADR-007 §14.3).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Preview-acceptance sign-off or wait for GA before enabling shared prong in prod.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the 6 design docs + 3 diagrams to the dual-path model (provider/consumer split, both paths).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T-02, 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path:</w:t>
      </w:r>
      <w:r>
        <w:t xml:space="preserve"> </w:t>
      </w:r>
      <w:r>
        <w:t xml:space="preserve">T-01, T-02, T-03, T-04 (the breaking items + the invariant) must complete first — they can proceed in design now; T-02/T-03 finalise only after POC-006/DEP-001. The shared prong cannot be enabled in production until</w:t>
      </w:r>
      <w:r>
        <w:t xml:space="preserve"> </w:t>
      </w:r>
      <w:r>
        <w:rPr>
          <w:bCs/>
          <w:b/>
        </w:rPr>
        <w:t xml:space="preserve">POC-001 + DEP-001</w:t>
      </w:r>
      <w:r>
        <w:t xml:space="preserve"> </w:t>
      </w:r>
      <w:r>
        <w:t xml:space="preserve">both clear (T-10, T-11); until then the estate runs the</w:t>
      </w:r>
      <w:r>
        <w:t xml:space="preserve"> </w:t>
      </w:r>
      <w:r>
        <w:rPr>
          <w:bCs/>
          <w:b/>
        </w:rPr>
        <w:t xml:space="preserve">local prong</w:t>
      </w:r>
      <w:r>
        <w:t xml:space="preserve"> </w:t>
      </w:r>
      <w:r>
        <w:t xml:space="preserve">with zero disruption.</w:t>
      </w:r>
    </w:p>
    <w:p>
      <w:r>
        <w:pict>
          <v:rect style="width:0;height:1.5pt" o:hralign="center" o:hrstd="t" o:hr="t"/>
        </w:pict>
      </w:r>
    </w:p>
    <w:bookmarkEnd w:id="27"/>
    <w:bookmarkStart w:id="30" w:name="Xdc7860c4b0269424f7f5a919d346d41b7fcc78f"/>
    <w:p>
      <w:pPr>
        <w:pStyle w:val="Heading2"/>
      </w:pPr>
      <w:r>
        <w:t xml:space="preserve">6. Changes Needed to DESIGN (Documents &amp; Requirements)</w:t>
      </w:r>
    </w:p>
    <w:bookmarkStart w:id="28" w:name="baseline-v2.4-requirement-edits"/>
    <w:p>
      <w:pPr>
        <w:pStyle w:val="Heading3"/>
      </w:pPr>
      <w:r>
        <w:t xml:space="preserve">6.1 Baseline v2.4 — requirement edits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3334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t xml:space="preserve">“</w:t>
            </w:r>
            <w:r>
              <w:t xml:space="preserve">~100 per tenant</w:t>
            </w:r>
            <w:r>
              <w:t xml:space="preserve">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exactly 100 consumer subs per CRG (hard); CRG is the sharing unit; shard by workload domain beyond 100.</w:t>
            </w:r>
            <w:r>
              <w:t xml:space="preserve">”</w:t>
            </w:r>
            <w:r>
              <w:t xml:space="preserve"> </w:t>
            </w:r>
            <w:r>
              <w:t xml:space="preserve">Add MG-scope clause.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+ addition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 ownership: CRG owned by the workload subscription (local prong)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a provider subscription (shared prong); structure (regional + per-AZ, never-mixed) unchanged.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CAP-025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subscription model — infra-only subs own CRGs/CRs; consumers access via grants; shard registry maps scope→provider→CRGs.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CAP-026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Sharing-grant lifecycle — grant/revoke/audit + ENV-003 grant-boundary audit each reconciliation cycle.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note: in the shared prong, separation is additionally enforced at the sharing-grant boundary (not only intra-subscription).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OPS-006 / 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provider-subscription and shard-counter naming tokens.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ADR-001 / PLC-006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bCs/>
                <w:b/>
              </w:rPr>
              <w:t xml:space="preserve">INV-R1</w:t>
            </w:r>
            <w:r>
              <w:t xml:space="preserve"> </w:t>
            </w:r>
            <w:r>
              <w:t xml:space="preserve">(region selection is path-agnostic).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invariant</w:t>
            </w:r>
          </w:p>
        </w:tc>
      </w:tr>
    </w:tbl>
    <w:bookmarkEnd w:id="28"/>
    <w:bookmarkStart w:id="29" w:name="design-corpus-to-reconcile-v-13"/>
    <w:p>
      <w:pPr>
        <w:pStyle w:val="Heading3"/>
      </w:pPr>
      <w:r>
        <w:t xml:space="preserve">6.2 Design corpus to reconcile (V-13)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Reference-Material/reference/acrme_cr_crg_deployment_layout.md</w:t>
      </w:r>
      <w:r>
        <w:t xml:space="preserve"> </w:t>
      </w:r>
      <w:r>
        <w:t xml:space="preserve">(+ docx/pdf)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Reference-Material/reference/acrme_crg_cr_foundation_provisioning_plan.md</w:t>
      </w:r>
      <w:r>
        <w:t xml:space="preserve"> </w:t>
      </w:r>
      <w:r>
        <w:t xml:space="preserve">(+ docx/pdf)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Reference-Material/guides/acrme_security_and_rbac_guide.md</w:t>
      </w:r>
      <w:r>
        <w:t xml:space="preserve"> </w:t>
      </w:r>
      <w:r>
        <w:t xml:space="preserve">(provider MI ownership)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Design/acrme_uml_class_diagrams_summary.md</w:t>
      </w:r>
      <w:r>
        <w:t xml:space="preserve"> </w:t>
      </w:r>
      <w:r>
        <w:t xml:space="preserve">(shard registry + CRG-type)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Architecture/diagrams/diagram_7_*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diagram_8_*</w:t>
      </w:r>
      <w:r>
        <w:t xml:space="preserve"> </w:t>
      </w:r>
      <w:r>
        <w:t xml:space="preserve">(provider/consumer split; both paths)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POC-Test-Scripts/acrme_poc_workbook_v2_4.md</w:t>
      </w:r>
      <w:r>
        <w:t xml:space="preserve"> </w:t>
      </w:r>
      <w:r>
        <w:t xml:space="preserve">(POC-001/003/006 scenarios reflect per-CRG limit + grant scope)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02ef75ae90618601bf5e912b8016e3b95e40240"/>
    <w:p>
      <w:pPr>
        <w:pStyle w:val="Heading2"/>
      </w:pPr>
      <w:r>
        <w:t xml:space="preserve">7. Changes Needed to MEMORY (Standing Instructions / Reference Facts)</w:t>
      </w:r>
    </w:p>
    <w:p>
      <w:pPr>
        <w:pStyle w:val="FirstParagraph"/>
      </w:pPr>
      <w:r>
        <w:t xml:space="preserve">Two items warrant a memory update (offered, not auto-applied):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Stale baseline pointer (correctness fix).</w:t>
      </w:r>
      <w:r>
        <w:t xml:space="preserve"> </w:t>
      </w:r>
      <w:r>
        <w:t xml:space="preserve">The recorded ACRME standing instruction points to</w:t>
      </w:r>
      <w:r>
        <w:t xml:space="preserve"> </w:t>
      </w:r>
      <w:r>
        <w:rPr>
          <w:rStyle w:val="VerbatimChar"/>
        </w:rPr>
        <w:t xml:space="preserve">Uploads/…Consolidated Requirements Baseline.md</w:t>
      </w:r>
      <w:r>
        <w:t xml:space="preserve"> </w:t>
      </w:r>
      <w:r>
        <w:t xml:space="preserve">mirrored at</w:t>
      </w:r>
      <w:r>
        <w:t xml:space="preserve"> </w:t>
      </w:r>
      <w:r>
        <w:rPr>
          <w:rStyle w:val="VerbatimChar"/>
        </w:rPr>
        <w:t xml:space="preserve">docs/acrme_requirements_baseline_v2_2.md</w:t>
      </w:r>
      <w:r>
        <w:t xml:space="preserve">. The</w:t>
      </w:r>
      <w:r>
        <w:t xml:space="preserve"> </w:t>
      </w:r>
      <w:r>
        <w:rPr>
          <w:bCs/>
          <w:b/>
        </w:rPr>
        <w:t xml:space="preserve">current authoritative source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Requirements/acrme_requirements_baseline_v2_4.md</w:t>
      </w:r>
      <w:r>
        <w:t xml:space="preserve"> </w:t>
      </w:r>
      <w:r>
        <w:t xml:space="preserve">(v2.4, 7 Sep 2026). The pointer should be updated so future work re-reads v2.4, not v2.2.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New reference fact (2-prong model canon).</w:t>
      </w:r>
      <w:r>
        <w:t xml:space="preserve"> </w:t>
      </w:r>
      <w:r>
        <w:t xml:space="preserve">Optionally record: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ACRME CRG deployment = ONE unified structural model (CAP-023) with TWO access paths — shared (provider-subscription-owned CRGs, modern/remediated subs) and local (consumer-owned CRGs, un-remediated heritage). Region selection is path-agnostic (INV-R1). Shared prong is gated on POC-001 + DEP-001.</w:t>
      </w:r>
      <w:r>
        <w:rPr>
          <w:iCs/>
          <w:i/>
        </w:rPr>
        <w:t xml:space="preserve">”</w:t>
      </w:r>
      <w:r>
        <w:t xml:space="preserve"> </w:t>
      </w:r>
      <w:r>
        <w:t xml:space="preserve">This prevents the recurring</w:t>
      </w:r>
      <w:r>
        <w:t xml:space="preserve"> </w:t>
      </w:r>
      <w:r>
        <w:t xml:space="preserve">“</w:t>
      </w:r>
      <w:r>
        <w:t xml:space="preserve">two models</w:t>
      </w:r>
      <w:r>
        <w:t xml:space="preserve">”</w:t>
      </w:r>
      <w:r>
        <w:t xml:space="preserve"> </w:t>
      </w:r>
      <w:r>
        <w:t xml:space="preserve">misframing.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proposed</w:t>
      </w:r>
      <w:r>
        <w:t xml:space="preserve">; I will apply them only on your say-so.</w:t>
      </w:r>
    </w:p>
    <w:p>
      <w:r>
        <w:pict>
          <v:rect style="width:0;height:1.5pt" o:hralign="center" o:hrstd="t" o:hr="t"/>
        </w:pict>
      </w:r>
    </w:p>
    <w:bookmarkEnd w:id="31"/>
    <w:bookmarkStart w:id="32" w:name="open-decisions-introduced-reaffirmed"/>
    <w:p>
      <w:pPr>
        <w:pStyle w:val="Heading2"/>
      </w:pPr>
      <w:r>
        <w:t xml:space="preserve">8. Open Decisions Introduced / Reaffirmed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6"/>
        <w:gridCol w:w="2140"/>
        <w:gridCol w:w="3424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interpretation (B) one-model/two-paths vs (A) two parallel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would impact region selection and expand V-05/V-07/V-14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Shard-registry system of record (config repo vs platform DB vs ARG-derived)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T-06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vs shared DR provider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POC-006; affects T-02/T-09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Break-glass path when sharing grant fails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of the shared prong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ummary"/>
    <w:p>
      <w:pPr>
        <w:pStyle w:val="Heading2"/>
      </w:pPr>
      <w:r>
        <w:t xml:space="preserve">9. Summary</w:t>
      </w:r>
    </w:p>
    <w:p>
      <w:pPr>
        <w:numPr>
          <w:ilvl w:val="0"/>
          <w:numId w:val="1007"/>
        </w:numPr>
        <w:pStyle w:val="Compact"/>
      </w:pPr>
      <w:r>
        <w:t xml:space="preserve">The 2-prong model is</w:t>
      </w:r>
      <w:r>
        <w:t xml:space="preserve"> </w:t>
      </w:r>
      <w:r>
        <w:rPr>
          <w:bCs/>
          <w:b/>
        </w:rPr>
        <w:t xml:space="preserve">one unified structural model with two access paths</w:t>
      </w:r>
      <w:r>
        <w:t xml:space="preserve"> </w:t>
      </w:r>
      <w:r>
        <w:t xml:space="preserve">— it is</w:t>
      </w:r>
      <w:r>
        <w:t xml:space="preserve"> </w:t>
      </w:r>
      <w:r>
        <w:t xml:space="preserve">“</w:t>
      </w:r>
      <w:r>
        <w:t xml:space="preserve">modern-focused</w:t>
      </w:r>
      <w:r>
        <w:t xml:space="preserve">”</w:t>
      </w:r>
      <w:r>
        <w:t xml:space="preserve"> </w:t>
      </w:r>
      <w:r>
        <w:t xml:space="preserve">(shared prong is the strategic default) with a</w:t>
      </w:r>
      <w:r>
        <w:t xml:space="preserve"> </w:t>
      </w:r>
      <w:r>
        <w:rPr>
          <w:bCs/>
          <w:b/>
        </w:rPr>
        <w:t xml:space="preserve">non-disruptive local prong</w:t>
      </w:r>
      <w:r>
        <w:t xml:space="preserve"> </w:t>
      </w:r>
      <w:r>
        <w:t xml:space="preserve">for heritage. It</w:t>
      </w:r>
      <w:r>
        <w:t xml:space="preserve"> </w:t>
      </w:r>
      <w:r>
        <w:rPr>
          <w:bCs/>
          <w:b/>
        </w:rPr>
        <w:t xml:space="preserve">does not add complexity to region selection</w:t>
      </w:r>
      <w:r>
        <w:t xml:space="preserve"> </w:t>
      </w:r>
      <w:r>
        <w:t xml:space="preserve">(guaranteed by INV-R1).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13 variances</w:t>
      </w:r>
      <w:r>
        <w:t xml:space="preserve"> </w:t>
      </w:r>
      <w:r>
        <w:t xml:space="preserve">identified.</w:t>
      </w:r>
      <w:r>
        <w:t xml:space="preserve"> </w:t>
      </w:r>
      <w:r>
        <w:rPr>
          <w:bCs/>
          <w:b/>
        </w:rPr>
        <w:t xml:space="preserve">Only 3 genuinely break</w:t>
      </w:r>
      <w:r>
        <w:t xml:space="preserve"> </w:t>
      </w:r>
      <w:r>
        <w:t xml:space="preserve">existing design:</w:t>
      </w:r>
      <w:r>
        <w:t xml:space="preserve"> </w:t>
      </w:r>
      <w:r>
        <w:rPr>
          <w:bCs/>
          <w:b/>
        </w:rPr>
        <w:t xml:space="preserve">B-1</w:t>
      </w:r>
      <w:r>
        <w:t xml:space="preserve"> </w:t>
      </w:r>
      <w:r>
        <w:t xml:space="preserve">CAP-013 limit semantics,</w:t>
      </w:r>
      <w:r>
        <w:t xml:space="preserve"> </w:t>
      </w:r>
      <w:r>
        <w:rPr>
          <w:bCs/>
          <w:b/>
        </w:rPr>
        <w:t xml:space="preserve">B-2</w:t>
      </w:r>
      <w:r>
        <w:t xml:space="preserve"> </w:t>
      </w:r>
      <w:r>
        <w:t xml:space="preserve">CRG ownership locus vs CAP-023,</w:t>
      </w:r>
      <w:r>
        <w:t xml:space="preserve"> </w:t>
      </w:r>
      <w:r>
        <w:rPr>
          <w:bCs/>
          <w:b/>
        </w:rPr>
        <w:t xml:space="preserve">B-3</w:t>
      </w:r>
      <w:r>
        <w:t xml:space="preserve"> </w:t>
      </w:r>
      <w:r>
        <w:t xml:space="preserve">ENV-003 enforcement surface. Each has a specific, bounded fix (T-01/T-02/T-03).</w:t>
      </w:r>
    </w:p>
    <w:p>
      <w:pPr>
        <w:numPr>
          <w:ilvl w:val="0"/>
          <w:numId w:val="1007"/>
        </w:numPr>
        <w:pStyle w:val="Compact"/>
      </w:pPr>
      <w:r>
        <w:t xml:space="preserve">Everything else is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(new capability) or</w:t>
      </w:r>
      <w:r>
        <w:t xml:space="preserve"> </w:t>
      </w:r>
      <w:r>
        <w:rPr>
          <w:bCs/>
          <w:b/>
        </w:rPr>
        <w:t xml:space="preserve">doc reconciliation</w:t>
      </w:r>
      <w:r>
        <w:t xml:space="preserve">.</w:t>
      </w:r>
      <w:r>
        <w:t xml:space="preserve"> </w:t>
      </w:r>
      <w:r>
        <w:rPr>
          <w:bCs/>
          <w:b/>
        </w:rPr>
        <w:t xml:space="preserve">No running workload is disrupted</w:t>
      </w:r>
      <w:r>
        <w:t xml:space="preserve"> </w:t>
      </w:r>
      <w:r>
        <w:t xml:space="preserve">— the local prong equals today’s behaviour.</w:t>
      </w:r>
    </w:p>
    <w:p>
      <w:pPr>
        <w:numPr>
          <w:ilvl w:val="0"/>
          <w:numId w:val="1007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shared prong is not production-safe until POC-001 (quota) and DEP-001 (Preview→GA) clear</w:t>
      </w:r>
      <w:r>
        <w:t xml:space="preserve">; design proceeds now, production enablement waits on those gates.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Memory:</w:t>
      </w:r>
      <w:r>
        <w:t xml:space="preserve"> </w:t>
      </w:r>
      <w:r>
        <w:t xml:space="preserve">the recorded baseline pointer is stale (v2.2 → should be v2.4) — recommend updating.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2026-09-09T14:59:56Z</dcterms:created>
  <dcterms:modified xsi:type="dcterms:W3CDTF">2026-09-09T14:59:56Z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