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a5c595c41b03a100a1027a4854076aa7a74f165"/>
    <w:p>
      <w:pPr>
        <w:pStyle w:val="Heading1"/>
      </w:pPr>
      <w:r>
        <w:t xml:space="preserve">ACRME Region Selection — Interactive Mockup: Design Plan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— Awaiting Approval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2026-09-21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ACRME Design Session</w:t>
      </w:r>
      <w:r>
        <w:br/>
      </w:r>
      <w:r>
        <w:rPr>
          <w:bCs/>
          <w:b/>
        </w:rPr>
        <w:t xml:space="preserve">Sources:</w:t>
      </w:r>
      <w:r>
        <w:t xml:space="preserve"> </w:t>
      </w:r>
      <w:r>
        <w:rPr>
          <w:rStyle w:val="VerbatimChar"/>
        </w:rPr>
        <w:t xml:space="preserve">acrme_calculation_logic_comprehensive_walkthrough.md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acrme_requirements_baseline_v2_4.md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acrme_plain_english_walkthrough.md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plan defines an</w:t>
      </w:r>
      <w:r>
        <w:t xml:space="preserve"> </w:t>
      </w:r>
      <w:r>
        <w:rPr>
          <w:bCs/>
          <w:b/>
        </w:rPr>
        <w:t xml:space="preserve">interactive functional prototype</w:t>
      </w:r>
      <w:r>
        <w:t xml:space="preserve"> </w:t>
      </w:r>
      <w:r>
        <w:t xml:space="preserve">of the ACRME Region Selection engine. It is not a design wireframe — it is a working simulation backed by mock data that faithfully reproduces:</w:t>
      </w:r>
    </w:p>
    <w:p>
      <w:pPr>
        <w:numPr>
          <w:ilvl w:val="0"/>
          <w:numId w:val="1001"/>
        </w:numPr>
        <w:pStyle w:val="Compact"/>
      </w:pPr>
      <w:r>
        <w:t xml:space="preserve">The Hard Constraint Gate (HC-1..HC-10 subset, arithmetic-critical ones)</w:t>
      </w:r>
    </w:p>
    <w:p>
      <w:pPr>
        <w:numPr>
          <w:ilvl w:val="0"/>
          <w:numId w:val="1001"/>
        </w:numPr>
        <w:pStyle w:val="Compact"/>
      </w:pPr>
      <w:r>
        <w:t xml:space="preserve">All three placement scoring formulas (PS_Prod, PS_NonProd, PS_DR)</w:t>
      </w:r>
    </w:p>
    <w:p>
      <w:pPr>
        <w:numPr>
          <w:ilvl w:val="0"/>
          <w:numId w:val="1001"/>
        </w:numPr>
        <w:pStyle w:val="Compact"/>
      </w:pPr>
      <w:r>
        <w:t xml:space="preserve">The sequential Prod → CVAL → DR selection logic</w:t>
      </w:r>
    </w:p>
    <w:p>
      <w:pPr>
        <w:numPr>
          <w:ilvl w:val="0"/>
          <w:numId w:val="1001"/>
        </w:numPr>
        <w:pStyle w:val="Compact"/>
      </w:pPr>
      <w:r>
        <w:t xml:space="preserve">The geography distribution models (3-region US, 2-region co-located EU/AU/APAC, Middle East cross-geo DR)</w:t>
      </w:r>
    </w:p>
    <w:p>
      <w:pPr>
        <w:numPr>
          <w:ilvl w:val="0"/>
          <w:numId w:val="1001"/>
        </w:numPr>
        <w:pStyle w:val="Compact"/>
      </w:pPr>
      <w:r>
        <w:t xml:space="preserve">The DR max-not-sum sizing model (A.6, DR-017)</w:t>
      </w:r>
    </w:p>
    <w:p>
      <w:pPr>
        <w:pStyle w:val="FirstParagraph"/>
      </w:pPr>
      <w:r>
        <w:t xml:space="preserve">The tool’s primary purpose is to</w:t>
      </w:r>
      <w:r>
        <w:t xml:space="preserve"> </w:t>
      </w:r>
      <w:r>
        <w:rPr>
          <w:bCs/>
          <w:b/>
        </w:rPr>
        <w:t xml:space="preserve">validate and communicate the algorithm</w:t>
      </w:r>
      <w:r>
        <w:t xml:space="preserve"> </w:t>
      </w:r>
      <w:r>
        <w:t xml:space="preserve">— enabling the team to test edge cases, tune weights, and demonstrate the selection logic without needing a live Azure environment.</w:t>
      </w:r>
    </w:p>
    <w:p>
      <w:r>
        <w:pict>
          <v:rect style="width:0;height:1.5pt" o:hralign="center" o:hrstd="t" o:hr="t"/>
        </w:pict>
      </w:r>
    </w:p>
    <w:bookmarkEnd w:id="20"/>
    <w:bookmarkStart w:id="23" w:name="requirements"/>
    <w:p>
      <w:pPr>
        <w:pStyle w:val="Heading2"/>
      </w:pPr>
      <w:r>
        <w:t xml:space="preserve">1. Requirements</w:t>
      </w:r>
    </w:p>
    <w:bookmarkStart w:id="21" w:name="functional-requirements"/>
    <w:p>
      <w:pPr>
        <w:pStyle w:val="Heading3"/>
      </w:pPr>
      <w:r>
        <w:t xml:space="preserve">1.1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selects a geography and a customer SKU + VM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optionally supply an exact Prod region (default path) or leave it to engine selection (exception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runs HC-3, HC-6, HC-7 gates on every candidate region — displays pass/fail per constraint per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scores all HC-passing candidates with PS_Prod, PS_NonProd, PS_DR — shows each component value (α, β, γ, δ, ε) and weighted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selects CVAL and DR regions via argmax after Prod is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shows final placement as a</w:t>
            </w:r>
            <w:r>
              <w:t xml:space="preserve"> </w:t>
            </w:r>
            <w:r>
              <w:rPr>
                <w:rStyle w:val="VerbatimChar"/>
              </w:rPr>
              <w:t xml:space="preserve">CustomerSeedRecord</w:t>
            </w:r>
            <w:r>
              <w:t xml:space="preserve"> </w:t>
            </w:r>
            <w:r>
              <w:t xml:space="preserve">(Prod / CVAL / 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displays readiness state: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QUOTA_DEFICIT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CAPACITY_UNAVAILABLE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edit scoring weights (α, β, γ, δ, ε) in a policy panel; tool enforces sum = 1.0 (±0.001) and re-scores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highlights which factor most influenced the winning region (</w:t>
            </w:r>
            <w:r>
              <w:t xml:space="preserve">“</w:t>
            </w:r>
            <w:r>
              <w:t xml:space="preserve">α headroom drove this choice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data is editable (region snapshot values) — changes re-trigger the full scoring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supports all five geographies: US (3-region), EU, AU, APAC, ME (with cross-geo 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surface the</w:t>
            </w:r>
            <w:r>
              <w:t xml:space="preserve"> </w:t>
            </w:r>
            <w:r>
              <w:rPr>
                <w:rStyle w:val="VerbatimChar"/>
              </w:rPr>
              <w:t xml:space="preserve">total_customers</w:t>
            </w:r>
            <w:r>
              <w:t xml:space="preserve"> </w:t>
            </w:r>
            <w:r>
              <w:t xml:space="preserve">design gap with a selectable denominator mode</w:t>
            </w:r>
          </w:p>
        </w:tc>
      </w:tr>
    </w:tbl>
    <w:bookmarkEnd w:id="21"/>
    <w:bookmarkStart w:id="22" w:name="non-functional-requirements"/>
    <w:p>
      <w:pPr>
        <w:pStyle w:val="Heading3"/>
      </w:pPr>
      <w:r>
        <w:t xml:space="preserve">1.2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formulas implemented exactly as specified in baseline — no approximations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clamped to [0, 1] before weighting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Displayed arithmetic should be reproducible from the visible input values — no hidden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is a simulation only — no calls to Azure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editable via UI panel — config-driven as the baseline specifies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2" w:name="mock-data-model"/>
    <w:p>
      <w:pPr>
        <w:pStyle w:val="Heading2"/>
      </w:pPr>
      <w:r>
        <w:t xml:space="preserve">2. Mock Data Model</w:t>
      </w:r>
    </w:p>
    <w:bookmarkStart w:id="24" w:name="geography-registry"/>
    <w:p>
      <w:pPr>
        <w:pStyle w:val="Heading3"/>
      </w:pPr>
      <w:r>
        <w:t xml:space="preserve">2.1 Geography Registry</w:t>
      </w:r>
    </w:p>
    <w:p>
      <w:pPr>
        <w:pStyle w:val="FirstParagraph"/>
      </w:pPr>
      <w:r>
        <w:t xml:space="preserve">The five in-scope geographies (REG-001, PLC-010a, PLC-010b):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 · Central US ·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 co-located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·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 co-located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 · 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 co-located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·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 cross-geo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 · 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→ EU (weighted)</w:t>
            </w:r>
          </w:p>
        </w:tc>
      </w:tr>
    </w:tbl>
    <w:bookmarkEnd w:id="24"/>
    <w:bookmarkStart w:id="25" w:name="regional-snapshot-schema"/>
    <w:p>
      <w:pPr>
        <w:pStyle w:val="Heading3"/>
      </w:pPr>
      <w:r>
        <w:t xml:space="preserve">2.2 Regional Snapshot Schema</w:t>
      </w:r>
    </w:p>
    <w:p>
      <w:pPr>
        <w:pStyle w:val="FirstParagraph"/>
      </w:pPr>
      <w:r>
        <w:t xml:space="preserve">Each region carries the following snapshot fields (the engine’s runtime inputs — all editable in the mockup):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RegionSnapshot {</w:t>
      </w:r>
      <w:r>
        <w:br/>
      </w:r>
      <w:r>
        <w:rPr>
          <w:rStyle w:val="NormalTok"/>
        </w:rPr>
        <w:t xml:space="preserve">  region_id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e.g. "westus3"</w:t>
      </w:r>
      <w:r>
        <w:br/>
      </w:r>
      <w:r>
        <w:rPr>
          <w:rStyle w:val="NormalTok"/>
        </w:rPr>
        <w:t xml:space="preserve">  region_name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e.g. "West US 3"</w:t>
      </w:r>
      <w:r>
        <w:br/>
      </w:r>
      <w:r>
        <w:rPr>
          <w:rStyle w:val="NormalTok"/>
        </w:rPr>
        <w:t xml:space="preserve">  geography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Geography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az_count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2 or 3 (ε component)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Prod CRG</w:t>
      </w:r>
      <w:r>
        <w:br/>
      </w:r>
      <w:r>
        <w:rPr>
          <w:rStyle w:val="NormalTok"/>
        </w:rPr>
        <w:t xml:space="preserve">  prod_crg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total reserved vCPU (α denominator for PS_Prod)</w:t>
      </w:r>
      <w:r>
        <w:br/>
      </w:r>
      <w:r>
        <w:rPr>
          <w:rStyle w:val="NormalTok"/>
        </w:rPr>
        <w:t xml:space="preserve">    allocated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vCPU in use by running VMs</w:t>
      </w:r>
      <w:r>
        <w:br/>
      </w:r>
      <w:r>
        <w:rPr>
          <w:rStyle w:val="NormalTok"/>
        </w:rPr>
        <w:t xml:space="preserve">    free_slots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quantity - allocated</w:t>
      </w:r>
      <w:r>
        <w:br/>
      </w:r>
      <w:r>
        <w:rPr>
          <w:rStyle w:val="NormalTok"/>
        </w:rPr>
        <w:t xml:space="preserve">    quota_limit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subscription vCPU cap (β denominator)</w:t>
      </w:r>
      <w:r>
        <w:br/>
      </w:r>
      <w:r>
        <w:rPr>
          <w:rStyle w:val="NormalTok"/>
        </w:rPr>
        <w:t xml:space="preserve">    quota_headroom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quota_limit - current_usage (β numerator)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NonProd CRG</w:t>
      </w:r>
      <w:r>
        <w:br/>
      </w:r>
      <w:r>
        <w:rPr>
          <w:rStyle w:val="NormalTok"/>
        </w:rPr>
        <w:t xml:space="preserve">  nonprod_crg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allocated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effective_free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free after DR overflow reserve is deducted</w:t>
      </w:r>
      <w:r>
        <w:br/>
      </w:r>
      <w:r>
        <w:rPr>
          <w:rStyle w:val="NormalTok"/>
        </w:rPr>
        <w:t xml:space="preserve">    quota_used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quota_limit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quota_headroom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 CRG (max-not-sum sized)</w:t>
      </w:r>
      <w:r>
        <w:br/>
      </w:r>
      <w:r>
        <w:rPr>
          <w:rStyle w:val="NormalTok"/>
        </w:rPr>
        <w:t xml:space="preserve">  dr_crg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max-not-sum of source workloads' vCPU</w:t>
      </w:r>
      <w:r>
        <w:br/>
      </w:r>
      <w:r>
        <w:rPr>
          <w:rStyle w:val="NormalTok"/>
        </w:rPr>
        <w:t xml:space="preserve">    free_slots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usable standby capacity</w:t>
      </w:r>
      <w:r>
        <w:br/>
      </w:r>
      <w:r>
        <w:rPr>
          <w:rStyle w:val="NormalTok"/>
        </w:rPr>
        <w:t xml:space="preserve">    coverage_ratio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δ component (clamped [0,1])</w:t>
      </w:r>
      <w:r>
        <w:br/>
      </w:r>
      <w:r>
        <w:rPr>
          <w:rStyle w:val="NormalTok"/>
        </w:rPr>
        <w:t xml:space="preserve">    bootstrap_qty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HC-6 floor: min dr_crg.free + nonprod_eff_free</w:t>
      </w:r>
      <w:r>
        <w:br/>
      </w:r>
      <w:r>
        <w:rPr>
          <w:rStyle w:val="NormalTok"/>
        </w:rPr>
        <w:t xml:space="preserve">    dr_coverage_target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scoring-only normalization (not a sizing ratio)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Customer distribution</w:t>
      </w:r>
      <w:r>
        <w:br/>
      </w:r>
      <w:r>
        <w:rPr>
          <w:rStyle w:val="NormalTok"/>
        </w:rPr>
        <w:t xml:space="preserve">  prod_customer_count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γ numerator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total_customers is geography-scoped (see Section 2.5)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Minimum floors (HC-3 absolute minimums)</w:t>
      </w:r>
      <w:r>
        <w:br/>
      </w:r>
      <w:r>
        <w:rPr>
          <w:rStyle w:val="NormalTok"/>
        </w:rPr>
        <w:t xml:space="preserve">  min_prod_headroom_vcpu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 20</w:t>
      </w:r>
      <w:r>
        <w:br/>
      </w:r>
      <w:r>
        <w:rPr>
          <w:rStyle w:val="NormalTok"/>
        </w:rPr>
        <w:t xml:space="preserve">  min_nonprod_headroom_vcpu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20</w:t>
      </w:r>
      <w:r>
        <w:br/>
      </w:r>
      <w:r>
        <w:rPr>
          <w:rStyle w:val="NormalTok"/>
        </w:rPr>
        <w:t xml:space="preserve">  min_dr_headroom_vcpu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 16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ock-region-data-us-geography"/>
    <w:p>
      <w:pPr>
        <w:pStyle w:val="Heading3"/>
      </w:pPr>
      <w:r>
        <w:t xml:space="preserve">2.3 Mock Region Data — US Geography</w:t>
      </w:r>
    </w:p>
    <w:p>
      <w:pPr>
        <w:pStyle w:val="FirstParagraph"/>
      </w:pPr>
      <w:r>
        <w:t xml:space="preserve">Pre-loaded starter values (derived from the comprehensive walkthrough document):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prod_crg.free_slots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nonprod_crg.effective_free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nonprod_crg.quota_headroom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nonprod_crg.quota_used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dr_crg.free_slots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dr_crg.coverage_ratio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dr_crg.bootstrap_qty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dr_crg.dr_coverage_target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prod_customer_count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bookmarkEnd w:id="26"/>
    <w:bookmarkStart w:id="27" w:name="mock-region-data-eu-geography"/>
    <w:p>
      <w:pPr>
        <w:pStyle w:val="Heading3"/>
      </w:pPr>
      <w:r>
        <w:t xml:space="preserve">2.4 Mock Region Data — EU Geography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nonprod_crg.effective_free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nonprod_crg.quota_headroom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dr_crg.free_slots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dr_crg.coverage_ratio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dr_crg.bootstrap_qty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prod_customer_count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27"/>
    <w:bookmarkStart w:id="28" w:name="Xae0dfb1ba65306b8d901185c13d68f5f0ce4e88"/>
    <w:p>
      <w:pPr>
        <w:pStyle w:val="Heading3"/>
      </w:pPr>
      <w:r>
        <w:t xml:space="preserve">2.5 Mock Region Data — Middle East + EU DR Destination</w:t>
      </w:r>
    </w:p>
    <w:p>
      <w:pPr>
        <w:pStyle w:val="FirstParagraph"/>
      </w:pPr>
      <w:r>
        <w:t xml:space="preserve">Middle East regions carry their own snapshot (Prod/CVAL only — DR goes cross-geo):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prod_customer_count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For Middle East DR: the tool runs PS_DR scoring over the</w:t>
      </w:r>
      <w:r>
        <w:t xml:space="preserve"> </w:t>
      </w:r>
      <w:r>
        <w:rPr>
          <w:bCs/>
          <w:b/>
        </w:rPr>
        <w:t xml:space="preserve">EU Standard regions</w:t>
      </w:r>
      <w:r>
        <w:t xml:space="preserve"> </w:t>
      </w:r>
      <w:r>
        <w:t xml:space="preserve">(Switzerland North · Sweden Central) as cross-geo DR candidates (PLC-010b, DR-020).</w:t>
      </w:r>
    </w:p>
    <w:bookmarkEnd w:id="28"/>
    <w:bookmarkStart w:id="29" w:name="X3ab269bf40e342689f8cb62c72a176713ab2ffc"/>
    <w:p>
      <w:pPr>
        <w:pStyle w:val="Heading3"/>
      </w:pPr>
      <w:r>
        <w:t xml:space="preserve">2.6 Australia and Asia Pacific — Default Starter Values</w:t>
      </w:r>
    </w:p>
    <w:p>
      <w:pPr>
        <w:pStyle w:val="FirstParagraph"/>
      </w:pPr>
      <w:r>
        <w:t xml:space="preserve">Both follow the same 2-region co-location pattern as EU. Pre-loaded with symmetric starter values (quantity=150, quota_limit=500, moderate utilization ~50%, 2–4 customers). These are illustrative and fully editable.</w:t>
      </w:r>
    </w:p>
    <w:bookmarkEnd w:id="29"/>
    <w:bookmarkStart w:id="30" w:name="sku-registry"/>
    <w:p>
      <w:pPr>
        <w:pStyle w:val="Heading3"/>
      </w:pPr>
      <w:r>
        <w:t xml:space="preserve">2.7 SKU Registry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 per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E16ads_v5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0"/>
    <w:bookmarkStart w:id="31" w:name="X23662decf468233dfb524909d6e2e75274a2d30"/>
    <w:p>
      <w:pPr>
        <w:pStyle w:val="Heading3"/>
      </w:pPr>
      <w:r>
        <w:t xml:space="preserve">2.8 The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Design Gap — UI Treatment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denominator in the γ component is</w:t>
      </w:r>
      <w:r>
        <w:t xml:space="preserve"> </w:t>
      </w:r>
      <w:r>
        <w:rPr>
          <w:bCs/>
          <w:b/>
        </w:rPr>
        <w:t xml:space="preserve">undefined in the baseline</w:t>
      </w:r>
      <w:r>
        <w:t xml:space="preserve"> </w:t>
      </w:r>
      <w:r>
        <w:t xml:space="preserve">(documented open issue in all three source documents). The mockup exposes this ambiguity explicitly and gives the user a chooser: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geography total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prod_customer_count</w:t>
            </w:r>
            <w:r>
              <w:t xml:space="preserve"> </w:t>
            </w:r>
            <w:r>
              <w:t xml:space="preserve">across all Standard regions in the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with every new placement; derived from snapshot — no external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integer (e.g. 20 for US, 15 for 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target; represents maximum intended customers per geography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types a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reproducing the walkthrough examples exactly</w:t>
            </w:r>
          </w:p>
        </w:tc>
      </w:tr>
    </w:tbl>
    <w:p>
      <w:pPr>
        <w:pStyle w:val="BodyText"/>
      </w:pPr>
      <w:r>
        <w:t xml:space="preserve">A yellow annotation in the UI labels γ calculations with a footnote: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⚠ total_customers is an unresolved design term — see baseline open issue.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formulas-to-implement"/>
    <w:p>
      <w:pPr>
        <w:pStyle w:val="Heading2"/>
      </w:pPr>
      <w:r>
        <w:t xml:space="preserve">3. Formulas to Implement</w:t>
      </w:r>
    </w:p>
    <w:bookmarkStart w:id="33" w:name="ps_prodr-production-placement-score"/>
    <w:p>
      <w:pPr>
        <w:pStyle w:val="Heading3"/>
      </w:pPr>
      <w:r>
        <w:t xml:space="preserve">3.1 PS_Prod(r) — Production Placement Score</w:t>
      </w:r>
    </w:p>
    <w:p>
      <w:pPr>
        <w:pStyle w:val="SourceCode"/>
      </w:pPr>
      <w:r>
        <w:rPr>
          <w:rStyle w:val="VerbatimChar"/>
        </w:rPr>
        <w:t xml:space="preserve">α_component = Clamp(nonprod_crg.effective_free / prod_crg.quantity)</w:t>
      </w:r>
      <w:r>
        <w:br/>
      </w:r>
      <w:r>
        <w:rPr>
          <w:rStyle w:val="VerbatimChar"/>
        </w:rPr>
        <w:t xml:space="preserve">β_component = Clamp(prod_crg.quota_headroom / prod_crg.quota_limit)</w:t>
      </w:r>
      <w:r>
        <w:br/>
      </w:r>
      <w:r>
        <w:rPr>
          <w:rStyle w:val="VerbatimChar"/>
        </w:rPr>
        <w:t xml:space="preserve">γ_component = Clamp(1 − prod_customer_count / total_customers)</w:t>
      </w:r>
      <w:r>
        <w:br/>
      </w:r>
      <w:r>
        <w:rPr>
          <w:rStyle w:val="VerbatimChar"/>
        </w:rPr>
        <w:t xml:space="preserve">δ_component = Clamp(dr_crg.coverage_ratio)</w:t>
      </w:r>
      <w:r>
        <w:br/>
      </w:r>
      <w:r>
        <w:rPr>
          <w:rStyle w:val="VerbatimChar"/>
        </w:rPr>
        <w:t xml:space="preserve">ε_component = Clamp(az_count / 3)</w:t>
      </w:r>
      <w:r>
        <w:br/>
      </w:r>
      <w:r>
        <w:br/>
      </w:r>
      <w:r>
        <w:rPr>
          <w:rStyle w:val="VerbatimChar"/>
        </w:rPr>
        <w:t xml:space="preserve">PS_Prod(r) = α×α_component + β×β_component + γ×γ_component + δ×δ_component + ε×ε_component</w:t>
      </w:r>
    </w:p>
    <w:bookmarkEnd w:id="33"/>
    <w:bookmarkStart w:id="34" w:name="ps_nonprodr-cvalnonprod-placement-score"/>
    <w:p>
      <w:pPr>
        <w:pStyle w:val="Heading3"/>
      </w:pPr>
      <w:r>
        <w:t xml:space="preserve">3.2 PS_NonProd(r) — CVAL/NonProd Placement Score</w:t>
      </w:r>
    </w:p>
    <w:p>
      <w:pPr>
        <w:pStyle w:val="SourceCode"/>
      </w:pPr>
      <w:r>
        <w:rPr>
          <w:rStyle w:val="VerbatimChar"/>
        </w:rPr>
        <w:t xml:space="preserve">α_component = Clamp(nonprod_crg.effective_free / nonprod_crg.quantity)</w:t>
      </w:r>
      <w:r>
        <w:br/>
      </w:r>
      <w:r>
        <w:rPr>
          <w:rStyle w:val="VerbatimChar"/>
        </w:rPr>
        <w:t xml:space="preserve">β_component = Clamp(nonprod_crg.quota_headroom / nonprod_crg.quota_limit)  [reuse NonProd quota pool]</w:t>
      </w:r>
      <w:r>
        <w:br/>
      </w:r>
      <w:r>
        <w:rPr>
          <w:rStyle w:val="VerbatimChar"/>
        </w:rPr>
        <w:t xml:space="preserve">γ_component = Clamp(1 − prod_customer_count / total_customers)             [same γ — known design gap]</w:t>
      </w:r>
      <w:r>
        <w:br/>
      </w:r>
      <w:r>
        <w:rPr>
          <w:rStyle w:val="VerbatimChar"/>
        </w:rPr>
        <w:t xml:space="preserve">δ_component = Clamp(nonprod_crg.effective_free / nonprod_crg.quantity)     [duplicate of α — known design gap]</w:t>
      </w:r>
      <w:r>
        <w:br/>
      </w:r>
      <w:r>
        <w:rPr>
          <w:rStyle w:val="VerbatimChar"/>
        </w:rPr>
        <w:t xml:space="preserve">ε_component = Clamp(az_count / 3)</w:t>
      </w:r>
      <w:r>
        <w:br/>
      </w:r>
      <w:r>
        <w:br/>
      </w:r>
      <w:r>
        <w:rPr>
          <w:rStyle w:val="VerbatimChar"/>
        </w:rPr>
        <w:t xml:space="preserve">PS_NonProd(r) = α×α_component + β×β_component + γ×γ_component + δ×δ_component + ε×ε_component</w:t>
      </w:r>
    </w:p>
    <w:p>
      <w:pPr>
        <w:pStyle w:val="BlockText"/>
      </w:pPr>
      <w:r>
        <w:rPr>
          <w:bCs/>
          <w:b/>
        </w:rPr>
        <w:t xml:space="preserve">Design gap (surfaced in UI):</w:t>
      </w:r>
      <w:r>
        <w:t xml:space="preserve"> </w:t>
      </w:r>
      <w:r>
        <w:t xml:space="preserve">For PS_NonProd, the δ component duplicates α (both use nonprod_crg.effective_free / quantity). The plain-english walkthrough flags this as</w:t>
      </w:r>
      <w:r>
        <w:t xml:space="preserve"> </w:t>
      </w:r>
      <w:r>
        <w:t xml:space="preserve">“</w:t>
      </w:r>
      <w:r>
        <w:t xml:space="preserve">duplicate of α in design-of-record.</w:t>
      </w:r>
      <w:r>
        <w:t xml:space="preserve">”</w:t>
      </w:r>
      <w:r>
        <w:t xml:space="preserve"> </w:t>
      </w:r>
      <w:r>
        <w:t xml:space="preserve">The mockup displays a note alongside the δ row.</w:t>
      </w:r>
    </w:p>
    <w:bookmarkEnd w:id="34"/>
    <w:bookmarkStart w:id="35" w:name="ps_drr-dr-placement-score"/>
    <w:p>
      <w:pPr>
        <w:pStyle w:val="Heading3"/>
      </w:pPr>
      <w:r>
        <w:t xml:space="preserve">3.3 PS_DR(r) — DR Placement Score</w:t>
      </w:r>
    </w:p>
    <w:p>
      <w:pPr>
        <w:pStyle w:val="SourceCode"/>
      </w:pPr>
      <w:r>
        <w:rPr>
          <w:rStyle w:val="VerbatimChar"/>
        </w:rPr>
        <w:t xml:space="preserve">α_component = Clamp(dr_crg.free_slots / dr_crg.quantity)</w:t>
      </w:r>
      <w:r>
        <w:br/>
      </w:r>
      <w:r>
        <w:rPr>
          <w:rStyle w:val="VerbatimChar"/>
        </w:rPr>
        <w:t xml:space="preserve">β_component = Clamp(dr_crg_quota_headroom / dr_quota_limit)</w:t>
      </w:r>
      <w:r>
        <w:br/>
      </w:r>
      <w:r>
        <w:rPr>
          <w:rStyle w:val="VerbatimChar"/>
        </w:rPr>
        <w:t xml:space="preserve">γ_component = Clamp(1 − prod_customer_count / total_customers)</w:t>
      </w:r>
      <w:r>
        <w:br/>
      </w:r>
      <w:r>
        <w:rPr>
          <w:rStyle w:val="VerbatimChar"/>
        </w:rPr>
        <w:t xml:space="preserve">δ_component = Clamp(dr_crg.coverage_ratio / dr_crg.dr_coverage_target)</w:t>
      </w:r>
      <w:r>
        <w:br/>
      </w:r>
      <w:r>
        <w:rPr>
          <w:rStyle w:val="VerbatimChar"/>
        </w:rPr>
        <w:t xml:space="preserve">ε_component = Clamp(az_count / 3)</w:t>
      </w:r>
      <w:r>
        <w:br/>
      </w:r>
      <w:r>
        <w:br/>
      </w:r>
      <w:r>
        <w:rPr>
          <w:rStyle w:val="VerbatimChar"/>
        </w:rPr>
        <w:t xml:space="preserve">PS_DR(r) = α×α_component + β×β_component + γ×γ_component + δ×δ_component + ε×ε_component</w:t>
      </w:r>
    </w:p>
    <w:bookmarkEnd w:id="35"/>
    <w:bookmarkStart w:id="36" w:name="clamp-function"/>
    <w:p>
      <w:pPr>
        <w:pStyle w:val="Heading3"/>
      </w:pPr>
      <w:r>
        <w:t xml:space="preserve">3.4 Clamp Function</w:t>
      </w:r>
    </w:p>
    <w:p>
      <w:pPr>
        <w:pStyle w:val="SourceCode"/>
      </w:pPr>
      <w:r>
        <w:rPr>
          <w:rStyle w:val="VerbatimChar"/>
        </w:rPr>
        <w:t xml:space="preserve">Clamp(x) = max(0, min(1, x))</w:t>
      </w:r>
    </w:p>
    <w:p>
      <w:pPr>
        <w:pStyle w:val="FirstParagraph"/>
      </w:pPr>
      <w:r>
        <w:t xml:space="preserve">All components are clamped before weighting. The mockup shows the raw ratio AND the clamped value when they differ.</w:t>
      </w:r>
    </w:p>
    <w:bookmarkEnd w:id="36"/>
    <w:bookmarkStart w:id="37" w:name="hard-constraint-gate"/>
    <w:p>
      <w:pPr>
        <w:pStyle w:val="Heading3"/>
      </w:pPr>
      <w:r>
        <w:t xml:space="preserve">3.5 Hard Constraint Gate</w:t>
      </w:r>
    </w:p>
    <w:p>
      <w:pPr>
        <w:pStyle w:val="FirstParagraph"/>
      </w:pPr>
      <w:r>
        <w:t xml:space="preserve">The tool checks these three arithmetic HCs before scoring. Regions that fail any are excluded:</w:t>
      </w:r>
    </w:p>
    <w:p>
      <w:pPr>
        <w:pStyle w:val="BodyText"/>
      </w:pPr>
      <w:r>
        <w:rPr>
          <w:bCs/>
          <w:b/>
        </w:rPr>
        <w:t xml:space="preserve">HC-3 (Quota Floor):</w:t>
      </w:r>
    </w:p>
    <w:p>
      <w:pPr>
        <w:pStyle w:val="SourceCode"/>
      </w:pPr>
      <w:r>
        <w:rPr>
          <w:rStyle w:val="VerbatimChar"/>
        </w:rPr>
        <w:t xml:space="preserve">For Prod:    prod_crg.quota_headroom ≥ (vm_count × vcpu_per_vm)</w:t>
      </w:r>
      <w:r>
        <w:br/>
      </w:r>
      <w:r>
        <w:rPr>
          <w:rStyle w:val="VerbatimChar"/>
        </w:rPr>
        <w:t xml:space="preserve">             AND prod_crg.quota_headroom − requested_vcpu ≥ min_prod_headroom_vcpu</w:t>
      </w:r>
      <w:r>
        <w:br/>
      </w:r>
      <w:r>
        <w:br/>
      </w:r>
      <w:r>
        <w:rPr>
          <w:rStyle w:val="VerbatimChar"/>
        </w:rPr>
        <w:t xml:space="preserve">For NonProd: nonprod_crg.effective_free ≥ (vm_count × vcpu_per_vm)</w:t>
      </w:r>
      <w:r>
        <w:br/>
      </w:r>
      <w:r>
        <w:rPr>
          <w:rStyle w:val="VerbatimChar"/>
        </w:rPr>
        <w:t xml:space="preserve">             AND nonprod_crg.quota_headroom − requested_vcpu ≥ min_nonprod_headroom_vcpu</w:t>
      </w:r>
      <w:r>
        <w:br/>
      </w:r>
      <w:r>
        <w:br/>
      </w:r>
      <w:r>
        <w:rPr>
          <w:rStyle w:val="VerbatimChar"/>
        </w:rPr>
        <w:t xml:space="preserve">For DR:      dr_crg.free_slots ≥ dr_bootstrap_qty (DR-007)</w:t>
      </w:r>
    </w:p>
    <w:p>
      <w:pPr>
        <w:pStyle w:val="FirstParagraph"/>
      </w:pPr>
      <w:r>
        <w:rPr>
          <w:bCs/>
          <w:b/>
        </w:rPr>
        <w:t xml:space="preserve">HC-6 (DR Coverage Floor):</w:t>
      </w:r>
    </w:p>
    <w:p>
      <w:pPr>
        <w:pStyle w:val="SourceCode"/>
      </w:pPr>
      <w:r>
        <w:rPr>
          <w:rStyle w:val="VerbatimChar"/>
        </w:rPr>
        <w:t xml:space="preserve">dr_crg.free_slots + nonprod_crg.effective_free ≥ dr_crg.bootstrap_qty</w:t>
      </w:r>
    </w:p>
    <w:p>
      <w:pPr>
        <w:pStyle w:val="FirstParagraph"/>
      </w:pPr>
      <w:r>
        <w:rPr>
          <w:bCs/>
          <w:b/>
        </w:rPr>
        <w:t xml:space="preserve">HC-7 (DR Floor Integrity — NonProd gate):</w:t>
      </w:r>
    </w:p>
    <w:p>
      <w:pPr>
        <w:pStyle w:val="SourceCode"/>
      </w:pPr>
      <w:r>
        <w:rPr>
          <w:rStyle w:val="VerbatimChar"/>
        </w:rPr>
        <w:t xml:space="preserve">nonprod_crg.quota_used + requested_vcpu ≤ nonprod_quota_ceiling − dr_crg.bootstrap_qty</w:t>
      </w:r>
    </w:p>
    <w:p>
      <w:pPr>
        <w:pStyle w:val="BlockText"/>
      </w:pPr>
      <w:r>
        <w:t xml:space="preserve">HC-1, HC-2, HC-4, HC-5, HC-8, HC-9, HC-10, HC-11 are non-arithmetic (governance, policy, restricted-region checks). They are represented in the mockup as</w:t>
      </w:r>
      <w:r>
        <w:t xml:space="preserve"> </w:t>
      </w:r>
      <w:r>
        <w:rPr>
          <w:bCs/>
          <w:b/>
        </w:rPr>
        <w:t xml:space="preserve">toggle switches</w:t>
      </w:r>
      <w:r>
        <w:t xml:space="preserve"> </w:t>
      </w:r>
      <w:r>
        <w:t xml:space="preserve">on each region (</w:t>
      </w:r>
      <w:r>
        <w:t xml:space="preserve">“</w:t>
      </w:r>
      <w:r>
        <w:t xml:space="preserve">Restricted region?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Exception approval on file?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CRG sealed?</w:t>
      </w:r>
      <w:r>
        <w:t xml:space="preserve">”</w:t>
      </w:r>
      <w:r>
        <w:t xml:space="preserve">) — defaulting to values that represent the happy path.</w:t>
      </w:r>
    </w:p>
    <w:bookmarkEnd w:id="37"/>
    <w:bookmarkStart w:id="38" w:name="dr-requirement-max-not-sum-a.6-dr-017"/>
    <w:p>
      <w:pPr>
        <w:pStyle w:val="Heading3"/>
      </w:pPr>
      <w:r>
        <w:t xml:space="preserve">3.6 DR Requirement: Max-Not-Sum (A.6, DR-017)</w:t>
      </w:r>
    </w:p>
    <w:p>
      <w:pPr>
        <w:pStyle w:val="FirstParagraph"/>
      </w:pPr>
      <w:r>
        <w:t xml:space="preserve">For any DR destination region, the DR capacity requirement is:</w:t>
      </w:r>
    </w:p>
    <w:p>
      <w:pPr>
        <w:pStyle w:val="SourceCode"/>
      </w:pPr>
      <w:r>
        <w:rPr>
          <w:rStyle w:val="VerbatimChar"/>
        </w:rPr>
        <w:t xml:space="preserve">Destination_DR_Requirement(dr_region) = MAX over all source regions routing to dr_region of:</w:t>
      </w:r>
      <w:r>
        <w:br/>
      </w:r>
      <w:r>
        <w:rPr>
          <w:rStyle w:val="VerbatimChar"/>
        </w:rPr>
        <w:t xml:space="preserve">    (source_region_customer_count × vcpu_per_deployment)</w:t>
      </w:r>
    </w:p>
    <w:p>
      <w:pPr>
        <w:pStyle w:val="FirstParagraph"/>
      </w:pPr>
      <w:r>
        <w:t xml:space="preserve">This value is shown in the DR sizing panel alongside the</w:t>
      </w:r>
      <w:r>
        <w:t xml:space="preserve"> </w:t>
      </w:r>
      <w:r>
        <w:rPr>
          <w:rStyle w:val="VerbatimChar"/>
        </w:rPr>
        <w:t xml:space="preserve">dr_crg.quantity</w:t>
      </w:r>
      <w:r>
        <w:t xml:space="preserve"> </w:t>
      </w:r>
      <w:r>
        <w:t xml:space="preserve">and the gap/surplus.</w:t>
      </w:r>
    </w:p>
    <w:bookmarkEnd w:id="38"/>
    <w:bookmarkStart w:id="39" w:name="weight-invariant-validation"/>
    <w:p>
      <w:pPr>
        <w:pStyle w:val="Heading3"/>
      </w:pPr>
      <w:r>
        <w:t xml:space="preserve">3.7 Weight Invariant Validation</w:t>
      </w:r>
    </w:p>
    <w:p>
      <w:pPr>
        <w:pStyle w:val="SourceCode"/>
      </w:pPr>
      <w:r>
        <w:rPr>
          <w:rStyle w:val="VerbatimChar"/>
        </w:rPr>
        <w:t xml:space="preserve">if |α + β + γ + δ + ε − 1.0| &gt; 0.001:</w:t>
      </w:r>
      <w:r>
        <w:br/>
      </w:r>
      <w:r>
        <w:rPr>
          <w:rStyle w:val="VerbatimChar"/>
        </w:rPr>
        <w:t xml:space="preserve">    → PolicyValidationError: "Weights must sum to 1.0 ± 0.001"</w:t>
      </w:r>
      <w:r>
        <w:br/>
      </w:r>
      <w:r>
        <w:rPr>
          <w:rStyle w:val="VerbatimChar"/>
        </w:rPr>
        <w:t xml:space="preserve">    → Scoring is blocked until corrected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ui-design"/>
    <w:p>
      <w:pPr>
        <w:pStyle w:val="Heading2"/>
      </w:pPr>
      <w:r>
        <w:t xml:space="preserve">4. UI Design</w:t>
      </w:r>
    </w:p>
    <w:bookmarkStart w:id="41" w:name="screen-flow"/>
    <w:p>
      <w:pPr>
        <w:pStyle w:val="Heading3"/>
      </w:pPr>
      <w:r>
        <w:t xml:space="preserve">4.1 Screen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SCREEN 1: Customer &amp; Workload Setup    │  ← Geography picker, SKU picker,</w:t>
      </w:r>
      <w:r>
        <w:br/>
      </w:r>
      <w:r>
        <w:rPr>
          <w:rStyle w:val="VerbatimChar"/>
        </w:rPr>
        <w:t xml:space="preserve">│                                         │    VM count, Prod region (optional)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SCREEN 2: Hard Constraint Gate         │  ← HC-3, HC-6, HC-7 pass/fail table</w:t>
      </w:r>
      <w:r>
        <w:br/>
      </w:r>
      <w:r>
        <w:rPr>
          <w:rStyle w:val="VerbatimChar"/>
        </w:rPr>
        <w:t xml:space="preserve">│                                         │    Per region, per environment type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SCREEN 3: Scoring — Prod               │  ← Component breakdown for each</w:t>
      </w:r>
      <w:r>
        <w:br/>
      </w:r>
      <w:r>
        <w:rPr>
          <w:rStyle w:val="VerbatimChar"/>
        </w:rPr>
        <w:t xml:space="preserve">│                                         │    passing region; winner highlighted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SCREEN 4: Scoring — CVAL               │  ← Remaining regions after Prod fixed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SCREEN 5: Scoring — DR                 │  ← Remaining regions; co-location</w:t>
      </w:r>
      <w:r>
        <w:br/>
      </w:r>
      <w:r>
        <w:rPr>
          <w:rStyle w:val="VerbatimChar"/>
        </w:rPr>
        <w:t xml:space="preserve">│                                         │    or cross-geo logic applied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SCREEN 6: CustomerSeedRecord + Status  │  ← Final Prod/CVAL/DR triple;</w:t>
      </w:r>
      <w:r>
        <w:br/>
      </w:r>
      <w:r>
        <w:rPr>
          <w:rStyle w:val="VerbatimChar"/>
        </w:rPr>
        <w:t xml:space="preserve">│                                         │    readiness state; DR sizing panel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There is also a persistent</w:t>
      </w:r>
      <w:r>
        <w:t xml:space="preserve"> </w:t>
      </w:r>
      <w:r>
        <w:rPr>
          <w:bCs/>
          <w:b/>
        </w:rPr>
        <w:t xml:space="preserve">Policy Panel</w:t>
      </w:r>
      <w:r>
        <w:t xml:space="preserve"> </w:t>
      </w:r>
      <w:r>
        <w:t xml:space="preserve">(collapsible sidebar) available from any screen that exposes scoring weights (with live validation),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mode, and the auto-increase threshold reference values.</w:t>
      </w:r>
    </w:p>
    <w:bookmarkEnd w:id="41"/>
    <w:bookmarkStart w:id="42" w:name="screen-1-customer-workload-setup"/>
    <w:p>
      <w:pPr>
        <w:pStyle w:val="Heading3"/>
      </w:pPr>
      <w:r>
        <w:t xml:space="preserve">4.2 Screen 1 — Customer &amp; Workload Setup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t xml:space="preserve">- Geography (dropdown): US · EU · Australia · Asia Pacific · Middle East</w:t>
      </w:r>
      <w:r>
        <w:t xml:space="preserve"> </w:t>
      </w:r>
      <w:r>
        <w:t xml:space="preserve">- SKU (dropdown): E16ads_v5 · E8ads_v5 · D8s_v5 · D16s_v5</w:t>
      </w:r>
      <w:r>
        <w:t xml:space="preserve"> </w:t>
      </w:r>
      <w:r>
        <w:t xml:space="preserve">- VM count (stepper, default 3): vCPU = vm_count × vcpu_per_vm is computed and shown inline</w:t>
      </w:r>
      <w:r>
        <w:t xml:space="preserve"> </w:t>
      </w:r>
      <w:r>
        <w:t xml:space="preserve">- Prod region (optional text/dropdown):</w:t>
      </w:r>
      <w:r>
        <w:t xml:space="preserve"> </w:t>
      </w:r>
      <w:r>
        <w:t xml:space="preserve">- If supplied → default path (validate only, audit-score only)</w:t>
      </w:r>
      <w:r>
        <w:t xml:space="preserve"> </w:t>
      </w:r>
      <w:r>
        <w:t xml:space="preserve">- If blank → exception path (governance toggle must be enabled)</w:t>
      </w:r>
      <w:r>
        <w:t xml:space="preserve"> </w:t>
      </w:r>
      <w:r>
        <w:t xml:space="preserve">- Customer ID (free text, for seed record display)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Workload summary card shown at top of all subsequent screens.</w:t>
      </w:r>
    </w:p>
    <w:bookmarkEnd w:id="42"/>
    <w:bookmarkStart w:id="43" w:name="screen-2-hard-constraint-gate"/>
    <w:p>
      <w:pPr>
        <w:pStyle w:val="Heading3"/>
      </w:pPr>
      <w:r>
        <w:t xml:space="preserve">4.3 Screen 2 — Hard Constraint Gate</w:t>
      </w:r>
    </w:p>
    <w:p>
      <w:pPr>
        <w:pStyle w:val="FirstParagraph"/>
      </w:pPr>
      <w:r>
        <w:t xml:space="preserve">A table with one row per candidate region and columns for each HC check: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 DR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HC-7 DR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ELIGIBLE?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700≥48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160≥60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550≥48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140≥60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300&lt;48*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(skipped)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(skipped)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EXCLUDED</w:t>
            </w:r>
          </w:p>
        </w:tc>
      </w:tr>
    </w:tbl>
    <w:p>
      <w:pPr>
        <w:pStyle w:val="BodyText"/>
      </w:pPr>
      <w:r>
        <w:t xml:space="preserve">_*HC-3 fails → remaining HCs are skipped (short-circuit evaluation)._</w:t>
      </w:r>
    </w:p>
    <w:p>
      <w:pPr>
        <w:pStyle w:val="BodyText"/>
      </w:pPr>
      <w:r>
        <w:t xml:space="preserve">Clicking any cell opens a drawer showing the full arithmetic:</w:t>
      </w:r>
    </w:p>
    <w:p>
      <w:pPr>
        <w:pStyle w:val="SourceCode"/>
      </w:pPr>
      <w:r>
        <w:rPr>
          <w:rStyle w:val="VerbatimChar"/>
        </w:rPr>
        <w:t xml:space="preserve">HC-3 Prod: Canada Central</w:t>
      </w:r>
      <w:r>
        <w:br/>
      </w:r>
      <w:r>
        <w:rPr>
          <w:rStyle w:val="VerbatimChar"/>
        </w:rPr>
        <w:t xml:space="preserve">  Requested:         48 vCPU (3 × E16ads_v5)</w:t>
      </w:r>
      <w:r>
        <w:br/>
      </w:r>
      <w:r>
        <w:rPr>
          <w:rStyle w:val="VerbatimChar"/>
        </w:rPr>
        <w:t xml:space="preserve">  Quota headroom:   300 vCPU</w:t>
      </w:r>
      <w:r>
        <w:br/>
      </w:r>
      <w:r>
        <w:rPr>
          <w:rStyle w:val="VerbatimChar"/>
        </w:rPr>
        <w:t xml:space="preserve">  Min floor:         20 vCPU</w:t>
      </w:r>
      <w:r>
        <w:br/>
      </w:r>
      <w:r>
        <w:rPr>
          <w:rStyle w:val="VerbatimChar"/>
        </w:rPr>
        <w:t xml:space="preserve">  Check:            300 ≥ 48 → PASS</w:t>
      </w:r>
      <w:r>
        <w:br/>
      </w:r>
      <w:r>
        <w:rPr>
          <w:rStyle w:val="VerbatimChar"/>
        </w:rPr>
        <w:t xml:space="preserve">  Post-allocation:  300 - 48 = 252 ≥ 20 → PASS</w:t>
      </w:r>
    </w:p>
    <w:p>
      <w:pPr>
        <w:pStyle w:val="BlockText"/>
      </w:pPr>
      <w:r>
        <w:t xml:space="preserve">(This example uses the baseline walkthrough data, where Canada Central actually passes HC-3. The mock data above is set up to show a mix of passes and failures.)</w:t>
      </w:r>
    </w:p>
    <w:p>
      <w:pPr>
        <w:pStyle w:val="FirstParagraph"/>
      </w:pPr>
      <w:r>
        <w:t xml:space="preserve">For each excluded region, the UI shows the readiness state that would be returned: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, etc.</w:t>
      </w:r>
    </w:p>
    <w:bookmarkEnd w:id="43"/>
    <w:bookmarkStart w:id="44" w:name="screen-3-prod-scoring-table"/>
    <w:p>
      <w:pPr>
        <w:pStyle w:val="Heading3"/>
      </w:pPr>
      <w:r>
        <w:t xml:space="preserve">4.4 Screen 3 — Prod Scoring Table</w:t>
      </w:r>
    </w:p>
    <w:p>
      <w:pPr>
        <w:pStyle w:val="FirstParagraph"/>
      </w:pPr>
      <w:r>
        <w:t xml:space="preserve">For all HC-passing regions, the scoring table shows components side by side: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  <w:r>
              <w:t xml:space="preserve"> </w:t>
            </w:r>
            <w:r>
              <w:t xml:space="preserve">(headroom)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130/200 →</w:t>
            </w:r>
            <w:r>
              <w:t xml:space="preserve"> </w:t>
            </w:r>
            <w:r>
              <w:rPr>
                <w:bCs/>
                <w:b/>
              </w:rPr>
              <w:t xml:space="preserve">0.65</w:t>
            </w:r>
            <w:r>
              <w:t xml:space="preserve"> </w:t>
            </w:r>
            <w:r>
              <w:t xml:space="preserve">× 0.30 =</w:t>
            </w:r>
            <w:r>
              <w:t xml:space="preserve"> </w:t>
            </w:r>
            <w:r>
              <w:rPr>
                <w:bCs/>
                <w:b/>
              </w:rP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80/200 →</w:t>
            </w:r>
            <w:r>
              <w:t xml:space="preserve"> </w:t>
            </w:r>
            <w:r>
              <w:rPr>
                <w:bCs/>
                <w:b/>
              </w:rPr>
              <w:t xml:space="preserve">0.40</w:t>
            </w:r>
            <w:r>
              <w:t xml:space="preserve"> </w:t>
            </w:r>
            <w:r>
              <w:t xml:space="preserve">× 0.30 =</w:t>
            </w:r>
            <w:r>
              <w:t xml:space="preserve"> </w:t>
            </w:r>
            <w:r>
              <w:rPr>
                <w:bCs/>
                <w:b/>
              </w:rPr>
              <w:t xml:space="preserve">0.120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  <w:r>
              <w:t xml:space="preserve"> </w:t>
            </w:r>
            <w:r>
              <w:t xml:space="preserve">(quota)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700/1000 →</w:t>
            </w:r>
            <w:r>
              <w:t xml:space="preserve"> </w:t>
            </w:r>
            <w:r>
              <w:rPr>
                <w:bCs/>
                <w:b/>
              </w:rPr>
              <w:t xml:space="preserve">0.70</w:t>
            </w:r>
            <w:r>
              <w:t xml:space="preserve"> </w:t>
            </w:r>
            <w:r>
              <w:t xml:space="preserve">× 0.20 =</w:t>
            </w:r>
            <w:r>
              <w:t xml:space="preserve"> </w:t>
            </w:r>
            <w:r>
              <w:rPr>
                <w:bCs/>
                <w:b/>
              </w:rP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550/1000 →</w:t>
            </w:r>
            <w:r>
              <w:t xml:space="preserve"> </w:t>
            </w:r>
            <w:r>
              <w:rPr>
                <w:bCs/>
                <w:b/>
              </w:rPr>
              <w:t xml:space="preserve">0.55</w:t>
            </w:r>
            <w:r>
              <w:t xml:space="preserve"> </w:t>
            </w:r>
            <w:r>
              <w:t xml:space="preserve">× 0.20 =</w:t>
            </w:r>
            <w:r>
              <w:t xml:space="preserve"> </w:t>
            </w:r>
            <w:r>
              <w:rPr>
                <w:bCs/>
                <w:b/>
              </w:rPr>
              <w:t xml:space="preserve">0.110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  <w:r>
              <w:t xml:space="preserve"> </w:t>
            </w:r>
            <w:r>
              <w:t xml:space="preserve">(fairness)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1−40/100 →</w:t>
            </w:r>
            <w:r>
              <w:t xml:space="preserve"> </w:t>
            </w:r>
            <w:r>
              <w:rPr>
                <w:bCs/>
                <w:b/>
              </w:rPr>
              <w:t xml:space="preserve">0.60</w:t>
            </w:r>
            <w:r>
              <w:t xml:space="preserve"> </w:t>
            </w:r>
            <w:r>
              <w:t xml:space="preserve">× 0.25 =</w:t>
            </w:r>
            <w:r>
              <w:t xml:space="preserve"> </w:t>
            </w:r>
            <w:r>
              <w:rPr>
                <w:bCs/>
                <w:b/>
              </w:rP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1−25/100 →</w:t>
            </w:r>
            <w:r>
              <w:t xml:space="preserve"> </w:t>
            </w:r>
            <w:r>
              <w:rPr>
                <w:bCs/>
                <w:b/>
              </w:rPr>
              <w:t xml:space="preserve">0.75</w:t>
            </w:r>
            <w:r>
              <w:t xml:space="preserve"> </w:t>
            </w:r>
            <w:r>
              <w:t xml:space="preserve">× 0.25 =</w:t>
            </w:r>
            <w:r>
              <w:t xml:space="preserve"> </w:t>
            </w:r>
            <w:r>
              <w:rPr>
                <w:bCs/>
                <w:b/>
              </w:rP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  <w:r>
              <w:t xml:space="preserve"> </w:t>
            </w:r>
            <w:r>
              <w:t xml:space="preserve">(DR ready)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0.50</w:t>
            </w:r>
            <w:r>
              <w:t xml:space="preserve"> </w:t>
            </w:r>
            <w:r>
              <w:t xml:space="preserve">× 0.15 =</w:t>
            </w:r>
            <w:r>
              <w:t xml:space="preserve"> </w:t>
            </w:r>
            <w:r>
              <w:rPr>
                <w:bCs/>
                <w:b/>
              </w:rP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0.45</w:t>
            </w:r>
            <w:r>
              <w:t xml:space="preserve"> </w:t>
            </w:r>
            <w:r>
              <w:t xml:space="preserve">× 0.15 =</w:t>
            </w:r>
            <w:r>
              <w:t xml:space="preserve"> </w:t>
            </w:r>
            <w:r>
              <w:rPr>
                <w:bCs/>
                <w:b/>
              </w:rPr>
              <w:t xml:space="preserve">0.068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  <w:r>
              <w:t xml:space="preserve"> </w:t>
            </w:r>
            <w:r>
              <w:t xml:space="preserve">(zones)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→</w:t>
            </w:r>
            <w:r>
              <w:t xml:space="preserve"> </w:t>
            </w:r>
            <w:r>
              <w:rPr>
                <w:bCs/>
                <w:b/>
              </w:rPr>
              <w:t xml:space="preserve">1.00</w:t>
            </w:r>
            <w:r>
              <w:t xml:space="preserve"> </w:t>
            </w:r>
            <w:r>
              <w:t xml:space="preserve">× 0.10 =</w:t>
            </w:r>
            <w:r>
              <w:t xml:space="preserve"> </w:t>
            </w:r>
            <w:r>
              <w:rPr>
                <w:bCs/>
                <w:b/>
              </w:rP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→</w:t>
            </w:r>
            <w:r>
              <w:t xml:space="preserve"> </w:t>
            </w:r>
            <w:r>
              <w:rPr>
                <w:bCs/>
                <w:b/>
              </w:rPr>
              <w:t xml:space="preserve">1.00</w:t>
            </w:r>
            <w:r>
              <w:t xml:space="preserve"> </w:t>
            </w:r>
            <w:r>
              <w:t xml:space="preserve">× 0.10 =</w:t>
            </w:r>
            <w:r>
              <w:t xml:space="preserve"> </w:t>
            </w:r>
            <w:r>
              <w:rPr>
                <w:bCs/>
                <w:b/>
              </w:rP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0.660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bCs/>
                <w:b/>
              </w:rPr>
              <w:t xml:space="preserve">WINNER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0.586</w:t>
            </w:r>
          </w:p>
        </w:tc>
      </w:tr>
    </w:tbl>
    <w:p>
      <w:pPr>
        <w:pStyle w:val="BodyText"/>
      </w:pPr>
      <w:r>
        <w:t xml:space="preserve">A bar chart shows all five weighted contributions stacked for each region.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</w:t>
      </w:r>
      <w:r>
        <w:t xml:space="preserve">Margin of victory</w:t>
      </w:r>
      <w:r>
        <w:t xml:space="preserve">”</w:t>
      </w:r>
      <w:r>
        <w:t xml:space="preserve"> </w:t>
      </w:r>
      <w:r>
        <w:t xml:space="preserve">line shows the score gap and which component most influenced the outcome.</w:t>
      </w:r>
    </w:p>
    <w:p>
      <w:pPr>
        <w:pStyle w:val="BodyText"/>
      </w:pPr>
      <w:r>
        <w:t xml:space="preserve">If the user supplied a Prod region (default path), that region is shown in gold with the label</w:t>
      </w:r>
      <w:r>
        <w:t xml:space="preserve"> </w:t>
      </w:r>
      <w:r>
        <w:t xml:space="preserve">“</w:t>
      </w:r>
      <w:r>
        <w:t xml:space="preserve">Customer-supplied — validated only</w:t>
      </w:r>
      <w:r>
        <w:t xml:space="preserve">”</w:t>
      </w:r>
      <w:r>
        <w:t xml:space="preserve"> </w:t>
      </w:r>
      <w:r>
        <w:t xml:space="preserve">and the score is computed for audit.</w:t>
      </w:r>
    </w:p>
    <w:bookmarkEnd w:id="44"/>
    <w:bookmarkStart w:id="45" w:name="screen-4-5-cval-and-dr-scoring"/>
    <w:p>
      <w:pPr>
        <w:pStyle w:val="Heading3"/>
      </w:pPr>
      <w:r>
        <w:t xml:space="preserve">4.5 Screen 4 &amp; 5 — CVAL and DR Scoring</w:t>
      </w:r>
    </w:p>
    <w:p>
      <w:pPr>
        <w:pStyle w:val="FirstParagraph"/>
      </w:pPr>
      <w:r>
        <w:t xml:space="preserve">Same layout as Screen 3, but:</w:t>
      </w:r>
      <w:r>
        <w:t xml:space="preserve"> </w:t>
      </w:r>
      <w:r>
        <w:t xml:space="preserve">- CVAL scoring excludes the Prod winner from the candidate pool</w:t>
      </w:r>
      <w:r>
        <w:t xml:space="preserve"> </w:t>
      </w:r>
      <w:r>
        <w:t xml:space="preserve">- DR scoring applies PLC-010a co-location logic (2-region geographies: DR must land in the same region as CVAL) or PLC-010b cross-geo (Middle East: DR candidate pool = EU Standard regions)</w:t>
      </w:r>
      <w:r>
        <w:t xml:space="preserve"> </w:t>
      </w:r>
      <w:r>
        <w:t xml:space="preserve">- DR scoring uses PS_DR formula, showing the δ component as</w:t>
      </w:r>
      <w:r>
        <w:t xml:space="preserve"> </w:t>
      </w:r>
      <w:r>
        <w:rPr>
          <w:rStyle w:val="VerbatimChar"/>
        </w:rPr>
        <w:t xml:space="preserve">coverage_ratio / dr_coverage_target</w:t>
      </w:r>
    </w:p>
    <w:p>
      <w:pPr>
        <w:pStyle w:val="BodyText"/>
      </w:pPr>
      <w:r>
        <w:t xml:space="preserve">For a 2-region geography (EU/AU/APAC) where CVAL is deterministic (only one region left), the scoring table is replaced by a notice: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CVAL: deterministic — Sweden Central is the only remaining Standard region.</w:t>
      </w:r>
      <w:r>
        <w:rPr>
          <w:iCs/>
          <w:i/>
        </w:rPr>
        <w:t xml:space="preserve">”</w:t>
      </w:r>
    </w:p>
    <w:bookmarkEnd w:id="45"/>
    <w:bookmarkStart w:id="46" w:name="screen-6-customerseedrecord-readiness"/>
    <w:p>
      <w:pPr>
        <w:pStyle w:val="Heading3"/>
      </w:pPr>
      <w:r>
        <w:t xml:space="preserve">4.6 Screen 6 — CustomerSeedRecord + Readiness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CustomerSeedRecord                              ║</w:t>
      </w:r>
      <w:r>
        <w:br/>
      </w:r>
      <w:r>
        <w:rPr>
          <w:rStyle w:val="VerbatimChar"/>
        </w:rPr>
        <w:t xml:space="preserve">║  Customer: CUST-0042                             ║</w:t>
      </w:r>
      <w:r>
        <w:br/>
      </w:r>
      <w:r>
        <w:rPr>
          <w:rStyle w:val="VerbatimChar"/>
        </w:rPr>
        <w:t xml:space="preserve">║  Geography: US    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🟢 Prod:  West US 3       (48 vCPU, score 0.66) ║</w:t>
      </w:r>
      <w:r>
        <w:br/>
      </w:r>
      <w:r>
        <w:rPr>
          <w:rStyle w:val="VerbatimChar"/>
        </w:rPr>
        <w:t xml:space="preserve">║  🟢 CVAL:  Canada Central  (48 vCPU, score 0.69) ║</w:t>
      </w:r>
      <w:r>
        <w:br/>
      </w:r>
      <w:r>
        <w:rPr>
          <w:rStyle w:val="VerbatimChar"/>
        </w:rPr>
        <w:t xml:space="preserve">║  🟢 DR:    Central US      (48 vCPU, score 0.60)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Readiness State:  READY                         ║</w:t>
      </w:r>
      <w:r>
        <w:br/>
      </w:r>
      <w:r>
        <w:rPr>
          <w:rStyle w:val="VerbatimChar"/>
        </w:rPr>
        <w:t xml:space="preserve">║  Policy Version:   v2.4.0-alpha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╚══════════════════════════════════════════════════╝</w:t>
      </w:r>
    </w:p>
    <w:p>
      <w:pPr>
        <w:pStyle w:val="FirstParagraph"/>
      </w:pPr>
      <w:r>
        <w:rPr>
          <w:bCs/>
          <w:b/>
        </w:rPr>
        <w:t xml:space="preserve">DR Sizing Panel</w:t>
      </w:r>
      <w:r>
        <w:t xml:space="preserve"> </w:t>
      </w:r>
      <w:r>
        <w:t xml:space="preserve">(below the seed record):</w:t>
      </w:r>
    </w:p>
    <w:p>
      <w:pPr>
        <w:pStyle w:val="SourceCode"/>
      </w:pPr>
      <w:r>
        <w:rPr>
          <w:rStyle w:val="VerbatimChar"/>
        </w:rPr>
        <w:t xml:space="preserve">DR Capacity Sizing (max-not-sum, A.6):</w:t>
      </w:r>
      <w:r>
        <w:br/>
      </w:r>
      <w:r>
        <w:rPr>
          <w:rStyle w:val="VerbatimChar"/>
        </w:rPr>
        <w:t xml:space="preserve">  Source: Central US → DR: West US 3</w:t>
      </w:r>
      <w:r>
        <w:br/>
      </w:r>
      <w:r>
        <w:rPr>
          <w:rStyle w:val="VerbatimChar"/>
        </w:rPr>
        <w:t xml:space="preserve">    Customers in Central US: 25 × 48 vCPU = 1200 vCPU at risk</w:t>
      </w:r>
      <w:r>
        <w:br/>
      </w:r>
      <w:r>
        <w:rPr>
          <w:rStyle w:val="VerbatimChar"/>
        </w:rPr>
        <w:t xml:space="preserve">  Source: Canada Central → DR: West US 3</w:t>
      </w:r>
      <w:r>
        <w:br/>
      </w:r>
      <w:r>
        <w:rPr>
          <w:rStyle w:val="VerbatimChar"/>
        </w:rPr>
        <w:t xml:space="preserve">    Customers in Canada Central: 20 × 48 vCPU = 960 vCPU at risk</w:t>
      </w:r>
      <w:r>
        <w:br/>
      </w:r>
      <w:r>
        <w:br/>
      </w:r>
      <w:r>
        <w:rPr>
          <w:rStyle w:val="VerbatimChar"/>
        </w:rPr>
        <w:t xml:space="preserve">  DR_Requirement(West US 3) = MAX(1200, 960) = 1200 vCPU</w:t>
      </w:r>
      <w:r>
        <w:br/>
      </w:r>
      <w:r>
        <w:rPr>
          <w:rStyle w:val="VerbatimChar"/>
        </w:rPr>
        <w:t xml:space="preserve">  DR CRG quantity:             120 vCPU (starter — scaled for illustration)</w:t>
      </w:r>
      <w:r>
        <w:br/>
      </w:r>
      <w:r>
        <w:rPr>
          <w:rStyle w:val="VerbatimChar"/>
        </w:rPr>
        <w:t xml:space="preserve">  Gap: 1200 − 120 = 1080 vCPU ⚠ (auto-increase would trigger)</w:t>
      </w:r>
      <w:r>
        <w:br/>
      </w:r>
      <w:r>
        <w:rPr>
          <w:rStyle w:val="VerbatimChar"/>
        </w:rPr>
        <w:t xml:space="preserve">  Overcommit ratio: (1200 + 960) / 1200 = 1.80</w:t>
      </w:r>
    </w:p>
    <w:p>
      <w:pPr>
        <w:pStyle w:val="BlockText"/>
      </w:pPr>
      <w:r>
        <w:t xml:space="preserve">Note: the DR sizing numbers above use illustrative scale. The mockup will calculate from the actual mock data — showing the formula and its inputs.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demo-scenarios"/>
    <w:p>
      <w:pPr>
        <w:pStyle w:val="Heading2"/>
      </w:pPr>
      <w:r>
        <w:t xml:space="preserve">5. Demo Scenarios</w:t>
      </w:r>
    </w:p>
    <w:p>
      <w:pPr>
        <w:pStyle w:val="FirstParagraph"/>
      </w:pPr>
      <w:r>
        <w:t xml:space="preserve">The tool pre-loads five scenarios accessible via a</w:t>
      </w:r>
      <w:r>
        <w:t xml:space="preserve"> </w:t>
      </w:r>
      <w:r>
        <w:t xml:space="preserve">“</w:t>
      </w:r>
      <w:r>
        <w:t xml:space="preserve">Scenarios</w:t>
      </w:r>
      <w:r>
        <w:t xml:space="preserve">”</w:t>
      </w:r>
      <w:r>
        <w:t xml:space="preserve"> </w:t>
      </w:r>
      <w:r>
        <w:t xml:space="preserve">button. Each sets the mock data state so the chosen path is immediately visible:</w:t>
      </w:r>
    </w:p>
    <w:bookmarkStart w:id="48" w:name="X10743cd73e3bb06524c0950b221d0adc6d4bb6f"/>
    <w:p>
      <w:pPr>
        <w:pStyle w:val="Heading3"/>
      </w:pPr>
      <w:r>
        <w:t xml:space="preserve">Scenario A — US Happy Path (3-region, all separate)</w:t>
      </w:r>
    </w:p>
    <w:p>
      <w:pPr>
        <w:numPr>
          <w:ilvl w:val="0"/>
          <w:numId w:val="1002"/>
        </w:numPr>
        <w:pStyle w:val="Compact"/>
      </w:pPr>
      <w:r>
        <w:t xml:space="preserve">Geography: US, SKU: E16ads_v5 × 3 VMs</w:t>
      </w:r>
    </w:p>
    <w:p>
      <w:pPr>
        <w:numPr>
          <w:ilvl w:val="0"/>
          <w:numId w:val="1002"/>
        </w:numPr>
        <w:pStyle w:val="Compact"/>
      </w:pPr>
      <w:r>
        <w:t xml:space="preserve">All three US Standard regions pass all HCs</w:t>
      </w:r>
    </w:p>
    <w:p>
      <w:pPr>
        <w:numPr>
          <w:ilvl w:val="0"/>
          <w:numId w:val="1002"/>
        </w:numPr>
        <w:pStyle w:val="Compact"/>
      </w:pPr>
      <w:r>
        <w:t xml:space="preserve">Result: Prod/CVAL/DR in three separate regions (full separation)</w:t>
      </w:r>
    </w:p>
    <w:p>
      <w:pPr>
        <w:numPr>
          <w:ilvl w:val="0"/>
          <w:numId w:val="1002"/>
        </w:numPr>
        <w:pStyle w:val="Compact"/>
      </w:pPr>
      <w:r>
        <w:t xml:space="preserve">Shows: scoring margin, the α component driving the winner</w:t>
      </w:r>
    </w:p>
    <w:bookmarkEnd w:id="48"/>
    <w:bookmarkStart w:id="49" w:name="scenario-b-us-quota-deficit-hc-3-fail"/>
    <w:p>
      <w:pPr>
        <w:pStyle w:val="Heading3"/>
      </w:pPr>
      <w:r>
        <w:t xml:space="preserve">Scenario B — US Quota Deficit (HC-3 fail)</w:t>
      </w:r>
    </w:p>
    <w:p>
      <w:pPr>
        <w:numPr>
          <w:ilvl w:val="0"/>
          <w:numId w:val="1003"/>
        </w:numPr>
        <w:pStyle w:val="Compact"/>
      </w:pPr>
      <w:r>
        <w:t xml:space="preserve">Central US quota_headroom artificially set to 12 vCPU</w:t>
      </w:r>
    </w:p>
    <w:p>
      <w:pPr>
        <w:numPr>
          <w:ilvl w:val="0"/>
          <w:numId w:val="1003"/>
        </w:numPr>
        <w:pStyle w:val="Compact"/>
      </w:pPr>
      <w:r>
        <w:t xml:space="preserve">Central US fails HC-3; excluded from Prod scoring pool</w:t>
      </w:r>
    </w:p>
    <w:p>
      <w:pPr>
        <w:numPr>
          <w:ilvl w:val="0"/>
          <w:numId w:val="1003"/>
        </w:numPr>
        <w:pStyle w:val="Compact"/>
      </w:pPr>
      <w:r>
        <w:t xml:space="preserve">Two-candidate scoring race; readiness state =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 </w:t>
      </w:r>
      <w:r>
        <w:t xml:space="preserve">for that region</w:t>
      </w:r>
    </w:p>
    <w:bookmarkEnd w:id="49"/>
    <w:bookmarkStart w:id="50" w:name="X81245adc040c105ca1c57a4ad8229e165b443fd"/>
    <w:p>
      <w:pPr>
        <w:pStyle w:val="Heading3"/>
      </w:pPr>
      <w:r>
        <w:t xml:space="preserve">Scenario C — EU 2-Region Co-location (PLC-010a)</w:t>
      </w:r>
    </w:p>
    <w:p>
      <w:pPr>
        <w:numPr>
          <w:ilvl w:val="0"/>
          <w:numId w:val="1004"/>
        </w:numPr>
        <w:pStyle w:val="Compact"/>
      </w:pPr>
      <w:r>
        <w:t xml:space="preserve">Geography: EU, SKU: E8ads_v5 × 3 VMs</w:t>
      </w:r>
    </w:p>
    <w:p>
      <w:pPr>
        <w:numPr>
          <w:ilvl w:val="0"/>
          <w:numId w:val="1004"/>
        </w:numPr>
        <w:pStyle w:val="Compact"/>
      </w:pPr>
      <w:r>
        <w:t xml:space="preserve">Shows: Prod scoring, deterministic CVAL, mandatory DR co-location with CVAL</w:t>
      </w:r>
    </w:p>
    <w:p>
      <w:pPr>
        <w:numPr>
          <w:ilvl w:val="0"/>
          <w:numId w:val="1004"/>
        </w:numPr>
        <w:pStyle w:val="Compact"/>
      </w:pPr>
      <w:r>
        <w:t xml:space="preserve">Highlights co-location risk note (both CVAL and DR lost if Sweden Central fails)</w:t>
      </w:r>
    </w:p>
    <w:bookmarkEnd w:id="50"/>
    <w:bookmarkStart w:id="51" w:name="Xf2b1d259b749feed1afd311a9f83fa4e3243797"/>
    <w:p>
      <w:pPr>
        <w:pStyle w:val="Heading3"/>
      </w:pPr>
      <w:r>
        <w:t xml:space="preserve">Scenario D — EU Capacity Unavailable (both regions too small)</w:t>
      </w:r>
    </w:p>
    <w:p>
      <w:pPr>
        <w:numPr>
          <w:ilvl w:val="0"/>
          <w:numId w:val="1005"/>
        </w:numPr>
        <w:pStyle w:val="Compact"/>
      </w:pPr>
      <w:r>
        <w:t xml:space="preserve">Switzerland North headroom = 30 vCPU, E16ads_v5 needs 48 vCPU → HC-3 fail</w:t>
      </w:r>
    </w:p>
    <w:p>
      <w:pPr>
        <w:numPr>
          <w:ilvl w:val="0"/>
          <w:numId w:val="1005"/>
        </w:numPr>
        <w:pStyle w:val="Compact"/>
      </w:pPr>
      <w:r>
        <w:t xml:space="preserve">Sweden Central takes Prod; but CVAL check on Switzerland North also fails</w:t>
      </w:r>
    </w:p>
    <w:p>
      <w:pPr>
        <w:numPr>
          <w:ilvl w:val="0"/>
          <w:numId w:val="1005"/>
        </w:numPr>
        <w:pStyle w:val="Compact"/>
      </w:pPr>
      <w:r>
        <w:t xml:space="preserve">Readiness:</w:t>
      </w:r>
      <w:r>
        <w:t xml:space="preserve"> </w:t>
      </w:r>
      <w:r>
        <w:rPr>
          <w:rStyle w:val="VerbatimChar"/>
        </w:rPr>
        <w:t xml:space="preserve">CAPACITY_UNAVAILABLE</w:t>
      </w:r>
    </w:p>
    <w:bookmarkEnd w:id="51"/>
    <w:bookmarkStart w:id="52" w:name="Xede21682e1670fef1021cbc0e82bafd61dc4b92"/>
    <w:p>
      <w:pPr>
        <w:pStyle w:val="Heading3"/>
      </w:pPr>
      <w:r>
        <w:t xml:space="preserve">Scenario E — Middle East Cross-Geo DR (PLC-010b)</w:t>
      </w:r>
    </w:p>
    <w:p>
      <w:pPr>
        <w:numPr>
          <w:ilvl w:val="0"/>
          <w:numId w:val="1006"/>
        </w:numPr>
        <w:pStyle w:val="Compact"/>
      </w:pPr>
      <w:r>
        <w:t xml:space="preserve">Geography: Middle East, SKU: E8ads_v5 × 3 VMs</w:t>
      </w:r>
    </w:p>
    <w:p>
      <w:pPr>
        <w:numPr>
          <w:ilvl w:val="0"/>
          <w:numId w:val="1006"/>
        </w:numPr>
        <w:pStyle w:val="Compact"/>
      </w:pPr>
      <w:r>
        <w:t xml:space="preserve">Prod/CVAL co-locate in UAE North or Saudi Arabia Central (weighted selection)</w:t>
      </w:r>
    </w:p>
    <w:p>
      <w:pPr>
        <w:numPr>
          <w:ilvl w:val="0"/>
          <w:numId w:val="1006"/>
        </w:numPr>
        <w:pStyle w:val="Compact"/>
      </w:pPr>
      <w:r>
        <w:t xml:space="preserve">DR scores EU Standard regions via PS_DR</w:t>
      </w:r>
    </w:p>
    <w:p>
      <w:pPr>
        <w:numPr>
          <w:ilvl w:val="0"/>
          <w:numId w:val="1006"/>
        </w:numPr>
        <w:pStyle w:val="Compact"/>
      </w:pPr>
      <w:r>
        <w:t xml:space="preserve">Shows: how the cross-geo DR candidate pool differs from the ME pool</w:t>
      </w:r>
    </w:p>
    <w:bookmarkEnd w:id="52"/>
    <w:bookmarkStart w:id="53" w:name="X600d702b5ed3603e788ce41e986070502fbd549"/>
    <w:p>
      <w:pPr>
        <w:pStyle w:val="Heading3"/>
      </w:pPr>
      <w:r>
        <w:t xml:space="preserve">Scenario F — Weight Tuning (Distribution-First)</w:t>
      </w:r>
    </w:p>
    <w:p>
      <w:pPr>
        <w:numPr>
          <w:ilvl w:val="0"/>
          <w:numId w:val="1007"/>
        </w:numPr>
        <w:pStyle w:val="Compact"/>
      </w:pPr>
      <w:r>
        <w:t xml:space="preserve">Same data as Scenario A (US Happy Path)</w:t>
      </w:r>
    </w:p>
    <w:p>
      <w:pPr>
        <w:numPr>
          <w:ilvl w:val="0"/>
          <w:numId w:val="1007"/>
        </w:numPr>
        <w:pStyle w:val="Compact"/>
      </w:pPr>
      <w:r>
        <w:t xml:space="preserve">User opens Policy Panel and shifts weights to γ=0.35, α=0.25 (distribution-first Option 1)</w:t>
      </w:r>
    </w:p>
    <w:p>
      <w:pPr>
        <w:numPr>
          <w:ilvl w:val="0"/>
          <w:numId w:val="1007"/>
        </w:numPr>
        <w:pStyle w:val="Compact"/>
      </w:pPr>
      <w:r>
        <w:t xml:space="preserve">Tool re-scores live; winner may change</w:t>
      </w:r>
    </w:p>
    <w:p>
      <w:pPr>
        <w:numPr>
          <w:ilvl w:val="0"/>
          <w:numId w:val="1007"/>
        </w:numPr>
        <w:pStyle w:val="Compact"/>
      </w:pPr>
      <w:r>
        <w:t xml:space="preserve">Demonstrates how weight policy changes affect placement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implementation-approach"/>
    <w:p>
      <w:pPr>
        <w:pStyle w:val="Heading2"/>
      </w:pPr>
      <w:r>
        <w:t xml:space="preserve">6. Implementation Approach</w:t>
      </w:r>
    </w:p>
    <w:bookmarkStart w:id="55" w:name="architecture-decision"/>
    <w:p>
      <w:pPr>
        <w:pStyle w:val="Heading3"/>
      </w:pPr>
      <w:r>
        <w:t xml:space="preserve">6.1 Architecture Decision</w:t>
      </w:r>
    </w:p>
    <w:p>
      <w:pPr>
        <w:pStyle w:val="FirstParagraph"/>
      </w:pPr>
      <w:r>
        <w:rPr>
          <w:bCs/>
          <w:b/>
        </w:rPr>
        <w:t xml:space="preserve">Recommended: Next.js functional prototype with JSON mock data</w:t>
      </w:r>
    </w:p>
    <w:p>
      <w:pPr>
        <w:pStyle w:val="BodyText"/>
      </w:pPr>
      <w:r>
        <w:t xml:space="preserve">Rationale:</w:t>
      </w:r>
      <w:r>
        <w:t xml:space="preserve"> </w:t>
      </w:r>
      <w:r>
        <w:t xml:space="preserve">- Platform-hosted preview available (Abacus.AI infrastructure)</w:t>
      </w:r>
      <w:r>
        <w:t xml:space="preserve"> </w:t>
      </w:r>
      <w:r>
        <w:t xml:space="preserve">- No Azure API calls needed — all data is in-memory from JSON mock files</w:t>
      </w:r>
      <w:r>
        <w:t xml:space="preserve"> </w:t>
      </w:r>
      <w:r>
        <w:t xml:space="preserve">- React state management handles live re-scoring when weights or data change</w:t>
      </w:r>
      <w:r>
        <w:t xml:space="preserve"> </w:t>
      </w:r>
      <w:r>
        <w:t xml:space="preserve">- The engine logic (HC gate + scoring formulas) runs client-side in TypeScript — fast, reproducible</w:t>
      </w:r>
      <w:r>
        <w:t xml:space="preserve"> </w:t>
      </w:r>
      <w:r>
        <w:t xml:space="preserve">- The mockup can be shared with stakeholders as a URL, not a local file</w:t>
      </w:r>
    </w:p>
    <w:p>
      <w:pPr>
        <w:pStyle w:val="BodyText"/>
      </w:pPr>
      <w:r>
        <w:rPr>
          <w:bCs/>
          <w:b/>
        </w:rPr>
        <w:t xml:space="preserve">Not recommended:</w:t>
      </w:r>
      <w:r>
        <w:t xml:space="preserve"> </w:t>
      </w:r>
      <w:r>
        <w:t xml:space="preserve">- Pure HTML/JS single-file: fine for simple demos, but the five-screen flow and live re-scoring need proper state</w:t>
      </w:r>
      <w:r>
        <w:t xml:space="preserve"> </w:t>
      </w:r>
      <w:r>
        <w:t xml:space="preserve">- Python backend: adds latency for what is pure computation; unnecessary for a prototype</w:t>
      </w:r>
    </w:p>
    <w:bookmarkEnd w:id="55"/>
    <w:bookmarkStart w:id="56" w:name="project-structure"/>
    <w:p>
      <w:pPr>
        <w:pStyle w:val="Heading3"/>
      </w:pPr>
      <w:r>
        <w:t xml:space="preserve">6.2 Project Structure</w:t>
      </w:r>
    </w:p>
    <w:p>
      <w:pPr>
        <w:pStyle w:val="SourceCode"/>
      </w:pPr>
      <w:r>
        <w:rPr>
          <w:rStyle w:val="VerbatimChar"/>
        </w:rPr>
        <w:t xml:space="preserve">/acrme-region-selection-mockup</w:t>
      </w:r>
      <w:r>
        <w:br/>
      </w:r>
      <w:r>
        <w:rPr>
          <w:rStyle w:val="VerbatimChar"/>
        </w:rPr>
        <w:t xml:space="preserve">  /data</w:t>
      </w:r>
      <w:r>
        <w:br/>
      </w:r>
      <w:r>
        <w:rPr>
          <w:rStyle w:val="VerbatimChar"/>
        </w:rPr>
        <w:t xml:space="preserve">    regions.json         ← mock RegionSnapshot for all 5 geographies</w:t>
      </w:r>
      <w:r>
        <w:br/>
      </w:r>
      <w:r>
        <w:rPr>
          <w:rStyle w:val="VerbatimChar"/>
        </w:rPr>
        <w:t xml:space="preserve">    skus.json            ← SKU registry</w:t>
      </w:r>
      <w:r>
        <w:br/>
      </w:r>
      <w:r>
        <w:rPr>
          <w:rStyle w:val="VerbatimChar"/>
        </w:rPr>
        <w:t xml:space="preserve">    scenarios.json       ← pre-loaded scenario configurations</w:t>
      </w:r>
      <w:r>
        <w:br/>
      </w:r>
      <w:r>
        <w:rPr>
          <w:rStyle w:val="VerbatimChar"/>
        </w:rPr>
        <w:t xml:space="preserve">    policy.json          ← default PlacementPolicy (weights, floors, etc.)</w:t>
      </w:r>
      <w:r>
        <w:br/>
      </w:r>
      <w:r>
        <w:rPr>
          <w:rStyle w:val="VerbatimChar"/>
        </w:rPr>
        <w:t xml:space="preserve">  /lib</w:t>
      </w:r>
      <w:r>
        <w:br/>
      </w:r>
      <w:r>
        <w:rPr>
          <w:rStyle w:val="VerbatimChar"/>
        </w:rPr>
        <w:t xml:space="preserve">    engine/</w:t>
      </w:r>
      <w:r>
        <w:br/>
      </w:r>
      <w:r>
        <w:rPr>
          <w:rStyle w:val="VerbatimChar"/>
        </w:rPr>
        <w:t xml:space="preserve">      hardConstraints.ts ← HC-3, HC-6, HC-7 implementations</w:t>
      </w:r>
      <w:r>
        <w:br/>
      </w:r>
      <w:r>
        <w:rPr>
          <w:rStyle w:val="VerbatimChar"/>
        </w:rPr>
        <w:t xml:space="preserve">      scoring.ts         ← PS_Prod, PS_NonProd, PS_DR + Clamp</w:t>
      </w:r>
      <w:r>
        <w:br/>
      </w:r>
      <w:r>
        <w:rPr>
          <w:rStyle w:val="VerbatimChar"/>
        </w:rPr>
        <w:t xml:space="preserve">      selectionLogic.ts  ← Prod→CVAL→DR sequential selection + geography rules</w:t>
      </w:r>
      <w:r>
        <w:br/>
      </w:r>
      <w:r>
        <w:rPr>
          <w:rStyle w:val="VerbatimChar"/>
        </w:rPr>
        <w:t xml:space="preserve">      drSizing.ts        ← max-not-sum DR requirement calculation</w:t>
      </w:r>
      <w:r>
        <w:br/>
      </w:r>
      <w:r>
        <w:rPr>
          <w:rStyle w:val="VerbatimChar"/>
        </w:rPr>
        <w:t xml:space="preserve">      policyValidator.ts ← weight-sum invariant check (±0.001)</w:t>
      </w:r>
      <w:r>
        <w:br/>
      </w:r>
      <w:r>
        <w:rPr>
          <w:rStyle w:val="VerbatimChar"/>
        </w:rPr>
        <w:t xml:space="preserve">    types.ts             ← RegionSnapshot, PlacementPolicy, SeedRecord interfaces</w:t>
      </w:r>
      <w:r>
        <w:br/>
      </w:r>
      <w:r>
        <w:rPr>
          <w:rStyle w:val="VerbatimChar"/>
        </w:rPr>
        <w:t xml:space="preserve">  /components</w:t>
      </w:r>
      <w:r>
        <w:br/>
      </w:r>
      <w:r>
        <w:rPr>
          <w:rStyle w:val="VerbatimChar"/>
        </w:rPr>
        <w:t xml:space="preserve">    WorkloadSetup.tsx    ← Screen 1</w:t>
      </w:r>
      <w:r>
        <w:br/>
      </w:r>
      <w:r>
        <w:rPr>
          <w:rStyle w:val="VerbatimChar"/>
        </w:rPr>
        <w:t xml:space="preserve">    HCGateTable.tsx      ← Screen 2</w:t>
      </w:r>
      <w:r>
        <w:br/>
      </w:r>
      <w:r>
        <w:rPr>
          <w:rStyle w:val="VerbatimChar"/>
        </w:rPr>
        <w:t xml:space="preserve">    ScoringTable.tsx     ← Screens 3, 4, 5</w:t>
      </w:r>
      <w:r>
        <w:br/>
      </w:r>
      <w:r>
        <w:rPr>
          <w:rStyle w:val="VerbatimChar"/>
        </w:rPr>
        <w:t xml:space="preserve">    SeedRecord.tsx       ← Screen 6 + DR sizing panel</w:t>
      </w:r>
      <w:r>
        <w:br/>
      </w:r>
      <w:r>
        <w:rPr>
          <w:rStyle w:val="VerbatimChar"/>
        </w:rPr>
        <w:t xml:space="preserve">    PolicyPanel.tsx      ← Collapsible sidebar: weight editor, total_customers mode</w:t>
      </w:r>
      <w:r>
        <w:br/>
      </w:r>
      <w:r>
        <w:rPr>
          <w:rStyle w:val="VerbatimChar"/>
        </w:rPr>
        <w:t xml:space="preserve">    ComponentBreakdown.tsx ← Stacked bar chart per component</w:t>
      </w:r>
      <w:r>
        <w:br/>
      </w:r>
      <w:r>
        <w:rPr>
          <w:rStyle w:val="VerbatimChar"/>
        </w:rPr>
        <w:t xml:space="preserve">  /app</w:t>
      </w:r>
      <w:r>
        <w:br/>
      </w:r>
      <w:r>
        <w:rPr>
          <w:rStyle w:val="VerbatimChar"/>
        </w:rPr>
        <w:t xml:space="preserve">    page.tsx             ← Main orchestration</w:t>
      </w:r>
    </w:p>
    <w:bookmarkEnd w:id="56"/>
    <w:bookmarkStart w:id="57" w:name="data-flow"/>
    <w:p>
      <w:pPr>
        <w:pStyle w:val="Heading3"/>
      </w:pPr>
      <w:r>
        <w:t xml:space="preserve">6.3 Data Flow</w:t>
      </w:r>
    </w:p>
    <w:p>
      <w:pPr>
        <w:pStyle w:val="SourceCode"/>
      </w:pPr>
      <w:r>
        <w:rPr>
          <w:rStyle w:val="VerbatimChar"/>
        </w:rPr>
        <w:t xml:space="preserve">User Input (Screen 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policyValidator.ts   ─── validates weight sum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hardConstraints.ts   ─── filters candidate pool per HC check (returns pass/fail + reason per region)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scoring.ts           ─── computes PS_Prod/NonProd/DR for passing candidates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selectionLogic.ts    ─── Prod = argmax(PS_Prod); CVAL = argmax(PS_NonProd) over remaining; DR = argmax(PS_DR) over remaining (or co-location rule for 2-region)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drSizing.ts          ─── max-not-sum DR_Requirement for the selected DR region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CustomerSeedRecord   ─── {production_region, cval_region, dr_region, readiness_state, policy_version}</w:t>
      </w:r>
    </w:p>
    <w:p>
      <w:pPr>
        <w:pStyle w:val="FirstParagraph"/>
      </w:pPr>
      <w:r>
        <w:t xml:space="preserve">All computation is synchronous and runs on state change — no async calls.</w:t>
      </w:r>
    </w:p>
    <w:bookmarkEnd w:id="57"/>
    <w:bookmarkStart w:id="58" w:name="mock-data-editability"/>
    <w:p>
      <w:pPr>
        <w:pStyle w:val="Heading3"/>
      </w:pPr>
      <w:r>
        <w:t xml:space="preserve">6.4 Mock Data Editability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Policy Panel</w:t>
      </w:r>
      <w:r>
        <w:t xml:space="preserve"> </w:t>
      </w:r>
      <w:r>
        <w:t xml:space="preserve">sidebar allows: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Weight editor</w:t>
      </w:r>
      <w:r>
        <w:t xml:space="preserve">: α, β, γ, δ, ε sliders (0.00–1.00, step 0.01) with a live sum display. Weight sum validation runs on every change; error banner shown if out of tolerance.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total_customers mode</w:t>
      </w:r>
      <w:r>
        <w:t xml:space="preserve">: radio buttons (Live Geography Total / Policy Constant / Manual Entry)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Region data editor</w:t>
      </w:r>
      <w:r>
        <w:t xml:space="preserve">: expandable cards for each region with editable snapshot fields. All arithmetic in Screens 2–6 re-runs on field change.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Scenario loader</w:t>
      </w:r>
      <w:r>
        <w:t xml:space="preserve">: dropdown that resets all mock data to a named scenario state.</w:t>
      </w:r>
    </w:p>
    <w:bookmarkEnd w:id="58"/>
    <w:bookmarkStart w:id="59" w:name="design-gaps-surfaced-in-ui"/>
    <w:p>
      <w:pPr>
        <w:pStyle w:val="Heading3"/>
      </w:pPr>
      <w:r>
        <w:t xml:space="preserve">6.5 Design Gaps Surfaced in UI</w:t>
      </w:r>
    </w:p>
    <w:p>
      <w:pPr>
        <w:pStyle w:val="FirstParagraph"/>
      </w:pPr>
      <w:r>
        <w:t xml:space="preserve">The following known gaps from the source documents are</w:t>
      </w:r>
      <w:r>
        <w:t xml:space="preserve"> </w:t>
      </w:r>
      <w:r>
        <w:rPr>
          <w:bCs/>
          <w:b/>
        </w:rPr>
        <w:t xml:space="preserve">annotated inline</w:t>
      </w:r>
      <w:r>
        <w:t xml:space="preserve">, not hidden: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total_customers</w:t>
            </w:r>
            <w:r>
              <w:t xml:space="preserve"> </w:t>
            </w:r>
            <w: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component row in scoring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⚠ icon with tooltip linking to the open issue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PS_NonProd δ duplicates 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row in NonProd scoring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ℹ icon:</w:t>
            </w:r>
            <w:r>
              <w:t xml:space="preserve"> </w:t>
            </w:r>
            <w:r>
              <w:t xml:space="preserve">“</w:t>
            </w:r>
            <w:r>
              <w:t xml:space="preserve">Known design gap — δ mirrors α for NonProd. Baseline v2.4 does not yet resolve this.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dr_bootstrap_qty</w:t>
            </w:r>
            <w:r>
              <w:t xml:space="preserve"> </w:t>
            </w:r>
            <w:r>
              <w:t xml:space="preserve">is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 gate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shows default (configurable), annotation:</w:t>
            </w:r>
            <w:r>
              <w:t xml:space="preserve"> </w:t>
            </w:r>
            <w:r>
              <w:t xml:space="preserve">“</w:t>
            </w:r>
            <w:r>
              <w:t xml:space="preserve">Baseline value is TBD per workload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dr_coverage_target</w:t>
            </w:r>
            <w:r>
              <w:t xml:space="preserve"> </w:t>
            </w:r>
            <w:r>
              <w:t xml:space="preserve">is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row in PS_DR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annotation 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data-dimensions"/>
    <w:p>
      <w:pPr>
        <w:pStyle w:val="Heading2"/>
      </w:pPr>
      <w:r>
        <w:t xml:space="preserve">7. Data Dimensions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in-scope (US, EU, AU, APAC,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US(3) + EU(2) + AU(2) + APAC(2) + ME(2)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customers per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Enough to make γ non-trivial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E16ads_v5, E8ads_v5, D8s_v5, D16s_v5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Pre-loaded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A–F (see Section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count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1–10 (stepper)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 = vm_count × vcpu_per_vm</w:t>
            </w:r>
          </w:p>
        </w:tc>
      </w:tr>
    </w:tbl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sufficient to exercise all formula paths</w:t>
      </w:r>
      <w:r>
        <w:t xml:space="preserve"> </w:t>
      </w:r>
      <w:r>
        <w:t xml:space="preserve">without overwhelming the UI. If the team wants to extend to more regions or customer volumes later, the JSON data file can be expanded without code changes.</w:t>
      </w:r>
    </w:p>
    <w:p>
      <w:r>
        <w:pict>
          <v:rect style="width:0;height:1.5pt" o:hralign="center" o:hrstd="t" o:hr="t"/>
        </w:pict>
      </w:r>
    </w:p>
    <w:bookmarkEnd w:id="61"/>
    <w:bookmarkStart w:id="62" w:name="X59d2f70bf99eaeebdeaec83ef3b343d7b6efa60"/>
    <w:p>
      <w:pPr>
        <w:pStyle w:val="Heading2"/>
      </w:pPr>
      <w:r>
        <w:t xml:space="preserve">8. Open Questions (Require Resolution Before or During Build)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total_customers</w:t>
            </w:r>
            <w:r>
              <w:t xml:space="preserve"> </w:t>
            </w:r>
            <w:r>
              <w:t xml:space="preserve">definition — which interpretation does the team want modelled as the</w:t>
            </w:r>
            <w:r>
              <w:t xml:space="preserve"> </w:t>
            </w:r>
            <w:r>
              <w:rPr>
                <w:bCs/>
                <w:b/>
              </w:rPr>
              <w:t xml:space="preserve">default</w:t>
            </w:r>
            <w:r>
              <w:t xml:space="preserve"> </w:t>
            </w:r>
            <w:r>
              <w:t xml:space="preserve">in the mockup?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values change materially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</w:t>
            </w:r>
            <w:r>
              <w:t xml:space="preserve"> </w:t>
            </w:r>
            <w:r>
              <w:t xml:space="preserve">“</w:t>
            </w:r>
            <w:r>
              <w:t xml:space="preserve">Live Geography Total</w:t>
            </w:r>
            <w:r>
              <w:t xml:space="preserve">”</w:t>
            </w:r>
            <w:r>
              <w:t xml:space="preserve"> </w:t>
            </w:r>
            <w:r>
              <w:t xml:space="preserve">(sum of region_customer_counts); expose all modes via the chooser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PS_NonProd δ component — is the duplicate of α intentional or a spec gap to be resolved?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NonProd scoring fidelity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duplicate as-is with annotation; flag as design gap for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dr_bootstrap_qty</w:t>
            </w:r>
            <w:r>
              <w:t xml:space="preserve"> </w:t>
            </w:r>
            <w:r>
              <w:t xml:space="preserve">concrete values — what should the mock data 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 pass/fail depends on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40–60 vCPU range in mock data (lean, per baseline guidance ~5–20%); make 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dr_coverage_target</w:t>
            </w:r>
            <w:r>
              <w:t xml:space="preserve"> </w:t>
            </w:r>
            <w:r>
              <w:t xml:space="preserve">concrete values — what normalization target for δ in PS_DR?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δ_component = coverage_ratio /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0.80 as starter in mock data (editable)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destination set — exact EU Standard regions the engine selects from?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scoring candidate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{Switzerland North, Sweden Central} as the mock EU destination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the mockup include the quota pool arithmetic (Part 2 of walkthroughs) as a separate panel?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 for v1 — Region Selection only; quota management is a follow-on mockup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delivery-plan"/>
    <w:p>
      <w:pPr>
        <w:pStyle w:val="Heading2"/>
      </w:pPr>
      <w:r>
        <w:t xml:space="preserve">9. Delivery Plan</w:t>
      </w:r>
    </w:p>
    <w:bookmarkStart w:id="63" w:name="Xf2180611018ea71397db73df57a0b78d0643075"/>
    <w:p>
      <w:pPr>
        <w:pStyle w:val="Heading3"/>
      </w:pPr>
      <w:r>
        <w:t xml:space="preserve">Phase 1 — Region Selection Prototype (this build)</w:t>
      </w:r>
    </w:p>
    <w:p>
      <w:pPr>
        <w:numPr>
          <w:ilvl w:val="0"/>
          <w:numId w:val="1009"/>
        </w:numPr>
        <w:pStyle w:val="Compact"/>
      </w:pPr>
      <w:r>
        <w:t xml:space="preserve">All 5 geographies loaded with mock data</w:t>
      </w:r>
    </w:p>
    <w:p>
      <w:pPr>
        <w:numPr>
          <w:ilvl w:val="0"/>
          <w:numId w:val="1009"/>
        </w:numPr>
        <w:pStyle w:val="Compact"/>
      </w:pPr>
      <w:r>
        <w:t xml:space="preserve">HC gate (HC-3, HC-6, HC-7)</w:t>
      </w:r>
    </w:p>
    <w:p>
      <w:pPr>
        <w:numPr>
          <w:ilvl w:val="0"/>
          <w:numId w:val="1009"/>
        </w:numPr>
        <w:pStyle w:val="Compact"/>
      </w:pPr>
      <w:r>
        <w:t xml:space="preserve">PS_Prod / PS_NonProd / PS_DR scoring</w:t>
      </w:r>
    </w:p>
    <w:p>
      <w:pPr>
        <w:numPr>
          <w:ilvl w:val="0"/>
          <w:numId w:val="1009"/>
        </w:numPr>
        <w:pStyle w:val="Compact"/>
      </w:pPr>
      <w:r>
        <w:t xml:space="preserve">Prod → CVAL → DR sequential selection</w:t>
      </w:r>
    </w:p>
    <w:p>
      <w:pPr>
        <w:numPr>
          <w:ilvl w:val="0"/>
          <w:numId w:val="1009"/>
        </w:numPr>
        <w:pStyle w:val="Compact"/>
      </w:pPr>
      <w:r>
        <w:t xml:space="preserve">CustomerSeedRecord + readiness state output</w:t>
      </w:r>
    </w:p>
    <w:p>
      <w:pPr>
        <w:numPr>
          <w:ilvl w:val="0"/>
          <w:numId w:val="1009"/>
        </w:numPr>
        <w:pStyle w:val="Compact"/>
      </w:pPr>
      <w:r>
        <w:t xml:space="preserve">Policy Panel (weights, total_customers mode)</w:t>
      </w:r>
    </w:p>
    <w:p>
      <w:pPr>
        <w:numPr>
          <w:ilvl w:val="0"/>
          <w:numId w:val="1009"/>
        </w:numPr>
        <w:pStyle w:val="Compact"/>
      </w:pPr>
      <w:r>
        <w:t xml:space="preserve">6 pre-loaded demo scenarios</w:t>
      </w:r>
    </w:p>
    <w:p>
      <w:pPr>
        <w:numPr>
          <w:ilvl w:val="0"/>
          <w:numId w:val="1009"/>
        </w:numPr>
        <w:pStyle w:val="Compact"/>
      </w:pPr>
      <w:r>
        <w:t xml:space="preserve">Design gaps annotated inline</w:t>
      </w:r>
    </w:p>
    <w:bookmarkEnd w:id="63"/>
    <w:bookmarkStart w:id="64" w:name="phase-2-quota-management-panel-follow-on"/>
    <w:p>
      <w:pPr>
        <w:pStyle w:val="Heading3"/>
      </w:pPr>
      <w:r>
        <w:t xml:space="preserve">Phase 2 — Quota Management Panel (follow-on)</w:t>
      </w:r>
    </w:p>
    <w:p>
      <w:pPr>
        <w:numPr>
          <w:ilvl w:val="0"/>
          <w:numId w:val="1010"/>
        </w:numPr>
        <w:pStyle w:val="Compact"/>
      </w:pPr>
      <w:r>
        <w:t xml:space="preserve">Pool_Limit calculation</w:t>
      </w:r>
    </w:p>
    <w:p>
      <w:pPr>
        <w:numPr>
          <w:ilvl w:val="0"/>
          <w:numId w:val="1010"/>
        </w:numPr>
        <w:pStyle w:val="Compact"/>
      </w:pPr>
      <w:r>
        <w:t xml:space="preserve">Allocatable_NonProd</w:t>
      </w:r>
    </w:p>
    <w:p>
      <w:pPr>
        <w:numPr>
          <w:ilvl w:val="0"/>
          <w:numId w:val="1010"/>
        </w:numPr>
        <w:pStyle w:val="Compact"/>
      </w:pPr>
      <w:r>
        <w:t xml:space="preserve">HC-7 pool arithmetic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QUOTA_DEFICIT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 </w:t>
      </w:r>
      <w:r>
        <w:t xml:space="preserve">simulation</w:t>
      </w:r>
    </w:p>
    <w:bookmarkEnd w:id="64"/>
    <w:bookmarkStart w:id="65" w:name="X9550c7128066d4a2a3ca97eeedc25770bb73d3f"/>
    <w:p>
      <w:pPr>
        <w:pStyle w:val="Heading3"/>
      </w:pPr>
      <w:r>
        <w:t xml:space="preserve">Phase 3 — Capacity Reconciliation Simulator (follow-on)</w:t>
      </w:r>
    </w:p>
    <w:p>
      <w:pPr>
        <w:numPr>
          <w:ilvl w:val="0"/>
          <w:numId w:val="1011"/>
        </w:numPr>
        <w:pStyle w:val="Compact"/>
      </w:pPr>
      <w:r>
        <w:t xml:space="preserve">Target vs reserved comparison</w:t>
      </w:r>
    </w:p>
    <w:p>
      <w:pPr>
        <w:numPr>
          <w:ilvl w:val="0"/>
          <w:numId w:val="1011"/>
        </w:numPr>
        <w:pStyle w:val="Compact"/>
      </w:pPr>
      <w:r>
        <w:t xml:space="preserve">Auto-increase threshold triggers</w:t>
      </w:r>
    </w:p>
    <w:p>
      <w:pPr>
        <w:numPr>
          <w:ilvl w:val="0"/>
          <w:numId w:val="1011"/>
        </w:numPr>
        <w:pStyle w:val="Compact"/>
      </w:pPr>
      <w:r>
        <w:t xml:space="preserve">Max-not-sum DR requirement calculator (extended)</w:t>
      </w:r>
    </w:p>
    <w:p>
      <w:pPr>
        <w:numPr>
          <w:ilvl w:val="0"/>
          <w:numId w:val="1011"/>
        </w:numPr>
        <w:pStyle w:val="Compact"/>
      </w:pPr>
      <w:r>
        <w:t xml:space="preserve">Reconciliation loop visualization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ecision-log"/>
    <w:p>
      <w:pPr>
        <w:pStyle w:val="Heading2"/>
      </w:pPr>
      <w:r>
        <w:t xml:space="preserve">10. Decision 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 functional prototype (not wireframes)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Figma/design mockup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requested a</w:t>
            </w:r>
            <w:r>
              <w:t xml:space="preserve"> </w:t>
            </w:r>
            <w:r>
              <w:t xml:space="preserve">“</w:t>
            </w:r>
            <w:r>
              <w:t xml:space="preserve">mock selection tool based on mocked up data</w:t>
            </w:r>
            <w:r>
              <w:t xml:space="preserve">”</w:t>
            </w:r>
            <w:r>
              <w:t xml:space="preserve"> </w:t>
            </w:r>
            <w:r>
              <w:t xml:space="preserve">— implies interactive computation, not static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more build time; produces a demo that actually runs the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computation client-side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Python/Node 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async latency; mock data fits in memory; no Azure calls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simulate real Azure API delays (acceptable for a prototype)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mock data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constants in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mock data editable from the UI without code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 JSON schema; small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pre-loaded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User-defined scenarios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core paths are always demonstrable; reduces setup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may not cover every edge case the team invents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gap annotations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gaps (pretend they don’t exist)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team needs to see where the spec is incomplete during prototyping — hiding gaps delays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more complex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Scope: Region Selection only (Phase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Quota + Capacity in one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and Capacity add substantial complexity; Region Selection can be validated independently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Follow-on builds required for full ACRME coverage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Plan — Awaiting approval before implementation begins.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2026-09-21T14:05:40Z</dcterms:created>
  <dcterms:modified xsi:type="dcterms:W3CDTF">2026-09-21T14:05:40Z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