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5d0b252dc52ce0597e7e5f67929891c2331c331"/>
    <w:p>
      <w:pPr>
        <w:pStyle w:val="Heading1"/>
      </w:pPr>
      <w:r>
        <w:t xml:space="preserve">ACRME Calculation Logic — Plain English Walkthrough (v2.5)</w:t>
      </w:r>
    </w:p>
    <w:p>
      <w:pPr>
        <w:pStyle w:val="BlockText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Companion reference — plain-language explanation of every formula in the</w:t>
      </w:r>
      <w:r>
        <w:t xml:space="preserve"> </w:t>
      </w:r>
      <w:r>
        <w:t xml:space="preserve">Calculation Logic Reference. This document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 the Calculation Logic</w:t>
      </w:r>
      <w:r>
        <w:t xml:space="preserve"> </w:t>
      </w:r>
      <w:r>
        <w:t xml:space="preserve">Reference or the Technical Design Document. Read it alongside those documents to understand the</w:t>
      </w:r>
      <w:r>
        <w:t xml:space="preserve"> </w:t>
      </w:r>
      <w:r>
        <w:rPr>
          <w:iCs/>
          <w:i/>
        </w:rPr>
        <w:t xml:space="preserve">intent</w:t>
      </w:r>
      <w:r>
        <w:t xml:space="preserve"> </w:t>
      </w:r>
      <w:r>
        <w:t xml:space="preserve">behind each formula before reading the formal notation.</w:t>
      </w:r>
    </w:p>
    <w:p>
      <w:pPr>
        <w:pStyle w:val="BlockText"/>
      </w:pPr>
      <w:r>
        <w:rPr>
          <w:bCs/>
          <w:b/>
        </w:rPr>
        <w:t xml:space="preserve">Audience:</w:t>
      </w:r>
      <w:r>
        <w:t xml:space="preserve"> </w:t>
      </w:r>
      <w:r>
        <w:t xml:space="preserve">Platform engineers, product owners, and architects who need to reason about ACRME</w:t>
      </w:r>
      <w:r>
        <w:t xml:space="preserve"> </w:t>
      </w:r>
      <w:r>
        <w:t xml:space="preserve">behaviour without working through mathematical notation first.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1.2 — reconciled to Requirements Baseline</w:t>
      </w:r>
      <w:r>
        <w:t xml:space="preserve"> </w:t>
      </w:r>
      <w:r>
        <w:rPr>
          <w:bCs/>
          <w:b/>
        </w:rPr>
        <w:t xml:space="preserve">v2.5</w:t>
      </w:r>
      <w:r>
        <w:t xml:space="preserve"> </w:t>
      </w:r>
      <w:r>
        <w:t xml:space="preserve">(24 September 2026).</w:t>
      </w:r>
    </w:p>
    <w:p>
      <w:pPr>
        <w:pStyle w:val="BlockText"/>
      </w:pPr>
      <w:r>
        <w:rPr>
          <w:bCs/>
          <w:b/>
        </w:rPr>
        <w:t xml:space="preserve">v2.5 foundation note.</w:t>
      </w:r>
      <w:r>
        <w:t xml:space="preserve"> </w:t>
      </w:r>
      <w:r>
        <w:t xml:space="preserve">Microsoft Learn corrections: sharing stays Preview and production placement uses a reservation in the deploying subscription; the consumer must hold its own quota (QUA-013, no longer an unknown); quota has a family cap and a regional total cap; a Quota Group transfers quota and the subscription is what deployment checks; a CRG is zonal by default and a no-zone group is pinned to one zone Azure chooses (CAP-023); logical zone numbers differ per subscription (CAP-016); deallocated associated VMs still hold quota until dissociated (CAP-004). Section 4.1 and Section 5.11.3 carry the detail.</w:t>
      </w:r>
    </w:p>
    <w:p>
      <w:pPr>
        <w:pStyle w:val="BlockText"/>
      </w:pPr>
      <w:r>
        <w:rPr>
          <w:bCs/>
          <w:b/>
        </w:rPr>
        <w:t xml:space="preserve">v2.4 reconciliation note.</w:t>
      </w:r>
      <w:r>
        <w:t xml:space="preserve"> </w:t>
      </w:r>
      <w:r>
        <w:t xml:space="preserve">The geography-aware region model has</w:t>
      </w:r>
      <w:r>
        <w:t xml:space="preserve"> </w:t>
      </w:r>
      <w:r>
        <w:rPr>
          <w:bCs/>
          <w:b/>
        </w:rPr>
        <w:t xml:space="preserve">three distribution models</w:t>
      </w:r>
      <w:r>
        <w:t xml:space="preserve">: US three-region (Prod/CVAL/DR distinct); EU/Australia/Asia Pacific two-region co-located (CVAL+DR co-located per PLC-010a); and the</w:t>
      </w:r>
      <w:r>
        <w:t xml:space="preserve"> </w:t>
      </w:r>
      <w:r>
        <w:rPr>
          <w:bCs/>
          <w:b/>
        </w:rPr>
        <w:t xml:space="preserve">Middle East cross-geo DR model</w:t>
      </w:r>
      <w:r>
        <w:t xml:space="preserve"> </w:t>
      </w:r>
      <w:r>
        <w:t xml:space="preserve">— Prod+CVAL co-located in a weighted-selected Middle East region, DR placed cross-geo in a weighted-selected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Standard region (PLC-010b, DR-020, DEC-001 RESOLVED, A-ME1). The Middle East example in Section 3.6a reflects this. v2.4 added reservation</w:t>
      </w:r>
      <w:r>
        <w:t xml:space="preserve"> </w:t>
      </w:r>
      <w:r>
        <w:rPr>
          <w:bCs/>
          <w:b/>
        </w:rPr>
        <w:t xml:space="preserve">eligibility</w:t>
      </w:r>
      <w:r>
        <w:t xml:space="preserve"> </w:t>
      </w:r>
      <w:r>
        <w:t xml:space="preserve">(CAP-020/CAP-021), the</w:t>
      </w:r>
      <w:r>
        <w:t xml:space="preserve"> </w:t>
      </w:r>
      <w:r>
        <w:rPr>
          <w:bCs/>
          <w:b/>
        </w:rPr>
        <w:t xml:space="preserve">seed-at-0</w:t>
      </w:r>
      <w:r>
        <w:t xml:space="preserve"> </w:t>
      </w:r>
      <w:r>
        <w:t xml:space="preserve">SKU/AZ matrix (CAP-022),</w:t>
      </w:r>
      <w:r>
        <w:t xml:space="preserve"> </w:t>
      </w:r>
      <w:r>
        <w:rPr>
          <w:bCs/>
          <w:b/>
        </w:rPr>
        <w:t xml:space="preserve">reactive SKU/AZ discovery</w:t>
      </w:r>
      <w:r>
        <w:t xml:space="preserve"> </w:t>
      </w:r>
      <w:r>
        <w:t xml:space="preserve">(CAP-024), and the</w:t>
      </w:r>
      <w:r>
        <w:t xml:space="preserve"> </w:t>
      </w:r>
      <w:r>
        <w:rPr>
          <w:bCs/>
          <w:b/>
        </w:rPr>
        <w:t xml:space="preserve">even zone-distribution</w:t>
      </w:r>
      <w:r>
        <w:t xml:space="preserve"> </w:t>
      </w:r>
      <w:r>
        <w:t xml:space="preserve">target + rebalancing (PLC-011, Appendix A.9). The CRG shape in Section 5.11.3 is the v2.5 zonal default.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Calculation Logic — Plain English Walkthrough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(reconciled to Requirements Baseline v2.5)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September 2026 (foundation); originally 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Q&amp;A design walkthrough session; Calculation Logic Reference; Requirements Baseline v2.5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acrme_calculation_logic_reference.md</w:t>
            </w:r>
            <w:r>
              <w:t xml:space="preserve"> </w:t>
            </w:r>
            <w:r>
              <w:t xml:space="preserve">(formal notation);</w:t>
            </w:r>
            <w:r>
              <w:t xml:space="preserve"> </w:t>
            </w:r>
            <w:r>
              <w:rPr>
                <w:rStyle w:val="VerbatimChar"/>
              </w:rPr>
              <w:t xml:space="preserve">acrme_technical_design_document.md</w:t>
            </w:r>
            <w:r>
              <w:t xml:space="preserve"> </w:t>
            </w:r>
            <w:r>
              <w:t xml:space="preserve">(component design)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— What ACRME Actually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Document Is Organised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1: 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2: 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3: 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Weight 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Three Domains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Reference — Key Numbers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rientation-what-acrme-actually-does"/>
    <w:p>
      <w:pPr>
        <w:pStyle w:val="Heading2"/>
      </w:pPr>
      <w:r>
        <w:t xml:space="preserve">1. Orientation — What ACRME Actually Does</w:t>
      </w:r>
    </w:p>
    <w:p>
      <w:pPr>
        <w:pStyle w:val="FirstParagraph"/>
      </w:pPr>
      <w:r>
        <w:t xml:space="preserve">Before any Azure VM is deployed for a customer, ACRME answers three questions in sequence: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should this customer live?</w:t>
      </w:r>
      <w:r>
        <w:t xml:space="preserve"> </w:t>
      </w:r>
      <w:r>
        <w:t xml:space="preserve">— pick the best Azure region for each environment</w:t>
      </w:r>
      <w:r>
        <w:t xml:space="preserve"> </w:t>
      </w:r>
      <w:r>
        <w:t xml:space="preserve">(production, CVAL, DR).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there enough quota there?</w:t>
      </w:r>
      <w:r>
        <w:t xml:space="preserve"> </w:t>
      </w:r>
      <w:r>
        <w:t xml:space="preserve">— ensure the subscription has headroom to deploy the required</w:t>
      </w:r>
      <w:r>
        <w:t xml:space="preserve"> </w:t>
      </w:r>
      <w:r>
        <w:t xml:space="preserve">VM family.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there a physical reservation?</w:t>
      </w:r>
      <w:r>
        <w:t xml:space="preserve"> </w:t>
      </w:r>
      <w:r>
        <w:t xml:space="preserve">— ensure Azure has set aside the physical capacity the VM</w:t>
      </w:r>
      <w:r>
        <w:t xml:space="preserve"> </w:t>
      </w:r>
      <w:r>
        <w:t xml:space="preserve">needs.</w:t>
      </w:r>
    </w:p>
    <w:p>
      <w:pPr>
        <w:pStyle w:val="FirstParagraph"/>
      </w:pPr>
      <w:r>
        <w:t xml:space="preserve">If all three answers are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the deployment gets 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signal and proceeds. If any answer is</w:t>
      </w:r>
      <w:r>
        <w:t xml:space="preserve"> </w:t>
      </w: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the deployment is held until the gap is closed.</w:t>
      </w:r>
    </w:p>
    <w:p>
      <w:pPr>
        <w:pStyle w:val="BodyText"/>
      </w:pPr>
      <w:r>
        <w:t xml:space="preserve">These three questions map to the three calculation domains this document explains: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this customer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1, 2, 3, 4, 5,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subscription limit high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8,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Azure reserved the physical hardware?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11, 12, 13, 16, 17, 18,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this-document-is-organised"/>
    <w:p>
      <w:pPr>
        <w:pStyle w:val="Heading2"/>
      </w:pPr>
      <w:r>
        <w:t xml:space="preserve">2. How This Document Is Organised</w:t>
      </w:r>
    </w:p>
    <w:p>
      <w:pPr>
        <w:pStyle w:val="FirstParagraph"/>
      </w:pPr>
      <w:r>
        <w:t xml:space="preserve">Each domain section follows the same pattern: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Concept</w:t>
      </w:r>
      <w:r>
        <w:t xml:space="preserve"> </w:t>
      </w:r>
      <w:r>
        <w:t xml:space="preserve">— what this domain manages, in plain language.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formula, translated</w:t>
      </w:r>
      <w:r>
        <w:t xml:space="preserve"> </w:t>
      </w:r>
      <w:r>
        <w:t xml:space="preserve">— what each piece of the formula means.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Happy path</w:t>
      </w:r>
      <w:r>
        <w:t xml:space="preserve"> </w:t>
      </w:r>
      <w:r>
        <w:t xml:space="preserve">— what happens when everything is fine.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Sad path</w:t>
      </w:r>
      <w:r>
        <w:t xml:space="preserve"> </w:t>
      </w:r>
      <w:r>
        <w:t xml:space="preserve">— what happens when something is wrong.</w:t>
      </w:r>
    </w:p>
    <w:p>
      <w:pPr>
        <w:pStyle w:val="FirstParagraph"/>
      </w:pPr>
      <w:r>
        <w:t xml:space="preserve">Geography-specific examples use the authoritative Standard Capacity region sets (Requirements Baseline</w:t>
      </w:r>
      <w:r>
        <w:t xml:space="preserve"> </w:t>
      </w:r>
      <w:r>
        <w:t xml:space="preserve">v2.4 Section 6, ADR-001).</w:t>
      </w:r>
      <w:r>
        <w:t xml:space="preserve"> </w:t>
      </w:r>
      <w:r>
        <w:rPr>
          <w:bCs/>
          <w:b/>
        </w:rPr>
        <w:t xml:space="preserve">Five geographies are in scope. US is the only three-region geography; all</w:t>
      </w:r>
      <w:r>
        <w:rPr>
          <w:bCs/>
          <w:b/>
        </w:rPr>
        <w:t xml:space="preserve"> </w:t>
      </w:r>
      <w:r>
        <w:rPr>
          <w:bCs/>
          <w:b/>
        </w:rPr>
        <w:t xml:space="preserve">others use a two-region distribution model</w:t>
      </w:r>
      <w:r>
        <w:t xml:space="preserve"> </w:t>
      </w:r>
      <w:r>
        <w:t xml:space="preserve">— Prod in one region, CVAL + DR co-located in the other</w:t>
      </w:r>
      <w:r>
        <w:t xml:space="preserve"> </w:t>
      </w:r>
      <w:r>
        <w:t xml:space="preserve">(PLC-010a).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Middle East is the exception</w:t>
      </w:r>
      <w:r>
        <w:t xml:space="preserve">: it uses a</w:t>
      </w:r>
      <w:r>
        <w:t xml:space="preserve"> </w:t>
      </w:r>
      <w:r>
        <w:rPr>
          <w:bCs/>
          <w:b/>
        </w:rPr>
        <w:t xml:space="preserve">cross-geo DR model</w:t>
      </w:r>
      <w:r>
        <w:t xml:space="preserve"> </w:t>
      </w:r>
      <w:r>
        <w:t xml:space="preserve">— Prod+CVAL co-locate in a weighted-selected Middle East region and DR is placed cross-geo in a weighted-selected Europe region (PLC-010b, DR-020). The catalogue is a configurable item (REG-001), so this table is the current example, not</w:t>
      </w:r>
      <w:r>
        <w:t xml:space="preserve"> </w:t>
      </w:r>
      <w:r>
        <w:t xml:space="preserve">a hard-coded set: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Capacity Regions (engine-selectable)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(exception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 · West Europe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·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·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</w:t>
            </w:r>
            <w:r>
              <w:t xml:space="preserve"> </w:t>
            </w:r>
            <w:r>
              <w:rPr>
                <w:iCs/>
                <w:i/>
              </w:rPr>
              <w:t xml:space="preserve">(pending confirmation)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 ·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two-region walkthrough below uses</w:t>
      </w:r>
      <w:r>
        <w:t xml:space="preserve"> </w:t>
      </w:r>
      <w:r>
        <w:rPr>
          <w:bCs/>
          <w:b/>
        </w:rPr>
        <w:t xml:space="preserve">EU</w:t>
      </w:r>
      <w:r>
        <w:t xml:space="preserve"> </w:t>
      </w:r>
      <w:r>
        <w:t xml:space="preserve">as the worked example;</w:t>
      </w:r>
      <w:r>
        <w:t xml:space="preserve"> </w:t>
      </w:r>
      <w:r>
        <w:rPr>
          <w:bCs/>
          <w:b/>
        </w:rPr>
        <w:t xml:space="preserve">Australia and Asia Pacific</w:t>
      </w:r>
      <w:r>
        <w:rPr>
          <w:bCs/>
          <w:b/>
        </w:rPr>
        <w:t xml:space="preserve"> </w:t>
      </w:r>
      <w:r>
        <w:rPr>
          <w:bCs/>
          <w:b/>
        </w:rPr>
        <w:t xml:space="preserve">follow the exact same 2-region co-located pattern</w:t>
      </w:r>
      <w:r>
        <w:t xml:space="preserve"> </w:t>
      </w:r>
      <w:r>
        <w:t xml:space="preserve">(Prod in one region, CVAL + DR co-located in the</w:t>
      </w:r>
      <w:r>
        <w:t xml:space="preserve"> </w:t>
      </w:r>
      <w:r>
        <w:t xml:space="preserve">other).</w:t>
      </w:r>
      <w:r>
        <w:t xml:space="preserve"> </w:t>
      </w:r>
      <w:r>
        <w:rPr>
          <w:bCs/>
          <w:b/>
        </w:rPr>
        <w:t xml:space="preserve">[Amended v2.4] The Middle East is different</w:t>
      </w:r>
      <w:r>
        <w:t xml:space="preserve">: Prod and CVAL co-locate in a weighted-selected</w:t>
      </w:r>
      <w:r>
        <w:t xml:space="preserve"> </w:t>
      </w:r>
      <w:r>
        <w:t xml:space="preserve">Middle East region, but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 </w:t>
      </w:r>
      <w:r>
        <w:t xml:space="preserve">(PLC-010b, DR-020, DEC-001 RESOLVED) — see Section 3.6a.</w:t>
      </w:r>
    </w:p>
    <w:p>
      <w:pPr>
        <w:pStyle w:val="BodyText"/>
      </w:pPr>
      <w:r>
        <w:t xml:space="preserve">Representative SKU examples throughout:</w:t>
      </w:r>
      <w:r>
        <w:t xml:space="preserve"> </w:t>
      </w:r>
      <w:r>
        <w:rPr>
          <w:bCs/>
          <w:b/>
        </w:rPr>
        <w:t xml:space="preserve">E16ads_v5</w:t>
      </w:r>
      <w:r>
        <w:t xml:space="preserve"> </w:t>
      </w:r>
      <w:r>
        <w:t xml:space="preserve">(16 vCPU per VM) and</w:t>
      </w:r>
      <w:r>
        <w:t xml:space="preserve"> </w:t>
      </w:r>
      <w:r>
        <w:rPr>
          <w:bCs/>
          <w:b/>
        </w:rPr>
        <w:t xml:space="preserve">E8ads_v5</w:t>
      </w:r>
      <w:r>
        <w:t xml:space="preserve"> </w:t>
      </w:r>
      <w:r>
        <w:t xml:space="preserve">(8 vCPU</w:t>
      </w:r>
      <w:r>
        <w:t xml:space="preserve"> </w:t>
      </w:r>
      <w:r>
        <w:t xml:space="preserve">per VM).</w:t>
      </w:r>
    </w:p>
    <w:p>
      <w:r>
        <w:pict>
          <v:rect style="width:0;height:1.5pt" o:hralign="center" o:hrstd="t" o:hr="t"/>
        </w:pict>
      </w:r>
    </w:p>
    <w:bookmarkEnd w:id="23"/>
    <w:bookmarkStart w:id="55" w:name="domain-1-region-selection"/>
    <w:p>
      <w:pPr>
        <w:pStyle w:val="Heading2"/>
      </w:pPr>
      <w:r>
        <w:t xml:space="preserve">3. Domain 1 — Region Selection</w:t>
      </w:r>
    </w:p>
    <w:bookmarkStart w:id="24" w:name="concept"/>
    <w:p>
      <w:pPr>
        <w:pStyle w:val="Heading3"/>
      </w:pPr>
      <w:r>
        <w:t xml:space="preserve">3.1 Concept</w:t>
      </w:r>
    </w:p>
    <w:p>
      <w:pPr>
        <w:pStyle w:val="FirstParagraph"/>
      </w:pPr>
      <w:r>
        <w:t xml:space="preserve">Region selection answers the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Of all the Azure regions available for this geography, which</w:t>
      </w:r>
      <w:r>
        <w:rPr>
          <w:iCs/>
          <w:i/>
        </w:rPr>
        <w:t xml:space="preserve"> </w:t>
      </w:r>
      <w:r>
        <w:rPr>
          <w:iCs/>
          <w:i/>
        </w:rPr>
        <w:t xml:space="preserve">one should this customer’s production (or CVAL, or DR) environment live in?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engine scores every eligible region and picks the highest-scoring one. The score is a number</w:t>
      </w:r>
      <w:r>
        <w:t xml:space="preserve"> </w:t>
      </w:r>
      <w:r>
        <w:t xml:space="preserve">between 0 and 1 — higher is better. The region with the highest score wins.</w:t>
      </w:r>
    </w:p>
    <w:p>
      <w:pPr>
        <w:pStyle w:val="BodyText"/>
      </w:pPr>
      <w:r>
        <w:t xml:space="preserve">Selection happens in a fixed sequential order:</w:t>
      </w:r>
      <w:r>
        <w:t xml:space="preserve"> </w:t>
      </w:r>
      <w:r>
        <w:rPr>
          <w:bCs/>
          <w:b/>
        </w:rPr>
        <w:t xml:space="preserve">Prod first, then CVAL (NonProd), then DR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Prod region</w:t>
      </w:r>
      <w:r>
        <w:t xml:space="preserve"> </w:t>
      </w:r>
      <w:r>
        <w:t xml:space="preserve">is usually supplied by the customer. ACRME validates it against hard constraints</w:t>
      </w:r>
      <w:r>
        <w:t xml:space="preserve"> </w:t>
      </w:r>
      <w:r>
        <w:t xml:space="preserve">rather than deriving it. Deriving a Prod region from geography alone is an exception path that</w:t>
      </w:r>
      <w:r>
        <w:t xml:space="preserve"> </w:t>
      </w:r>
      <w:r>
        <w:t xml:space="preserve">requires explicit approval.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CVAL region</w:t>
      </w:r>
      <w:r>
        <w:t xml:space="preserve"> </w:t>
      </w:r>
      <w:r>
        <w:t xml:space="preserve">is selected by the engine from the remaining Standard regions after Prod is</w:t>
      </w:r>
      <w:r>
        <w:t xml:space="preserve"> </w:t>
      </w:r>
      <w:r>
        <w:t xml:space="preserve">fixed.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DR region</w:t>
      </w:r>
      <w:r>
        <w:t xml:space="preserve"> </w:t>
      </w:r>
      <w:r>
        <w:t xml:space="preserve">is selected last from the remaining Standard regions.</w:t>
      </w:r>
    </w:p>
    <w:p>
      <w:pPr>
        <w:pStyle w:val="FirstParagraph"/>
      </w:pPr>
      <w:r>
        <w:t xml:space="preserve">If a customer’s supplied region is a</w:t>
      </w:r>
      <w:r>
        <w:t xml:space="preserve"> </w:t>
      </w:r>
      <w:r>
        <w:rPr>
          <w:bCs/>
          <w:b/>
        </w:rPr>
        <w:t xml:space="preserve">Restricted Capacity Region</w:t>
      </w:r>
      <w:r>
        <w:t xml:space="preserve"> </w:t>
      </w:r>
      <w:r>
        <w:t xml:space="preserve">(e.g. East US 2, North Europe),</w:t>
      </w:r>
      <w:r>
        <w:t xml:space="preserve"> </w:t>
      </w:r>
      <w:r>
        <w:t xml:space="preserve">it does not enter scoring at all. It goes to a manual exception workflow.</w:t>
      </w:r>
    </w:p>
    <w:bookmarkEnd w:id="24"/>
    <w:bookmarkStart w:id="25" w:name="X55bfdea8f63ca6d66dfde506c7b1c33cb19293e"/>
    <w:p>
      <w:pPr>
        <w:pStyle w:val="Heading3"/>
      </w:pPr>
      <w:r>
        <w:t xml:space="preserve">3.2 The Hard Constraint Gate — Ruling Out Ineligible Regions</w:t>
      </w:r>
    </w:p>
    <w:p>
      <w:pPr>
        <w:pStyle w:val="FirstParagraph"/>
      </w:pPr>
      <w:r>
        <w:t xml:space="preserve">Before any scoring happens, each candidate region must pass a set of hard constraints (HC-1..HC-10).</w:t>
      </w:r>
      <w:r>
        <w:t xml:space="preserve"> </w:t>
      </w:r>
      <w:r>
        <w:t xml:space="preserve">Think of these as eligibility checks that must all pass before a region is even considered. A region</w:t>
      </w:r>
      <w:r>
        <w:t xml:space="preserve"> </w:t>
      </w:r>
      <w:r>
        <w:t xml:space="preserve">that fails any hard constraint is removed from the scoring candidate pool entirely.</w:t>
      </w:r>
    </w:p>
    <w:p>
      <w:pPr>
        <w:pStyle w:val="BodyText"/>
      </w:pPr>
      <w:r>
        <w:t xml:space="preserve">The three arithmetic constraints that matter most in practice:</w:t>
      </w:r>
    </w:p>
    <w:p>
      <w:pPr>
        <w:pStyle w:val="BodyTex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Does the region have enough quota to accept the new deployment?</w:t>
      </w:r>
    </w:p>
    <w:p>
      <w:pPr>
        <w:pStyle w:val="SourceCode"/>
      </w:pPr>
      <w:r>
        <w:rPr>
          <w:rStyle w:val="VerbatimChar"/>
        </w:rPr>
        <w:t xml:space="preserve">For Prod:   the region's Prod quota headroom ≥ the vCPUs needed for this deployment</w:t>
      </w:r>
      <w:r>
        <w:br/>
      </w:r>
      <w:r>
        <w:rPr>
          <w:rStyle w:val="VerbatimChar"/>
        </w:rPr>
        <w:t xml:space="preserve">For NonProd: the region's effective NonProd headroom ≥ the vCPUs needed</w:t>
      </w:r>
      <w:r>
        <w:br/>
      </w:r>
      <w:r>
        <w:rPr>
          <w:rStyle w:val="VerbatimChar"/>
        </w:rPr>
        <w:t xml:space="preserve">For DR:      the region's DR headroom ≥ the target DR quantity × vCPU</w:t>
      </w:r>
    </w:p>
    <w:p>
      <w:pPr>
        <w:pStyle w:val="FirstParagraph"/>
      </w:pPr>
      <w:r>
        <w:t xml:space="preserve">In plain English: the region’s subscription quota limit is high enough that adding these VMs will</w:t>
      </w:r>
      <w:r>
        <w:t xml:space="preserve"> </w:t>
      </w:r>
      <w:r>
        <w:t xml:space="preserve">not push usage over the cap.</w:t>
      </w:r>
    </w:p>
    <w:p>
      <w:pPr>
        <w:pStyle w:val="BodyText"/>
      </w:pPr>
      <w:r>
        <w:rPr>
          <w:bCs/>
          <w:b/>
        </w:rPr>
        <w:t xml:space="preserve">HC-6 (DR Coverage Floor):</w:t>
      </w:r>
      <w:r>
        <w:t xml:space="preserve"> </w:t>
      </w:r>
      <w:r>
        <w:t xml:space="preserve">Does the region have enough room in its DR and NonProd CRGs combined</w:t>
      </w:r>
      <w:r>
        <w:t xml:space="preserve"> </w:t>
      </w:r>
      <w:r>
        <w:t xml:space="preserve">to take on this customer’s DR requirement?</w:t>
      </w:r>
    </w:p>
    <w:p>
      <w:pPr>
        <w:pStyle w:val="BodyTex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Would adding these NonProd VMs eat into the space that is earmarked</w:t>
      </w:r>
      <w:r>
        <w:t xml:space="preserve"> </w:t>
      </w:r>
      <w:r>
        <w:t xml:space="preserve">for DR? If yes, the region is rejected — ACRME never lets NonProd growth erode DR protection.</w:t>
      </w:r>
    </w:p>
    <w:p>
      <w:pPr>
        <w:pStyle w:val="BodyText"/>
      </w:pPr>
      <w:r>
        <w:rPr>
          <w:bCs/>
          <w:b/>
        </w:rPr>
        <w:t xml:space="preserve">What happens if a region fails?</w:t>
      </w:r>
      <w:r>
        <w:t xml:space="preserve"> </w:t>
      </w:r>
      <w:r>
        <w:t xml:space="preserve">It is excluded from the scoring step. The engine scores only</w:t>
      </w:r>
      <w:r>
        <w:t xml:space="preserve"> </w:t>
      </w:r>
      <w:r>
        <w:t xml:space="preserve">the regions that passed all hard constraints.</w:t>
      </w:r>
    </w:p>
    <w:bookmarkEnd w:id="25"/>
    <w:bookmarkStart w:id="36" w:name="Xffa5ebca731bcaa89d8806d65c30202cd359372"/>
    <w:p>
      <w:pPr>
        <w:pStyle w:val="Heading3"/>
      </w:pPr>
      <w:r>
        <w:t xml:space="preserve">3.3 The Scoring Formulas — What Each Weight Means</w:t>
      </w:r>
    </w:p>
    <w:p>
      <w:pPr>
        <w:pStyle w:val="FirstParagraph"/>
      </w:pPr>
      <w:r>
        <w:t xml:space="preserve">Each of the three environment types has its own scoring formula. All three share the same five weights</w:t>
      </w:r>
      <w:r>
        <w:t xml:space="preserve"> </w:t>
      </w:r>
      <w:r>
        <w:t xml:space="preserve">(α=0.30, β=0.20, γ=0.25, δ=0.15, ε=0.10) but each weight measures something slightly different</w:t>
      </w:r>
      <w:r>
        <w:t xml:space="preserve"> </w:t>
      </w:r>
      <w:r>
        <w:t xml:space="preserve">depending on the environment type.</w:t>
      </w:r>
    </w:p>
    <w:p>
      <w:pPr>
        <w:pStyle w:val="BodyText"/>
      </w:pPr>
      <w:r>
        <w:t xml:space="preserve">Every component value is</w:t>
      </w:r>
      <w:r>
        <w:t xml:space="preserve"> </w:t>
      </w:r>
      <w:r>
        <w:rPr>
          <w:bCs/>
          <w:b/>
        </w:rPr>
        <w:t xml:space="preserve">clamped to the range [0, 1]</w:t>
      </w:r>
      <w:r>
        <w:t xml:space="preserve"> </w:t>
      </w:r>
      <w:r>
        <w:t xml:space="preserve">before being multiplied by its weight. This</w:t>
      </w:r>
      <w:r>
        <w:t xml:space="preserve"> </w:t>
      </w:r>
      <w:r>
        <w:t xml:space="preserve">means a component can never go below 0 or above 1, regardless of the raw numbers.</w:t>
      </w:r>
    </w:p>
    <w:bookmarkStart w:id="26" w:name="X6fb62483510d2d20870a825bb193a8aceb5d4a3"/>
    <w:p>
      <w:pPr>
        <w:pStyle w:val="Heading4"/>
      </w:pPr>
      <w:r>
        <w:t xml:space="preserve">Why These Specific Weights? The Building Analogy</w:t>
      </w:r>
    </w:p>
    <w:p>
      <w:pPr>
        <w:pStyle w:val="FirstParagraph"/>
      </w:pPr>
      <w:r>
        <w:t xml:space="preserve">Before diving into the technical formulas, here is the plain-English intuition behind each weight,</w:t>
      </w:r>
      <w:r>
        <w:t xml:space="preserve"> </w:t>
      </w:r>
      <w:r>
        <w:t xml:space="preserve">using the analogy of placing desks in office buildings: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 reason (building/office analogy)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= 0.30</w:t>
            </w:r>
            <w:r>
              <w:t xml:space="preserve"> </w:t>
            </w:r>
            <w:r>
              <w:t xml:space="preserve">(largest)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Headroom/capacity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single most important factor.</w:t>
            </w:r>
            <w:r>
              <w:t xml:space="preserve"> </w:t>
            </w:r>
            <w:r>
              <w:t xml:space="preserve">If a building is nearly full, we cannot grow — and growing is inevitable. Deserves the highest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 =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never want all customers in the same building. If one building catches fire (fails), we want as few customers affected as possible.</w:t>
            </w:r>
            <w:r>
              <w:t xml:space="preserve"> </w:t>
            </w:r>
            <w:r>
              <w:rPr>
                <w:bCs/>
                <w:b/>
              </w:rPr>
              <w:t xml:space="preserve">Second highest.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 =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building permit (quota) must have room approved by the authority (Microsoft). Without it, no new desks can be added even if the floor is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 =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backup office already covering enough customers? A well-covered DR region is a better destination. Lower priority because DR coverage depends on the customer mix, not just 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 = 0.10</w:t>
            </w:r>
            <w:r>
              <w:t xml:space="preserve"> </w:t>
            </w:r>
            <w:r>
              <w:t xml:space="preserve">(smallest)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desks spread across different floors of the building? If one floor has a power cut, other floors keep running. Nice-to-have, not critical.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five add to exactly 1.0 (100%).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policy defaults stored in config</w:t>
      </w:r>
      <w:r>
        <w:t xml:space="preserve"> </w:t>
      </w:r>
      <w:r>
        <w:t xml:space="preserve">— not</w:t>
      </w:r>
      <w:r>
        <w:t xml:space="preserve"> </w:t>
      </w:r>
      <w:r>
        <w:t xml:space="preserve">hardcoded. The team can adjust them if priorities change (see Section 6 for the weight-sum validation</w:t>
      </w:r>
      <w:r>
        <w:t xml:space="preserve"> </w:t>
      </w:r>
      <w:r>
        <w:t xml:space="preserve">requirement).</w:t>
      </w:r>
    </w:p>
    <w:bookmarkEnd w:id="26"/>
    <w:bookmarkStart w:id="27" w:name="Xa6c320ddc7f9c2b1e09216bc2dba00786eac5a1"/>
    <w:p>
      <w:pPr>
        <w:pStyle w:val="Heading4"/>
      </w:pPr>
      <w:r>
        <w:t xml:space="preserve">Alternative Configuration: Distribution-First Priority</w:t>
      </w:r>
    </w:p>
    <w:p>
      <w:pPr>
        <w:pStyle w:val="FirstParagraph"/>
      </w:pPr>
      <w:r>
        <w:t xml:space="preserve">The weights above reflect the</w:t>
      </w:r>
      <w:r>
        <w:t xml:space="preserve"> </w:t>
      </w:r>
      <w:r>
        <w:rPr>
          <w:bCs/>
          <w:b/>
        </w:rPr>
        <w:t xml:space="preserve">baseline default</w:t>
      </w:r>
      <w:r>
        <w:t xml:space="preserve"> </w:t>
      </w:r>
      <w:r>
        <w:t xml:space="preserve">where capacity headroom is the top priority. However,</w:t>
      </w:r>
      <w:r>
        <w:t xml:space="preserve"> </w:t>
      </w:r>
      <w:r>
        <w:t xml:space="preserve">if</w:t>
      </w:r>
      <w:r>
        <w:t xml:space="preserve"> </w:t>
      </w:r>
      <w:r>
        <w:rPr>
          <w:bCs/>
          <w:b/>
        </w:rPr>
        <w:t xml:space="preserve">minimizing blast radius</w:t>
      </w:r>
      <w:r>
        <w:t xml:space="preserve"> </w:t>
      </w:r>
      <w:r>
        <w:t xml:space="preserve">(spreading customers across regions) becomes more important than keeping</w:t>
      </w:r>
      <w:r>
        <w:t xml:space="preserve"> </w:t>
      </w:r>
      <w:r>
        <w:t xml:space="preserve">maximum headroom, the weights can be adjusted. Here are two alternative configurations:</w:t>
      </w:r>
    </w:p>
    <w:p>
      <w:pPr>
        <w:pStyle w:val="BodyText"/>
      </w:pPr>
      <w:r>
        <w:rPr>
          <w:bCs/>
          <w:b/>
        </w:rPr>
        <w:t xml:space="preserve">Option 1: Distribution-First (Conservative)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  <w:r>
              <w:t xml:space="preserve"> </w:t>
            </w:r>
            <w:r>
              <w:t xml:space="preserve">(Distribution)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 highest</w:t>
            </w:r>
            <w:r>
              <w:t xml:space="preserve"> </w:t>
            </w:r>
            <w:r>
              <w:t xml:space="preserve">— spreading customers is the top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  <w:r>
              <w:t xml:space="preserve"> </w:t>
            </w:r>
            <w:r>
              <w:t xml:space="preserve">(Capacity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— still important but no longer dominant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  <w:r>
              <w:t xml:space="preserve"> </w:t>
            </w:r>
            <w:r>
              <w:t xml:space="preserve">(Quota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— quota is always a hard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  <w:r>
              <w:t xml:space="preserve"> </w:t>
            </w:r>
            <w:r>
              <w:t xml:space="preserve">(DR readiness)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  <w:r>
              <w:t xml:space="preserve"> </w:t>
            </w:r>
            <w:r>
              <w:t xml:space="preserve">(Zone diversity)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Building analogy for distribution-first:</w:t>
      </w:r>
      <w:r>
        <w:t xml:space="preserve"> </w:t>
      </w:r>
      <w:r>
        <w:t xml:space="preserve">“</w:t>
      </w:r>
      <w:r>
        <w:t xml:space="preserve">We never want all customers in the same building. If one</w:t>
      </w:r>
      <w:r>
        <w:t xml:space="preserve"> </w:t>
      </w:r>
      <w:r>
        <w:t xml:space="preserve">building catches fire (fails), we want as few customers affected as possible.</w:t>
      </w:r>
      <w:r>
        <w:t xml:space="preserve"> </w:t>
      </w:r>
      <w:r>
        <w:rPr>
          <w:bCs/>
          <w:b/>
        </w:rPr>
        <w:t xml:space="preserve">This is now our</w:t>
      </w:r>
      <w:r>
        <w:rPr>
          <w:bCs/>
          <w:b/>
        </w:rPr>
        <w:t xml:space="preserve"> </w:t>
      </w:r>
      <w:r>
        <w:rPr>
          <w:bCs/>
          <w:b/>
        </w:rPr>
        <w:t xml:space="preserve">highest priority</w:t>
      </w:r>
      <w:r>
        <w:t xml:space="preserve"> </w:t>
      </w:r>
      <w:r>
        <w:t xml:space="preserve">— we’re willing to run buildings a bit fuller if it means better customer spread.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Option 2: Distribution-First (Aggressive)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  <w:r>
              <w:t xml:space="preserve"> </w:t>
            </w:r>
            <w:r>
              <w:t xml:space="preserve">(Distribution)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Heavily dominant</w:t>
            </w:r>
            <w:r>
              <w:t xml:space="preserve"> </w:t>
            </w:r>
            <w:r>
              <w:t xml:space="preserve">— blast radius minimization is paramount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  <w:r>
              <w:t xml:space="preserve"> </w:t>
            </w:r>
            <w:r>
              <w:t xml:space="preserve">(Capacity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reduced — willing to accept tighter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  <w:r>
              <w:t xml:space="preserve"> </w:t>
            </w:r>
            <w:r>
              <w:t xml:space="preserve">(Quota headroom)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  <w:r>
              <w:t xml:space="preserve"> </w:t>
            </w:r>
            <w:r>
              <w:t xml:space="preserve">(DR readiness)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  <w:r>
              <w:t xml:space="preserve"> </w:t>
            </w:r>
            <w:r>
              <w:t xml:space="preserve">(Zone diversity)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Trade-offs of distribution-first weighting: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Better blast radius control</w:t>
      </w:r>
      <w:r>
        <w:t xml:space="preserve"> </w:t>
      </w:r>
      <w:r>
        <w:t xml:space="preserve">— regional failures affect fewer customers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More even spread</w:t>
      </w:r>
      <w:r>
        <w:t xml:space="preserve"> </w:t>
      </w:r>
      <w:r>
        <w:t xml:space="preserve">across regions — reduces hot spots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Better alignment with reliability/resilience goals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May place workloads in regions with less headroom</w:t>
      </w:r>
      <w:r>
        <w:t xml:space="preserve"> </w:t>
      </w:r>
      <w:r>
        <w:t xml:space="preserve">→ faster capacity exhaustion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Engine will score a crowded-but-balanced region higher</w:t>
      </w:r>
      <w:r>
        <w:t xml:space="preserve"> </w:t>
      </w:r>
      <w:r>
        <w:t xml:space="preserve">than an empty-but-unbalanced one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Could trigger more frequent quota/capacity increases</w:t>
      </w:r>
      <w:r>
        <w:t xml:space="preserve"> </w:t>
      </w:r>
      <w:r>
        <w:t xml:space="preserve">if chosen regions fill faster</w:t>
      </w:r>
    </w:p>
    <w:p>
      <w:pPr>
        <w:pStyle w:val="BodyText"/>
      </w:pPr>
      <w:r>
        <w:t xml:space="preserve">See Section 3.8 for the full Weight Tuning Guide.</w:t>
      </w:r>
    </w:p>
    <w:bookmarkEnd w:id="27"/>
    <w:bookmarkStart w:id="28" w:name="Xcd116e4ecb24539ddbaf41d8d916780ffc31504"/>
    <w:p>
      <w:pPr>
        <w:pStyle w:val="Heading4"/>
      </w:pPr>
      <w:r>
        <w:t xml:space="preserve">Component α (weight 0.30) — Headroom or Capacity Signal</w:t>
      </w:r>
    </w:p>
    <w:p>
      <w:pPr>
        <w:pStyle w:val="FirstParagraph"/>
      </w:pPr>
      <w:r>
        <w:t xml:space="preserve">This is the single biggest factor. It 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free capacity does this region have?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slots ÷ Prod CRG quantity (how much NonProd breathing room backs the Prod anchor)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slots ÷ NonProd CRG quantity (direct NonProd headroom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free slots ÷ DR CRG quantity (direct DR headroom ratio)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 region with more available headroom scores higher. This is the most heavily</w:t>
      </w:r>
      <w:r>
        <w:t xml:space="preserve"> </w:t>
      </w:r>
      <w:r>
        <w:t xml:space="preserve">weighted factor because placing a customer in a region with no headroom creates an immediate risk of</w:t>
      </w:r>
      <w:r>
        <w:t xml:space="preserve"> </w:t>
      </w:r>
      <w:r>
        <w:t xml:space="preserve">capacity exhaustion.</w:t>
      </w:r>
    </w:p>
    <w:bookmarkEnd w:id="28"/>
    <w:bookmarkStart w:id="29" w:name="X7adabbbfd1bb0521bd354676e49d36b4b2cda09"/>
    <w:p>
      <w:pPr>
        <w:pStyle w:val="Heading4"/>
      </w:pPr>
      <w:r>
        <w:t xml:space="preserve">Component β (weight 0.20) — Quota Headroom Signal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room does the subscription’s quota limit have?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All three environment types measure this the same way: the ratio of remaining quota headroom to total</w:t>
      </w:r>
      <w:r>
        <w:t xml:space="preserve"> </w:t>
      </w:r>
      <w:r>
        <w:t xml:space="preserve">quota limit. A region where the subscription is nearly at its quota limit scores lower. This matters</w:t>
      </w:r>
      <w:r>
        <w:t xml:space="preserve"> </w:t>
      </w:r>
      <w:r>
        <w:t xml:space="preserve">because even if Azure has physical capacity, a quota limit prevents deployment.</w:t>
      </w:r>
    </w:p>
    <w:bookmarkEnd w:id="29"/>
    <w:bookmarkStart w:id="30" w:name="Xc798a9e50eb2cbfb66c7250b7ba9ec38a388b4c"/>
    <w:p>
      <w:pPr>
        <w:pStyle w:val="Heading4"/>
      </w:pPr>
      <w:r>
        <w:t xml:space="preserve">Component γ (weight 0.25) — Distribution Fairness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region already heavily loaded with customers?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All three environment types measure this as</w:t>
      </w:r>
      <w:r>
        <w:t xml:space="preserve"> </w:t>
      </w:r>
      <w:r>
        <w:rPr>
          <w:rStyle w:val="VerbatimChar"/>
        </w:rPr>
        <w:t xml:space="preserve">1 − (customers already in this region ÷ total customers across all regions)</w:t>
      </w:r>
      <w:r>
        <w:t xml:space="preserve">. The subtraction from 1 means a lightly loaded region scores high (close to 1)</w:t>
      </w:r>
      <w:r>
        <w:t xml:space="preserve"> </w:t>
      </w:r>
      <w:r>
        <w:t xml:space="preserve">and a heavily loaded region scores low (close to 0).</w:t>
      </w:r>
    </w:p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ACRME tries to spread customers evenly. A region that already hosts most of the</w:t>
      </w:r>
      <w:r>
        <w:t xml:space="preserve"> </w:t>
      </w:r>
      <w:r>
        <w:t xml:space="preserve">customer base is less attractive for the next customer — even if it has adequate headroom.</w:t>
      </w:r>
    </w:p>
    <w:bookmarkEnd w:id="30"/>
    <w:bookmarkStart w:id="31" w:name="Xa815a247d8919cb201119cb6a80b84304a04769"/>
    <w:p>
      <w:pPr>
        <w:pStyle w:val="Heading4"/>
      </w:pPr>
      <w:r>
        <w:t xml:space="preserve">Component δ (weight 0.15) — DR Readiness or Overflow Integrity Signal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region’s DR position healthy?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ratio (does this region have adequate DR coverage already?)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÷ quantity (overflow capacity health — duplicate of α in design-of-record)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ratio ÷ dr_ratio_target (how close is DR coverage to the bootstrap target?)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this component rewards regions where the DR position is healthy — the region is</w:t>
      </w:r>
      <w:r>
        <w:t xml:space="preserve"> </w:t>
      </w:r>
      <w:r>
        <w:t xml:space="preserve">not already overcommitted from a DR perspective.</w:t>
      </w:r>
    </w:p>
    <w:bookmarkEnd w:id="31"/>
    <w:bookmarkStart w:id="32" w:name="component-ε-weight-0.10-zone-diversity"/>
    <w:p>
      <w:pPr>
        <w:pStyle w:val="Heading4"/>
      </w:pPr>
      <w:r>
        <w:t xml:space="preserve">Component ε (weight 0.10) — Zone Diversity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many Availability Zones does this region have?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formula is</w:t>
      </w:r>
      <w:r>
        <w:t xml:space="preserve"> </w:t>
      </w:r>
      <w:r>
        <w:rPr>
          <w:rStyle w:val="VerbatimChar"/>
        </w:rPr>
        <w:t xml:space="preserve">az_count ÷ 3</w:t>
      </w:r>
      <w:r>
        <w:t xml:space="preserve">, clamped to [0, 1]. A region with 3 AZs scores 1.0; a region with 1</w:t>
      </w:r>
      <w:r>
        <w:t xml:space="preserve"> </w:t>
      </w:r>
      <w:r>
        <w:t xml:space="preserve">AZ scores 0.33. Zone diversity matters because it determines whether the deployment can be spread</w:t>
      </w:r>
      <w:r>
        <w:t xml:space="preserve"> </w:t>
      </w:r>
      <w:r>
        <w:t xml:space="preserve">across multiple physical failure domains.</w:t>
      </w:r>
    </w:p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 region with more Availability Zones is more resilient and scores higher on</w:t>
      </w:r>
      <w:r>
        <w:t xml:space="preserve"> </w:t>
      </w:r>
      <w:r>
        <w:t xml:space="preserve">this component, all else equal.</w:t>
      </w:r>
    </w:p>
    <w:bookmarkEnd w:id="32"/>
    <w:bookmarkStart w:id="33" w:name="X624e746c44ef99a9c2c9ea529447e2716379d63"/>
    <w:p>
      <w:pPr>
        <w:pStyle w:val="Heading4"/>
      </w:pPr>
      <w:r>
        <w:t xml:space="preserve">Important: The Weights Are NOT Calculated — The Components Are</w:t>
      </w:r>
    </w:p>
    <w:p>
      <w:pPr>
        <w:pStyle w:val="FirstParagraph"/>
      </w:pPr>
      <w:r>
        <w:t xml:space="preserve">A common point of confusion:</w:t>
      </w:r>
      <w:r>
        <w:t xml:space="preserve"> </w:t>
      </w:r>
      <w:r>
        <w:rPr>
          <w:bCs/>
          <w:b/>
        </w:rPr>
        <w:t xml:space="preserve">α, β, γ, δ, ε themselves are never calculated.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fixed</w:t>
      </w:r>
      <w:r>
        <w:rPr>
          <w:bCs/>
          <w:b/>
        </w:rPr>
        <w:t xml:space="preserve"> </w:t>
      </w:r>
      <w:r>
        <w:rPr>
          <w:bCs/>
          <w:b/>
        </w:rPr>
        <w:t xml:space="preserve">policy constants</w:t>
      </w:r>
      <w:r>
        <w:t xml:space="preserve"> </w:t>
      </w:r>
      <w:r>
        <w:t xml:space="preserve">(α=0.30, β=0.20, γ=0.25, δ=0.15, ε=0.10)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and loaded at</w:t>
      </w:r>
      <w:r>
        <w:t xml:space="preserve"> </w:t>
      </w:r>
      <w:r>
        <w:t xml:space="preserve">runtime. They only change if an operator edits the policy file (see Section 3.8).</w:t>
      </w:r>
    </w:p>
    <w:p>
      <w:pPr>
        <w:pStyle w:val="BodyText"/>
      </w:pPr>
      <w:r>
        <w:t xml:space="preserve">What the engine</w:t>
      </w:r>
      <w:r>
        <w:t xml:space="preserve"> </w:t>
      </w:r>
      <w:r>
        <w:rPr>
          <w:bCs/>
          <w:b/>
        </w:rPr>
        <w:t xml:space="preserve">calculates at runtime</w:t>
      </w:r>
      <w:r>
        <w:t xml:space="preserve">, per region, is the</w:t>
      </w:r>
      <w:r>
        <w:t xml:space="preserve"> </w:t>
      </w:r>
      <w:r>
        <w:rPr>
          <w:bCs/>
          <w:b/>
        </w:rPr>
        <w:t xml:space="preserve">component value</w:t>
      </w:r>
      <w:r>
        <w:t xml:space="preserve"> </w:t>
      </w:r>
      <w:r>
        <w:t xml:space="preserve">that each weight</w:t>
      </w:r>
      <w:r>
        <w:t xml:space="preserve"> </w:t>
      </w:r>
      <w:r>
        <w:t xml:space="preserve">multiplies — the</w:t>
      </w:r>
      <w:r>
        <w:t xml:space="preserve"> </w:t>
      </w:r>
      <w:r>
        <w:rPr>
          <w:rStyle w:val="VerbatimChar"/>
        </w:rPr>
        <w:t xml:space="preserve">α_component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β_component</w:t>
      </w:r>
      <w:r>
        <w:t xml:space="preserve">, etc. Each component is a ratio derived from the</w:t>
      </w:r>
      <w:r>
        <w:t xml:space="preserve"> </w:t>
      </w:r>
      <w:r>
        <w:rPr>
          <w:bCs/>
          <w:b/>
        </w:rPr>
        <w:t xml:space="preserve">regional snapshot</w:t>
      </w:r>
      <w:r>
        <w:t xml:space="preserve"> </w:t>
      </w:r>
      <w:r>
        <w:t xml:space="preserve">(the live, versioned state of each region’s reservations, quota, customers, and</w:t>
      </w:r>
      <w:r>
        <w:t xml:space="preserve"> </w:t>
      </w:r>
      <w:r>
        <w:t xml:space="preserve">zones). The formula is always:</w:t>
      </w:r>
    </w:p>
    <w:p>
      <w:pPr>
        <w:pStyle w:val="SourceCode"/>
      </w:pPr>
      <w:r>
        <w:rPr>
          <w:rStyle w:val="VerbatimChar"/>
        </w:rPr>
        <w:t xml:space="preserve">weight (fixed policy constant)  ×  component (calculated from the snapshot)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w:r>
        <w:t xml:space="preserve">how is α calculated?</w:t>
      </w:r>
      <w:r>
        <w:t xml:space="preserve">”</w:t>
      </w:r>
      <w:r>
        <w:t xml:space="preserve"> </w:t>
      </w:r>
      <w:r>
        <w:t xml:space="preserve">really means</w:t>
      </w:r>
      <w:r>
        <w:t xml:space="preserve"> </w:t>
      </w:r>
      <w:r>
        <w:t xml:space="preserve">“</w:t>
      </w:r>
      <w:r>
        <w:t xml:space="preserve">how is the</w:t>
      </w:r>
      <w:r>
        <w:t xml:space="preserve"> </w:t>
      </w:r>
      <w:r>
        <w:rPr>
          <w:bCs/>
          <w:b/>
        </w:rPr>
        <w:t xml:space="preserve">α_component</w:t>
      </w:r>
      <w:r>
        <w:t xml:space="preserve"> </w:t>
      </w:r>
      <w:r>
        <w:t xml:space="preserve">calculated from the snapshot?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which is what the next two subsections show with concrete numbers.</w:t>
      </w:r>
    </w:p>
    <w:bookmarkEnd w:id="33"/>
    <w:bookmarkStart w:id="34" w:name="regional-snapshot-assumed-starter-values"/>
    <w:p>
      <w:pPr>
        <w:pStyle w:val="Heading4"/>
      </w:pPr>
      <w:r>
        <w:t xml:space="preserve">Regional Snapshot — Assumed Starter Values</w:t>
      </w:r>
    </w:p>
    <w:p>
      <w:pPr>
        <w:pStyle w:val="FirstParagraph"/>
      </w:pPr>
      <w:r>
        <w:t xml:space="preserve">The engine reads a</w:t>
      </w:r>
      <w:r>
        <w:t xml:space="preserve"> </w:t>
      </w:r>
      <w:r>
        <w:rPr>
          <w:bCs/>
          <w:b/>
        </w:rPr>
        <w:t xml:space="preserve">regional snapshot</w:t>
      </w:r>
      <w:r>
        <w:t xml:space="preserve"> </w:t>
      </w:r>
      <w:r>
        <w:t xml:space="preserve">before scoring. A snapshot is the current state of every</w:t>
      </w:r>
      <w:r>
        <w:t xml:space="preserve"> </w:t>
      </w:r>
      <w:r>
        <w:t xml:space="preserve">candidate region. The raw fields below are the inputs to the component formulas. The values here are</w:t>
      </w:r>
      <w:r>
        <w:t xml:space="preserve"> </w:t>
      </w:r>
      <w:r>
        <w:rPr>
          <w:bCs/>
          <w:b/>
        </w:rPr>
        <w:t xml:space="preserve">assumed starter values</w:t>
      </w:r>
      <w:r>
        <w:t xml:space="preserve"> </w:t>
      </w:r>
      <w:r>
        <w:t xml:space="preserve">for a worked example (US Geography,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scoring, deploying a Prod</w:t>
      </w:r>
      <w:r>
        <w:t xml:space="preserve"> </w:t>
      </w:r>
      <w:r>
        <w:t xml:space="preserve">workload). In production these come from live Azure state + the reservation store; here they are fixed</w:t>
      </w:r>
      <w:r>
        <w:t xml:space="preserve"> </w:t>
      </w:r>
      <w:r>
        <w:t xml:space="preserve">so the arithmetic is reproducible.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Snapshot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prod_crg.quantity</w:t>
            </w:r>
            <w:r>
              <w:t xml:space="preserve"> </w:t>
            </w:r>
            <w:r>
              <w:t xml:space="preserve">(reserved Prod slots)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(denominator)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nonprod_crg.effective_free</w:t>
            </w:r>
            <w:r>
              <w:t xml:space="preserve"> </w:t>
            </w:r>
            <w:r>
              <w:t xml:space="preserve">(free NonProd slots after DR overflow reserve)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(numerator)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prod_crg.quota_limit</w:t>
            </w:r>
            <w:r>
              <w:t xml:space="preserve"> </w:t>
            </w:r>
            <w:r>
              <w:t xml:space="preserve">(vCPU)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(denominator)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prod_crg.quota_headroom</w:t>
            </w:r>
            <w:r>
              <w:t xml:space="preserve"> </w:t>
            </w:r>
            <w:r>
              <w:t xml:space="preserve">(vCPU free below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(numerator)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prod_customer_count</w:t>
            </w:r>
            <w:r>
              <w:t xml:space="preserve"> </w:t>
            </w:r>
            <w:r>
              <w:t xml:space="preserve">(customers already in 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total_customers</w:t>
            </w:r>
            <w:r>
              <w:t xml:space="preserve"> </w:t>
            </w:r>
            <w:r>
              <w:t xml:space="preserve">(across all regions)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dr_crg.coverage_ratio</w:t>
            </w:r>
            <w:r>
              <w:t xml:space="preserve"> </w:t>
            </w:r>
            <w:r>
              <w:t xml:space="preserve">(DR coverage already in place)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</w:t>
            </w:r>
            <w:r>
              <w:t xml:space="preserve"> </w:t>
            </w:r>
            <w:r>
              <w:t xml:space="preserve">(Availability Zones)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SPEC GAP (GAP-γ):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term in the γ component is</w:t>
      </w:r>
      <w:r>
        <w:t xml:space="preserve"> </w:t>
      </w:r>
      <w:r>
        <w:rPr>
          <w:bCs/>
          <w:b/>
        </w:rPr>
        <w:t xml:space="preserve">undefined</w:t>
      </w:r>
      <w:r>
        <w:t xml:space="preserve"> </w:t>
      </w:r>
      <w:r>
        <w:t xml:space="preserve">in Requirements Baseline v2.5. Its source (customer registry? subscription count? tenant-level aggregate?), scope (all customers or only those with Prod workloads?), and data type are not specified. The γ formula</w:t>
      </w:r>
      <w:r>
        <w:t xml:space="preserve"> </w:t>
      </w:r>
      <w:r>
        <w:rPr>
          <w:rStyle w:val="VerbatimChar"/>
        </w:rPr>
        <w:t xml:space="preserve">1 - prod_customer_count / total_customers</w:t>
      </w:r>
      <w:r>
        <w:t xml:space="preserve"> </w:t>
      </w:r>
      <w:r>
        <w:t xml:space="preserve">cannot be implemented without resolving this gap. See the</w:t>
      </w:r>
      <w:r>
        <w:t xml:space="preserve"> </w:t>
      </w:r>
      <w:r>
        <w:rPr>
          <w:bCs/>
          <w:b/>
        </w:rPr>
        <w:t xml:space="preserve">OPEN ISSUE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acrme_calculation_logic_comprehensive_walkthrough.md</w:t>
      </w:r>
      <w:r>
        <w:t xml:space="preserve"> </w:t>
      </w:r>
      <w:r>
        <w:t xml:space="preserve">for four potential interpretations and a proposed resolution action plan. Values shown here (100) are illustrative placeholders only.</w:t>
      </w:r>
    </w:p>
    <w:p>
      <w:pPr>
        <w:pStyle w:val="BlockText"/>
      </w:pP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values.</w:t>
      </w:r>
      <w:r>
        <w:t xml:space="preserve"> </w:t>
      </w:r>
      <w:r>
        <w:t xml:space="preserve">These are illustrative seed values for the walkthrough, not baseline</w:t>
      </w:r>
      <w:r>
        <w:t xml:space="preserve"> </w:t>
      </w:r>
      <w:r>
        <w:t xml:space="preserve">defaults. The only true baseline defaults are the</w:t>
      </w:r>
      <w:r>
        <w:t xml:space="preserve"> </w:t>
      </w:r>
      <w:r>
        <w:rPr>
          <w:iCs/>
          <w:i/>
        </w:rPr>
        <w:t xml:space="preserve">weights</w:t>
      </w:r>
      <w:r>
        <w:t xml:space="preserve"> </w:t>
      </w:r>
      <w:r>
        <w:t xml:space="preserve">(Section 3.3) and the</w:t>
      </w:r>
      <w:r>
        <w:t xml:space="preserve"> </w:t>
      </w:r>
      <w:r>
        <w:rPr>
          <w:iCs/>
          <w:i/>
        </w:rPr>
        <w:t xml:space="preserve">configurable</w:t>
      </w:r>
      <w:r>
        <w:rPr>
          <w:iCs/>
          <w:i/>
        </w:rPr>
        <w:t xml:space="preserve"> </w:t>
      </w:r>
      <w:r>
        <w:rPr>
          <w:iCs/>
          <w:i/>
        </w:rPr>
        <w:t xml:space="preserve">parameters</w:t>
      </w:r>
      <w:r>
        <w:t xml:space="preserve"> </w:t>
      </w:r>
      <w:r>
        <w:t xml:space="preserve">(Section 8.1). Snapshot values are always live data, never configuration.</w:t>
      </w:r>
    </w:p>
    <w:bookmarkEnd w:id="34"/>
    <w:bookmarkStart w:id="35" w:name="X66b86ce712113580f3369a89b6b0ee9140f2827"/>
    <w:p>
      <w:pPr>
        <w:pStyle w:val="Heading4"/>
      </w:pPr>
      <w:r>
        <w:t xml:space="preserve">Worked Calculation — Deriving Each Component (West US 3)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formulas from Section 3.3 and the snapshot row for</w:t>
      </w:r>
      <w:r>
        <w:t xml:space="preserve"> </w:t>
      </w:r>
      <w:r>
        <w:rPr>
          <w:bCs/>
          <w:b/>
        </w:rPr>
        <w:t xml:space="preserve">West US 3</w:t>
      </w:r>
      <w:r>
        <w:t xml:space="preserve">. Every component</w:t>
      </w:r>
      <w:r>
        <w:t xml:space="preserve"> </w:t>
      </w:r>
      <w:r>
        <w:t xml:space="preserve">is clamped to [0, 1] via</w:t>
      </w:r>
      <w:r>
        <w:t xml:space="preserve"> </w:t>
      </w:r>
      <w:r>
        <w:rPr>
          <w:rStyle w:val="VerbatimChar"/>
        </w:rPr>
        <w:t xml:space="preserve">Clamp(x) = max(0, min(1, x))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α_component = Clamp(nonprod_crg.effective_free / prod_crg.quantity)</w:t>
      </w:r>
      <w:r>
        <w:br/>
      </w:r>
      <w:r>
        <w:rPr>
          <w:rStyle w:val="VerbatimChar"/>
        </w:rPr>
        <w:t xml:space="preserve">            = Clamp(130 / 200) = Clamp(0.65) = 0.65</w:t>
      </w:r>
      <w:r>
        <w:br/>
      </w:r>
      <w:r>
        <w:br/>
      </w:r>
      <w:r>
        <w:rPr>
          <w:rStyle w:val="VerbatimChar"/>
        </w:rPr>
        <w:t xml:space="preserve">β_component = Clamp(prod_crg.quota_headroom / prod_crg.quota_limit)</w:t>
      </w:r>
      <w:r>
        <w:br/>
      </w:r>
      <w:r>
        <w:rPr>
          <w:rStyle w:val="VerbatimChar"/>
        </w:rPr>
        <w:t xml:space="preserve">            = Clamp(700 / 1000) = Clamp(0.70) = 0.70</w:t>
      </w:r>
      <w:r>
        <w:br/>
      </w:r>
      <w:r>
        <w:br/>
      </w:r>
      <w:r>
        <w:rPr>
          <w:rStyle w:val="VerbatimChar"/>
        </w:rPr>
        <w:t xml:space="preserve">γ_component = Clamp(1 − prod_customer_count / total_customers)</w:t>
      </w:r>
      <w:r>
        <w:br/>
      </w:r>
      <w:r>
        <w:rPr>
          <w:rStyle w:val="VerbatimChar"/>
        </w:rPr>
        <w:t xml:space="preserve">            = Clamp(1 − 40 / 100) = Clamp(0.60) = 0.60</w:t>
      </w:r>
      <w:r>
        <w:br/>
      </w:r>
      <w:r>
        <w:br/>
      </w:r>
      <w:r>
        <w:rPr>
          <w:rStyle w:val="VerbatimChar"/>
        </w:rPr>
        <w:t xml:space="preserve">δ_component = Clamp(dr_crg.coverage_ratio)</w:t>
      </w:r>
      <w:r>
        <w:br/>
      </w:r>
      <w:r>
        <w:rPr>
          <w:rStyle w:val="VerbatimChar"/>
        </w:rPr>
        <w:t xml:space="preserve">            = Clamp(0.50) = 0.50</w:t>
      </w:r>
      <w:r>
        <w:br/>
      </w:r>
      <w:r>
        <w:br/>
      </w:r>
      <w:r>
        <w:rPr>
          <w:rStyle w:val="VerbatimChar"/>
        </w:rPr>
        <w:t xml:space="preserve">ε_component = Clamp(az_count / 3)</w:t>
      </w:r>
      <w:r>
        <w:br/>
      </w:r>
      <w:r>
        <w:rPr>
          <w:rStyle w:val="VerbatimChar"/>
        </w:rPr>
        <w:t xml:space="preserve">            = Clamp(3 / 3) = Clamp(1.0) = 1.0</w:t>
      </w:r>
    </w:p>
    <w:p>
      <w:pPr>
        <w:pStyle w:val="FirstParagraph"/>
      </w:pPr>
      <w:r>
        <w:t xml:space="preserve">Now apply the fixed weights:</w:t>
      </w:r>
    </w:p>
    <w:p>
      <w:pPr>
        <w:pStyle w:val="SourceCode"/>
      </w:pPr>
      <w:r>
        <w:rPr>
          <w:rStyle w:val="VerbatimChar"/>
        </w:rPr>
        <w:t xml:space="preserve">PS_Prod(West US 3) = 0.30 × 0.65    (α)</w:t>
      </w:r>
      <w:r>
        <w:br/>
      </w:r>
      <w:r>
        <w:rPr>
          <w:rStyle w:val="VerbatimChar"/>
        </w:rPr>
        <w:t xml:space="preserve">                   + 0.20 × 0.70    (β)</w:t>
      </w:r>
      <w:r>
        <w:br/>
      </w:r>
      <w:r>
        <w:rPr>
          <w:rStyle w:val="VerbatimChar"/>
        </w:rPr>
        <w:t xml:space="preserve">                   + 0.25 × 0.60    (γ)</w:t>
      </w:r>
      <w:r>
        <w:br/>
      </w:r>
      <w:r>
        <w:rPr>
          <w:rStyle w:val="VerbatimChar"/>
        </w:rPr>
        <w:t xml:space="preserve">                   + 0.15 × 0.50    (δ)</w:t>
      </w:r>
      <w:r>
        <w:br/>
      </w:r>
      <w:r>
        <w:rPr>
          <w:rStyle w:val="VerbatimChar"/>
        </w:rPr>
        <w:t xml:space="preserve">                   + 0.10 × 1.00    (ε)</w:t>
      </w:r>
      <w:r>
        <w:br/>
      </w:r>
      <w:r>
        <w:rPr>
          <w:rStyle w:val="VerbatimChar"/>
        </w:rPr>
        <w:t xml:space="preserve">                   = 0.195 + 0.140 + 0.150 + 0.075 + 0.100</w:t>
      </w:r>
      <w:r>
        <w:br/>
      </w:r>
      <w:r>
        <w:rPr>
          <w:rStyle w:val="VerbatimChar"/>
        </w:rPr>
        <w:t xml:space="preserve">                   = 0.66</w:t>
      </w:r>
    </w:p>
    <w:p>
      <w:pPr>
        <w:pStyle w:val="FirstParagraph"/>
      </w:pPr>
      <w:r>
        <w:t xml:space="preserve">Repeating the same derivation for the other two regions from the snapshot: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 (calculated)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α_component = effective_free / prod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130/200 =</w:t>
            </w:r>
            <w:r>
              <w:t xml:space="preserve"> </w:t>
            </w:r>
            <w:r>
              <w:rPr>
                <w:bCs/>
                <w:b/>
              </w:rP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80/200 =</w:t>
            </w:r>
            <w:r>
              <w:t xml:space="preserve"> </w:t>
            </w:r>
            <w:r>
              <w:rPr>
                <w:bCs/>
                <w:b/>
              </w:rP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40/200 =</w:t>
            </w:r>
            <w:r>
              <w:t xml:space="preserve"> </w:t>
            </w:r>
            <w:r>
              <w:rPr>
                <w:bCs/>
                <w:b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β_component = quota_headroom / quota_limit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700/1000 =</w:t>
            </w:r>
            <w:r>
              <w:t xml:space="preserve"> </w:t>
            </w:r>
            <w:r>
              <w:rPr>
                <w:bCs/>
                <w:b/>
              </w:rP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550/1000 =</w:t>
            </w:r>
            <w:r>
              <w:t xml:space="preserve"> </w:t>
            </w:r>
            <w:r>
              <w:rPr>
                <w:bCs/>
                <w:b/>
              </w:rP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300/1000 =</w:t>
            </w:r>
            <w:r>
              <w:t xml:space="preserve"> </w:t>
            </w:r>
            <w:r>
              <w:rPr>
                <w:bCs/>
                <w:b/>
              </w:rP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γ_component = 1 − customers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1−0.40 =</w:t>
            </w:r>
            <w:r>
              <w:t xml:space="preserve"> </w:t>
            </w:r>
            <w:r>
              <w:rPr>
                <w:bCs/>
                <w:b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1−0.25 =</w:t>
            </w:r>
            <w:r>
              <w:t xml:space="preserve"> </w:t>
            </w:r>
            <w:r>
              <w:rPr>
                <w:bCs/>
                <w:b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1−0.20 =</w:t>
            </w:r>
            <w:r>
              <w:t xml:space="preserve"> </w:t>
            </w:r>
            <w:r>
              <w:rPr>
                <w:bCs/>
                <w:b/>
              </w:rP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δ_component = dr coverage_ratio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ε_component = az_count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=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=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 =</w:t>
            </w:r>
            <w:r>
              <w:t xml:space="preserve"> </w:t>
            </w:r>
            <w:r>
              <w:rPr>
                <w:bCs/>
                <w:b/>
              </w:rP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 (weighted sum)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0.48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These are exactly the component values used in the Section 3.5 US walkthrough</w:t>
      </w:r>
      <w:r>
        <w:t xml:space="preserve"> </w:t>
      </w:r>
      <w:r>
        <w:t xml:space="preserve">— that section</w:t>
      </w:r>
      <w:r>
        <w:t xml:space="preserve"> </w:t>
      </w:r>
      <w:r>
        <w:t xml:space="preserve">applies these same numbers to pick</w:t>
      </w:r>
      <w:r>
        <w:t xml:space="preserve"> </w:t>
      </w:r>
      <w:r>
        <w:rPr>
          <w:rStyle w:val="VerbatimChar"/>
        </w:rPr>
        <w:t xml:space="preserve">argmax(PS_Prod) = West US 3</w:t>
      </w:r>
      <w:r>
        <w:t xml:space="preserve">. The snapshot above is where those</w:t>
      </w:r>
      <w:r>
        <w:t xml:space="preserve"> </w:t>
      </w:r>
      <w:r>
        <w:t xml:space="preserve">numbers come from.</w:t>
      </w:r>
    </w:p>
    <w:p>
      <w:pPr>
        <w:pStyle w:val="BodyText"/>
      </w:pPr>
      <w:r>
        <w:rPr>
          <w:bCs/>
          <w:b/>
        </w:rPr>
        <w:t xml:space="preserve">Key takeaways: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weights</w:t>
      </w:r>
      <w:r>
        <w:t xml:space="preserve"> </w:t>
      </w:r>
      <w:r>
        <w:t xml:space="preserve">(0.30, 0.20, 0.25, 0.15, 0.10) are identical for every region — they are policy.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components</w:t>
      </w:r>
      <w:r>
        <w:t xml:space="preserve"> </w:t>
      </w:r>
      <w:r>
        <w:t xml:space="preserve">differ per region — they are calculated from that region’s snapshot.</w:t>
      </w:r>
      <w:r>
        <w:t xml:space="preserve"> </w:t>
      </w:r>
      <w:r>
        <w:t xml:space="preserve">- A change in live state (e.g., West US 3 fills up, dropping</w:t>
      </w:r>
      <w:r>
        <w:t xml:space="preserve"> </w:t>
      </w:r>
      <w:r>
        <w:rPr>
          <w:rStyle w:val="VerbatimChar"/>
        </w:rPr>
        <w:t xml:space="preserve">effective_free</w:t>
      </w:r>
      <w:r>
        <w:t xml:space="preserve">) changes only the</w:t>
      </w:r>
      <w:r>
        <w:t xml:space="preserve"> </w:t>
      </w:r>
      <w:r>
        <w:t xml:space="preserve">components, never the weights, and can flip which region wins.</w:t>
      </w:r>
    </w:p>
    <w:bookmarkEnd w:id="35"/>
    <w:bookmarkEnd w:id="36"/>
    <w:bookmarkStart w:id="37" w:name="X028286bd9315a9e8cb7c3c550c2f95f5d36b2cc"/>
    <w:p>
      <w:pPr>
        <w:pStyle w:val="Heading3"/>
      </w:pPr>
      <w:r>
        <w:t xml:space="preserve">3.4 Putting It Together — The Score and the Winner</w:t>
      </w:r>
    </w:p>
    <w:p>
      <w:pPr>
        <w:pStyle w:val="FirstParagraph"/>
      </w:pPr>
      <w:r>
        <w:t xml:space="preserve">Each region gets a score between 0 and 1:</w:t>
      </w:r>
    </w:p>
    <w:p>
      <w:pPr>
        <w:pStyle w:val="SourceCode"/>
      </w:pPr>
      <w:r>
        <w:rPr>
          <w:rStyle w:val="VerbatimChar"/>
        </w:rPr>
        <w:t xml:space="preserve">Score(region) = 0.30 × α_component</w:t>
      </w:r>
      <w:r>
        <w:br/>
      </w:r>
      <w:r>
        <w:rPr>
          <w:rStyle w:val="VerbatimChar"/>
        </w:rPr>
        <w:t xml:space="preserve">              + 0.20 × β_component</w:t>
      </w:r>
      <w:r>
        <w:br/>
      </w:r>
      <w:r>
        <w:rPr>
          <w:rStyle w:val="VerbatimChar"/>
        </w:rPr>
        <w:t xml:space="preserve">              + 0.25 × γ_component</w:t>
      </w:r>
      <w:r>
        <w:br/>
      </w:r>
      <w:r>
        <w:rPr>
          <w:rStyle w:val="VerbatimChar"/>
        </w:rPr>
        <w:t xml:space="preserve">              + 0.15 × δ_component</w:t>
      </w:r>
      <w:r>
        <w:br/>
      </w:r>
      <w:r>
        <w:rPr>
          <w:rStyle w:val="VerbatimChar"/>
        </w:rPr>
        <w:t xml:space="preserve">              + 0.10 × ε_component</w:t>
      </w:r>
    </w:p>
    <w:p>
      <w:pPr>
        <w:pStyle w:val="FirstParagraph"/>
      </w:pPr>
      <w:r>
        <w:t xml:space="preserve">The region with the</w:t>
      </w:r>
      <w:r>
        <w:t xml:space="preserve"> </w:t>
      </w:r>
      <w:r>
        <w:rPr>
          <w:bCs/>
          <w:b/>
        </w:rPr>
        <w:t xml:space="preserve">highest score wins</w:t>
      </w:r>
      <w:r>
        <w:t xml:space="preserve"> </w:t>
      </w:r>
      <w:r>
        <w:t xml:space="preserve">— this is what the formula</w:t>
      </w:r>
      <w:r>
        <w:t xml:space="preserve"> </w:t>
      </w:r>
      <w:r>
        <w:rPr>
          <w:rStyle w:val="VerbatimChar"/>
        </w:rPr>
        <w:t xml:space="preserve">argmax(PS)</w:t>
      </w:r>
      <w:r>
        <w:t xml:space="preserve"> </w:t>
      </w:r>
      <w:r>
        <w:t xml:space="preserve">means. If two</w:t>
      </w:r>
      <w:r>
        <w:t xml:space="preserve"> </w:t>
      </w:r>
      <w:r>
        <w:t xml:space="preserve">regions tie, the engine picks the first one in the Standard Capacity Region list for that geography</w:t>
      </w:r>
      <w:r>
        <w:t xml:space="preserve"> </w:t>
      </w:r>
      <w:r>
        <w:t xml:space="preserve">(deterministic tie-break).</w:t>
      </w:r>
    </w:p>
    <w:p>
      <w:pPr>
        <w:pStyle w:val="BodyText"/>
      </w:pPr>
      <w:r>
        <w:t xml:space="preserve">The winning region’s score, along with every input value and the PlacementPolicy version, is written</w:t>
      </w:r>
      <w:r>
        <w:t xml:space="preserve"> </w:t>
      </w:r>
      <w:r>
        <w:t xml:space="preserve">to the OperationRecord so the decision can be replayed or audited later.</w:t>
      </w:r>
    </w:p>
    <w:bookmarkEnd w:id="37"/>
    <w:bookmarkStart w:id="40" w:name="X5964f6e479482a3ead1e0a0b39d9c8d6104dd98"/>
    <w:p>
      <w:pPr>
        <w:pStyle w:val="Heading3"/>
      </w:pPr>
      <w:r>
        <w:t xml:space="preserve">3.5 US Geography Walkthrough (3 Standard Regions)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US Geography has three Standard Capacity regions: West US 3, Central US, Canada Central.</w:t>
      </w:r>
      <w:r>
        <w:t xml:space="preserve"> </w:t>
      </w:r>
      <w:r>
        <w:t xml:space="preserve">All three are initially in the scoring candidate pool.</w:t>
      </w:r>
    </w:p>
    <w:bookmarkStart w:id="38" w:name="happy-path-all-three-regions-eligible"/>
    <w:p>
      <w:pPr>
        <w:pStyle w:val="Heading4"/>
      </w:pPr>
      <w:r>
        <w:t xml:space="preserve">Happy Path — All Three Regions Eligible</w:t>
      </w:r>
    </w:p>
    <w:p>
      <w:pPr>
        <w:pStyle w:val="FirstParagraph"/>
      </w:pPr>
      <w:r>
        <w:t xml:space="preserve">All three regions pass HC-1..HC-10. The engine scores all three and picks the highest:</w:t>
      </w:r>
    </w:p>
    <w:p>
      <w:pPr>
        <w:pStyle w:val="SourceCode"/>
      </w:pPr>
      <w:r>
        <w:rPr>
          <w:rStyle w:val="VerbatimChar"/>
        </w:rPr>
        <w:t xml:space="preserve">Candidate regions: { West US 3, Central US, Canada Central }</w:t>
      </w:r>
      <w:r>
        <w:br/>
      </w:r>
      <w:r>
        <w:br/>
      </w:r>
      <w:r>
        <w:rPr>
          <w:rStyle w:val="VerbatimChar"/>
        </w:rPr>
        <w:t xml:space="preserve">Score(West US 3):    0.30 × 0.65 + 0.20 × 0.70 + 0.25 × 0.60 + 0.15 × 0.50 + 0.10 × 1.0 = 0.66</w:t>
      </w:r>
      <w:r>
        <w:br/>
      </w:r>
      <w:r>
        <w:rPr>
          <w:rStyle w:val="VerbatimChar"/>
        </w:rPr>
        <w:t xml:space="preserve">Score(Central US):   0.30 × 0.40 + 0.20 × 0.55 + 0.25 × 0.75 + 0.15 × 0.45 + 0.10 × 1.0 = 0.58</w:t>
      </w:r>
      <w:r>
        <w:br/>
      </w:r>
      <w:r>
        <w:rPr>
          <w:rStyle w:val="VerbatimChar"/>
        </w:rPr>
        <w:t xml:space="preserve">Score(Canada Central): 0.30 × 0.20 + 0.20 × 0.30 + 0.25 × 0.80 + 0.15 × 0.60 + 0.10 × 0.67 = 0.48</w:t>
      </w:r>
      <w:r>
        <w:br/>
      </w:r>
      <w:r>
        <w:br/>
      </w:r>
      <w:r>
        <w:rPr>
          <w:rStyle w:val="VerbatimChar"/>
        </w:rPr>
        <w:t xml:space="preserve">argmax → West US 3 (Prod anchor)</w:t>
      </w:r>
    </w:p>
    <w:p>
      <w:pPr>
        <w:pStyle w:val="FirstParagraph"/>
      </w:pPr>
      <w:r>
        <w:t xml:space="preserve">Subsequent CVAL and DR selections run the same scoring against the remaining eligible regions.</w:t>
      </w:r>
    </w:p>
    <w:bookmarkEnd w:id="38"/>
    <w:bookmarkStart w:id="39" w:name="X0e71000fa1f28e7234c26d9920962de16021ed0"/>
    <w:p>
      <w:pPr>
        <w:pStyle w:val="Heading4"/>
      </w:pPr>
      <w:r>
        <w:t xml:space="preserve">Sad Path — One Region Fails the Hard Constraint Gate</w:t>
      </w:r>
    </w:p>
    <w:p>
      <w:pPr>
        <w:pStyle w:val="FirstParagraph"/>
      </w:pPr>
      <w:r>
        <w:t xml:space="preserve">Suppose Central US has a current NonProd quota usage so high that adding 3× E16ads_v5 (48 vCPU)</w:t>
      </w:r>
      <w:r>
        <w:t xml:space="preserve"> </w:t>
      </w:r>
      <w:r>
        <w:t xml:space="preserve">would exceed the effective NonProd ceiling:</w:t>
      </w:r>
    </w:p>
    <w:p>
      <w:pPr>
        <w:pStyle w:val="SourceCode"/>
      </w:pPr>
      <w:r>
        <w:rPr>
          <w:rStyle w:val="VerbatimChar"/>
        </w:rPr>
        <w:t xml:space="preserve">HC-7 check for Central US:</w:t>
      </w:r>
      <w:r>
        <w:br/>
      </w:r>
      <w:r>
        <w:rPr>
          <w:rStyle w:val="VerbatimChar"/>
        </w:rPr>
        <w:t xml:space="preserve">  nonprod_quota_used + (3 × 16) = nonprod_quota_used + 48 &gt; effective_nonprod_ceiling</w:t>
      </w:r>
      <w:r>
        <w:br/>
      </w:r>
      <w:r>
        <w:rPr>
          <w:rStyle w:val="VerbatimChar"/>
        </w:rPr>
        <w:t xml:space="preserve">  → HC-7 FAIL → Central US excluded from scoring pool</w:t>
      </w:r>
    </w:p>
    <w:p>
      <w:pPr>
        <w:pStyle w:val="FirstParagraph"/>
      </w:pPr>
      <w:r>
        <w:t xml:space="preserve">The engine now scores only { West US 3, Canada Central }. It still picks the best of the remaining</w:t>
      </w:r>
      <w:r>
        <w:t xml:space="preserve"> </w:t>
      </w:r>
      <w:r>
        <w:t xml:space="preserve">two — it does not fail the entire placement. Only 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Standard regions fail the hard constraint</w:t>
      </w:r>
      <w:r>
        <w:t xml:space="preserve"> </w:t>
      </w:r>
      <w:r>
        <w:t xml:space="preserve">gate does the engine fall into the exception workflow.</w:t>
      </w:r>
    </w:p>
    <w:bookmarkEnd w:id="39"/>
    <w:bookmarkEnd w:id="40"/>
    <w:bookmarkStart w:id="43" w:name="Xbf33f4e5138670cd60f80190312500638212d4d"/>
    <w:p>
      <w:pPr>
        <w:pStyle w:val="Heading3"/>
      </w:pPr>
      <w:r>
        <w:t xml:space="preserve">3.6 EU Geography Walkthrough (2 Standard Regions)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EU Geography has only two Standard Capacity regions: Switzerland North and Sweden Central.</w:t>
      </w:r>
      <w:r>
        <w:t xml:space="preserve"> </w:t>
      </w:r>
      <w:r>
        <w:t xml:space="preserve">This is a structural constraint: with only two Standard regions, the engine cannot place Prod, CVAL,</w:t>
      </w:r>
      <w:r>
        <w:t xml:space="preserve"> </w:t>
      </w:r>
      <w:r>
        <w:t xml:space="preserve">and DR in three separate regions.</w:t>
      </w:r>
    </w:p>
    <w:p>
      <w:pPr>
        <w:pStyle w:val="BodyText"/>
      </w:pPr>
      <w:r>
        <w:rPr>
          <w:bCs/>
          <w:b/>
        </w:rPr>
        <w:t xml:space="preserve">How EU handles this — the co-location rule (PLC-010 / PLC-010a):</w:t>
      </w:r>
      <w:r>
        <w:t xml:space="preserve"> </w:t>
      </w:r>
      <w:r>
        <w:t xml:space="preserve">one region is Prod, the other is</w:t>
      </w:r>
      <w:r>
        <w:t xml:space="preserve"> </w:t>
      </w:r>
      <w:r>
        <w:t xml:space="preserve">both CVAL and DR together (co-located). CVAL and DR share the second region. This is by design, not a</w:t>
      </w:r>
      <w:r>
        <w:t xml:space="preserve"> </w:t>
      </w:r>
      <w:r>
        <w:t xml:space="preserve">fallback. In a two-region geography the co-location is</w:t>
      </w:r>
      <w:r>
        <w:t xml:space="preserve"> </w:t>
      </w:r>
      <w:r>
        <w:rPr>
          <w:bCs/>
          <w:b/>
        </w:rPr>
        <w:t xml:space="preserve">mandatory and deterministic</w:t>
      </w:r>
      <w:r>
        <w:t xml:space="preserve"> </w:t>
      </w:r>
      <w:r>
        <w:t xml:space="preserve">— once Prod is</w:t>
      </w:r>
      <w:r>
        <w:t xml:space="preserve"> </w:t>
      </w:r>
      <w:r>
        <w:t xml:space="preserve">anchored, only one region remains, so CVAL and DR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land there (PLC-010a).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prevents double-counting: CVAL capacity earmarked for DR activation cannot</w:t>
      </w:r>
      <w:r>
        <w:t xml:space="preserve"> </w:t>
      </w:r>
      <w:r>
        <w:t xml:space="preserve">simultaneously be counted as live NonProd headroom.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DR_NOT_OFFERED does not apply to EU. Both Switzerland North and Sweden Central are fully</w:t>
      </w:r>
      <w:r>
        <w:t xml:space="preserve"> </w:t>
      </w:r>
      <w:r>
        <w:t xml:space="preserve">eligible for all three environment types.</w:t>
      </w:r>
    </w:p>
    <w:bookmarkStart w:id="41" w:name="happy-path-both-regions-eligible"/>
    <w:p>
      <w:pPr>
        <w:pStyle w:val="Heading4"/>
      </w:pPr>
      <w:r>
        <w:t xml:space="preserve">Happy Path — Both Regions Eligible</w:t>
      </w:r>
    </w:p>
    <w:p>
      <w:pPr>
        <w:pStyle w:val="SourceCode"/>
      </w:pPr>
      <w:r>
        <w:rPr>
          <w:rStyle w:val="VerbatimChar"/>
        </w:rPr>
        <w:t xml:space="preserve">Candidate regions: { Switzerland North, Sweden Central }</w:t>
      </w:r>
      <w:r>
        <w:br/>
      </w:r>
      <w:r>
        <w:br/>
      </w:r>
      <w:r>
        <w:rPr>
          <w:rStyle w:val="VerbatimChar"/>
        </w:rPr>
        <w:t xml:space="preserve">Step 1 (Prod):    argmax(PS_Prod) → say Switzerland North scores highest → Prod = Switzerland North</w:t>
      </w:r>
      <w:r>
        <w:br/>
      </w:r>
      <w:r>
        <w:rPr>
          <w:rStyle w:val="VerbatimChar"/>
        </w:rPr>
        <w:t xml:space="preserve">Step 2 (CVAL):    only Sweden Central remains → CVAL = Sweden Central (deterministic, no argmax needed)</w:t>
      </w:r>
      <w:r>
        <w:br/>
      </w:r>
      <w:r>
        <w:rPr>
          <w:rStyle w:val="VerbatimChar"/>
        </w:rPr>
        <w:t xml:space="preserve">Step 3 (DR):      same region as CVAL by PLC-010 co-location rule → DR = Sweden Central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"Switzerland North"</w:t>
      </w:r>
      <w:r>
        <w:br/>
      </w:r>
      <w:r>
        <w:rPr>
          <w:rStyle w:val="VerbatimChar"/>
        </w:rPr>
        <w:t xml:space="preserve">  cval_region       = "Sweden Central"</w:t>
      </w:r>
      <w:r>
        <w:br/>
      </w:r>
      <w:r>
        <w:rPr>
          <w:rStyle w:val="VerbatimChar"/>
        </w:rPr>
        <w:t xml:space="preserve">  dr_region         = "Sweden Central"   ← co-located with CVAL</w:t>
      </w:r>
    </w:p>
    <w:bookmarkEnd w:id="41"/>
    <w:bookmarkStart w:id="42" w:name="Xeb1d2640e8b9c7f514bd092797cc2fd06b42fce"/>
    <w:p>
      <w:pPr>
        <w:pStyle w:val="Heading4"/>
      </w:pPr>
      <w:r>
        <w:t xml:space="preserve">Sad Path — One Region Fails the Hard Constraint Gate</w:t>
      </w:r>
    </w:p>
    <w:p>
      <w:pPr>
        <w:pStyle w:val="FirstParagraph"/>
      </w:pPr>
      <w:r>
        <w:t xml:space="preserve">If Sweden Central fails HC-3 (insufficient Prod quota headroom for this deployment):</w:t>
      </w:r>
    </w:p>
    <w:p>
      <w:pPr>
        <w:pStyle w:val="SourceCode"/>
      </w:pPr>
      <w:r>
        <w:rPr>
          <w:rStyle w:val="VerbatimChar"/>
        </w:rPr>
        <w:t xml:space="preserve">HC-3 check for Sweden Central:</w:t>
      </w:r>
      <w:r>
        <w:br/>
      </w:r>
      <w:r>
        <w:rPr>
          <w:rStyle w:val="VerbatimChar"/>
        </w:rPr>
        <w:t xml:space="preserve">  prod_quota_headroom &lt; requested_vm_count × vCPU</w:t>
      </w:r>
      <w:r>
        <w:br/>
      </w:r>
      <w:r>
        <w:rPr>
          <w:rStyle w:val="VerbatimChar"/>
        </w:rPr>
        <w:t xml:space="preserve">  → HC-3 FAIL → Sweden Central excluded from Prod scoring</w:t>
      </w:r>
      <w:r>
        <w:br/>
      </w:r>
      <w:r>
        <w:br/>
      </w:r>
      <w:r>
        <w:rPr>
          <w:rStyle w:val="VerbatimChar"/>
        </w:rPr>
        <w:t xml:space="preserve">Only remaining Prod candidate: Switzerland North</w:t>
      </w:r>
      <w:r>
        <w:br/>
      </w:r>
      <w:r>
        <w:rPr>
          <w:rStyle w:val="VerbatimChar"/>
        </w:rPr>
        <w:t xml:space="preserve">Prod = Switzerland North (deterministic — no argmax, single candidate)</w:t>
      </w:r>
      <w:r>
        <w:br/>
      </w:r>
      <w:r>
        <w:br/>
      </w:r>
      <w:r>
        <w:rPr>
          <w:rStyle w:val="VerbatimChar"/>
        </w:rPr>
        <w:t xml:space="preserve">CVAL + DR must go to Sweden Central (only remaining Standard region) regardless of HC failure for Prod</w:t>
      </w:r>
      <w:r>
        <w:br/>
      </w:r>
      <w:r>
        <w:rPr>
          <w:rStyle w:val="VerbatimChar"/>
        </w:rPr>
        <w:t xml:space="preserve">scoring. The engine re-evaluates HC for CVAL/NonProd context — a region that fails Prod constraints</w:t>
      </w:r>
      <w:r>
        <w:br/>
      </w:r>
      <w:r>
        <w:rPr>
          <w:rStyle w:val="VerbatimChar"/>
        </w:rPr>
        <w:t xml:space="preserve">may still pass NonProd constraints because they check different quota groups/pools.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regions fail the gate for the same environment type, the engine has no eligible candidate</w:t>
      </w:r>
      <w:r>
        <w:t xml:space="preserve"> </w:t>
      </w:r>
      <w:r>
        <w:t xml:space="preserve">and escalates to the exception workflow (Scenario 3).</w:t>
      </w:r>
    </w:p>
    <w:bookmarkEnd w:id="42"/>
    <w:bookmarkEnd w:id="43"/>
    <w:bookmarkStart w:id="44" w:name="Xbb91a949c13daaa84d099e5e6688c41237edbe8"/>
    <w:p>
      <w:pPr>
        <w:pStyle w:val="Heading3"/>
      </w:pPr>
      <w:r>
        <w:t xml:space="preserve">3.6a Australia, Asia Pacific &amp; Middle East — Same 2-Region Pattern</w:t>
      </w:r>
    </w:p>
    <w:p>
      <w:pPr>
        <w:pStyle w:val="FirstParagraph"/>
      </w:pPr>
      <w:r>
        <w:t xml:space="preserve">EU is not special.</w:t>
      </w:r>
      <w:r>
        <w:t xml:space="preserve"> </w:t>
      </w:r>
      <w:r>
        <w:rPr>
          <w:bCs/>
          <w:b/>
        </w:rPr>
        <w:t xml:space="preserve">Every two-region geography behaves identically</w:t>
      </w:r>
      <w:r>
        <w:t xml:space="preserve"> </w:t>
      </w:r>
      <w:r>
        <w:t xml:space="preserve">(PLC-010a): the placement logic</w:t>
      </w:r>
      <w:r>
        <w:t xml:space="preserve"> </w:t>
      </w:r>
      <w:r>
        <w:t xml:space="preserve">depends only on the</w:t>
      </w:r>
      <w:r>
        <w:t xml:space="preserve"> </w:t>
      </w:r>
      <w:r>
        <w:rPr>
          <w:iCs/>
          <w:i/>
        </w:rPr>
        <w:t xml:space="preserve">count</w:t>
      </w:r>
      <w:r>
        <w:t xml:space="preserve"> </w:t>
      </w:r>
      <w:r>
        <w:t xml:space="preserve">of Standard regions in the geography (a configurable value, REG-001), not</w:t>
      </w:r>
      <w:r>
        <w:t xml:space="preserve"> </w:t>
      </w:r>
      <w:r>
        <w:t xml:space="preserve">on which geography it is. Substitute the region names and the walkthrough above applies verbatim.</w:t>
      </w:r>
    </w:p>
    <w:p>
      <w:pPr>
        <w:pStyle w:val="BodyText"/>
      </w:pPr>
      <w:r>
        <w:rPr>
          <w:bCs/>
          <w:b/>
        </w:rPr>
        <w:t xml:space="preserve">Australia</w:t>
      </w:r>
      <w:r>
        <w:t xml:space="preserve"> </w:t>
      </w:r>
      <w:r>
        <w:t xml:space="preserve">(Standard: Australia East, Australia Southeast):</w:t>
      </w:r>
    </w:p>
    <w:p>
      <w:pPr>
        <w:pStyle w:val="SourceCode"/>
      </w:pPr>
      <w:r>
        <w:rPr>
          <w:rStyle w:val="VerbatimChar"/>
        </w:rPr>
        <w:t xml:space="preserve">Candidate regions: { Australia East, Australia Southeast }</w:t>
      </w:r>
      <w:r>
        <w:br/>
      </w:r>
      <w:r>
        <w:br/>
      </w:r>
      <w:r>
        <w:rPr>
          <w:rStyle w:val="VerbatimChar"/>
        </w:rPr>
        <w:t xml:space="preserve">Step 1 (Prod):  argmax(PS_Prod) → say Australia East scores highest → Prod = Australia East</w:t>
      </w:r>
      <w:r>
        <w:br/>
      </w:r>
      <w:r>
        <w:rPr>
          <w:rStyle w:val="VerbatimChar"/>
        </w:rPr>
        <w:t xml:space="preserve">Step 2 (CVAL):  only Australia Southeast remains → CVAL = Australia Southeast (deterministic)</w:t>
      </w:r>
      <w:r>
        <w:br/>
      </w:r>
      <w:r>
        <w:rPr>
          <w:rStyle w:val="VerbatimChar"/>
        </w:rPr>
        <w:t xml:space="preserve">Step 3 (DR):    co-located with CVAL by PLC-010a → DR = Australia Southeast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"Australia East"</w:t>
      </w:r>
      <w:r>
        <w:br/>
      </w:r>
      <w:r>
        <w:rPr>
          <w:rStyle w:val="VerbatimChar"/>
        </w:rPr>
        <w:t xml:space="preserve">  cval_region       = "Australia Southeast"</w:t>
      </w:r>
      <w:r>
        <w:br/>
      </w:r>
      <w:r>
        <w:rPr>
          <w:rStyle w:val="VerbatimChar"/>
        </w:rPr>
        <w:t xml:space="preserve">  dr_region         = "Australia Southeast"   ← co-located with CVAL</w:t>
      </w:r>
    </w:p>
    <w:p>
      <w:pPr>
        <w:pStyle w:val="FirstParagraph"/>
      </w:pPr>
      <w:r>
        <w:rPr>
          <w:bCs/>
          <w:b/>
        </w:rPr>
        <w:t xml:space="preserve">Asia Pacific</w:t>
      </w:r>
      <w:r>
        <w:t xml:space="preserve"> </w:t>
      </w:r>
      <w:r>
        <w:t xml:space="preserve">(Standard: East Asia, Southeast Asia; Japan East pending confirmation):</w:t>
      </w:r>
    </w:p>
    <w:p>
      <w:pPr>
        <w:pStyle w:val="SourceCode"/>
      </w:pPr>
      <w:r>
        <w:rPr>
          <w:rStyle w:val="VerbatimChar"/>
        </w:rPr>
        <w:t xml:space="preserve">Candidate regions: { East Asia, Southeast Asia }   ← Japan East excluded until confirmed in PlacementPolicy</w:t>
      </w:r>
      <w:r>
        <w:br/>
      </w:r>
      <w:r>
        <w:br/>
      </w:r>
      <w:r>
        <w:rPr>
          <w:rStyle w:val="VerbatimChar"/>
        </w:rPr>
        <w:t xml:space="preserve">Step 1 (Prod):  argmax(PS_Prod) → say Southeast Asia scores highest → Prod = Southeast Asia</w:t>
      </w:r>
      <w:r>
        <w:br/>
      </w:r>
      <w:r>
        <w:rPr>
          <w:rStyle w:val="VerbatimChar"/>
        </w:rPr>
        <w:t xml:space="preserve">Step 2 (CVAL):  only East Asia remains → CVAL = East Asia (deterministic)</w:t>
      </w:r>
      <w:r>
        <w:br/>
      </w:r>
      <w:r>
        <w:rPr>
          <w:rStyle w:val="VerbatimChar"/>
        </w:rPr>
        <w:t xml:space="preserve">Step 3 (DR):    co-located with CVAL by PLC-010a → DR = East Asia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"Southeast Asia"</w:t>
      </w:r>
      <w:r>
        <w:br/>
      </w:r>
      <w:r>
        <w:rPr>
          <w:rStyle w:val="VerbatimChar"/>
        </w:rPr>
        <w:t xml:space="preserve">  cval_region       = "East Asia"</w:t>
      </w:r>
      <w:r>
        <w:br/>
      </w:r>
      <w:r>
        <w:rPr>
          <w:rStyle w:val="VerbatimChar"/>
        </w:rPr>
        <w:t xml:space="preserve">  dr_region         = "East Asia"   ← co-located with CVAL</w:t>
      </w:r>
    </w:p>
    <w:p>
      <w:pPr>
        <w:pStyle w:val="FirstParagraph"/>
      </w:pPr>
      <w:r>
        <w:rPr>
          <w:bCs/>
          <w:b/>
        </w:rPr>
        <w:t xml:space="preserve">Middle East</w:t>
      </w:r>
      <w:r>
        <w:t xml:space="preserve"> </w:t>
      </w:r>
      <w:r>
        <w:t xml:space="preserve">(Standard: UAE North, Saudi Arabia Central) —</w:t>
      </w:r>
      <w:r>
        <w:t xml:space="preserve"> </w:t>
      </w:r>
      <w:r>
        <w:rPr>
          <w:bCs/>
          <w:b/>
        </w:rPr>
        <w:t xml:space="preserve">[Amended v2.4] the cross-geo DR</w:t>
      </w:r>
      <w:r>
        <w:rPr>
          <w:bCs/>
          <w:b/>
        </w:rPr>
        <w:t xml:space="preserve"> </w:t>
      </w:r>
      <w:r>
        <w:rPr>
          <w:bCs/>
          <w:b/>
        </w:rPr>
        <w:t xml:space="preserve">exception</w:t>
      </w:r>
      <w:r>
        <w:t xml:space="preserve">: Prod and CVAL co-locate in a weighted-selected Middle East region (separate CRGs),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 </w:t>
      </w:r>
      <w:r>
        <w:t xml:space="preserve">(PLC-010b, DR-020, DEC-001</w:t>
      </w:r>
      <w:r>
        <w:t xml:space="preserve"> </w:t>
      </w:r>
      <w:r>
        <w:t xml:space="preserve">RESOLVED). Both selections use the weighted capacity model:</w:t>
      </w:r>
    </w:p>
    <w:p>
      <w:pPr>
        <w:pStyle w:val="SourceCode"/>
      </w:pPr>
      <w:r>
        <w:rPr>
          <w:rStyle w:val="VerbatimChar"/>
        </w:rPr>
        <w:t xml:space="preserve">Prod/CVAL candidate regions (Middle East): { UAE North, Saudi Arabia Central }</w:t>
      </w:r>
      <w:r>
        <w:br/>
      </w:r>
      <w:r>
        <w:rPr>
          <w:rStyle w:val="VerbatimChar"/>
        </w:rPr>
        <w:t xml:space="preserve">DR candidate regions (Europe Standard):    { Switzerland North, Sweden Central, ... }  ← weighted-selected</w:t>
      </w:r>
      <w:r>
        <w:br/>
      </w:r>
      <w:r>
        <w:br/>
      </w:r>
      <w:r>
        <w:rPr>
          <w:rStyle w:val="VerbatimChar"/>
        </w:rPr>
        <w:t xml:space="preserve">Step 1 (Prod):  weighted argmax(PS_Prod) over ME → say UAE North scores highest → Prod = UAE North</w:t>
      </w:r>
      <w:r>
        <w:br/>
      </w:r>
      <w:r>
        <w:rPr>
          <w:rStyle w:val="VerbatimChar"/>
        </w:rPr>
        <w:t xml:space="preserve">Step 2 (CVAL):  co-located with Prod in ME → CVAL = UAE North (separate CRG; co-location ≠ sharing)</w:t>
      </w:r>
      <w:r>
        <w:br/>
      </w:r>
      <w:r>
        <w:rPr>
          <w:rStyle w:val="VerbatimChar"/>
        </w:rPr>
        <w:t xml:space="preserve">Step 3 (DR):    weighted selection over Europe Standard regions → say Switzerland North → DR = Switzerland North (cross-geo)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"UAE North"</w:t>
      </w:r>
      <w:r>
        <w:br/>
      </w:r>
      <w:r>
        <w:rPr>
          <w:rStyle w:val="VerbatimChar"/>
        </w:rPr>
        <w:t xml:space="preserve">  cval_region       = "UAE North"          ← co-located with Prod locally (separate CRG)</w:t>
      </w:r>
      <w:r>
        <w:br/>
      </w:r>
      <w:r>
        <w:rPr>
          <w:rStyle w:val="VerbatimChar"/>
        </w:rPr>
        <w:t xml:space="preserve">  dr_region         = "Switzerland North"  ← cross-geo, weighted-selected Europe region (example)</w:t>
      </w:r>
    </w:p>
    <w:p>
      <w:pPr>
        <w:pStyle w:val="FirstParagraph"/>
      </w:pPr>
      <w:r>
        <w:t xml:space="preserve">The Europe DR destination sizes DR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(DR-017) across all sources that fail over to it,</w:t>
      </w:r>
      <w:r>
        <w:t xml:space="preserve"> </w:t>
      </w:r>
      <w:r>
        <w:t xml:space="preserve">including Middle East sources. The specific Europe region is weighted-selected (Switzerland North is</w:t>
      </w:r>
      <w:r>
        <w:t xml:space="preserve"> </w:t>
      </w:r>
      <w:r>
        <w:t xml:space="preserve">the default example, not fixed); changing the Europe destination set is a config change, no code</w:t>
      </w:r>
      <w:r>
        <w:t xml:space="preserve"> </w:t>
      </w:r>
      <w:r>
        <w:t xml:space="preserve">change (REG-001, REG-002, HC-10). Because CVAL now co-locates with Prod locally (not with DR), the</w:t>
      </w:r>
      <w:r>
        <w:t xml:space="preserve"> </w:t>
      </w:r>
      <w:r>
        <w:t xml:space="preserve">CVAL-sacrifice DR bootstrap (DR-005/006) does not apply to the Middle East — ME DR uses dedicated</w:t>
      </w:r>
      <w:r>
        <w:t xml:space="preserve"> </w:t>
      </w:r>
      <w:r>
        <w:t xml:space="preserve">reserved capacity in Europe. Per-country data-residency carve-outs are config-driven and out of engine</w:t>
      </w:r>
      <w:r>
        <w:t xml:space="preserve"> </w:t>
      </w:r>
      <w:r>
        <w:t xml:space="preserve">scope (A-ME1).</w:t>
      </w:r>
    </w:p>
    <w:bookmarkEnd w:id="44"/>
    <w:bookmarkStart w:id="45" w:name="X056fb990fb5a0f68d6ea0ec579813290cf71ab2"/>
    <w:p>
      <w:pPr>
        <w:pStyle w:val="Heading3"/>
      </w:pPr>
      <w:r>
        <w:t xml:space="preserve">3.7 Worked Example — E16ads_v5 (16 vCPU) at US Scale</w:t>
      </w:r>
    </w:p>
    <w:p>
      <w:pPr>
        <w:pStyle w:val="FirstParagraph"/>
      </w:pPr>
      <w:r>
        <w:rPr>
          <w:bCs/>
          <w:b/>
        </w:rPr>
        <w:t xml:space="preserve">Deployment:</w:t>
      </w:r>
      <w:r>
        <w:t xml:space="preserve"> </w:t>
      </w:r>
      <w:r>
        <w:t xml:space="preserve">3× E16ads_v5 = 48 vCPU for Prod in US Geography.</w:t>
      </w:r>
    </w:p>
    <w:p>
      <w:pPr>
        <w:pStyle w:val="SourceCode"/>
      </w:pPr>
      <w:r>
        <w:rPr>
          <w:rStyle w:val="VerbatimChar"/>
        </w:rPr>
        <w:t xml:space="preserve">HC-3 Prod check for each candidate region:</w:t>
      </w:r>
      <w:r>
        <w:br/>
      </w:r>
      <w:r>
        <w:rPr>
          <w:rStyle w:val="VerbatimChar"/>
        </w:rPr>
        <w:t xml:space="preserve">  Required:  48 vCPU</w:t>
      </w:r>
      <w:r>
        <w:br/>
      </w:r>
      <w:r>
        <w:rPr>
          <w:rStyle w:val="VerbatimChar"/>
        </w:rPr>
        <w:t xml:space="preserve">  Region must have Prod_Group_headroom ≥ 48 vCPU</w:t>
      </w:r>
      <w:r>
        <w:br/>
      </w:r>
      <w:r>
        <w:br/>
      </w:r>
      <w:r>
        <w:rPr>
          <w:rStyle w:val="VerbatimChar"/>
        </w:rPr>
        <w:t xml:space="preserve">If West US 3 has Prod_Group_headroom = 64 vCPU → PASS (64 ≥ 48)</w:t>
      </w:r>
      <w:r>
        <w:br/>
      </w:r>
      <w:r>
        <w:rPr>
          <w:rStyle w:val="VerbatimChar"/>
        </w:rPr>
        <w:t xml:space="preserve">If Central US has Prod_Group_headroom = 32 vCPU → FAIL (32 &lt; 48) → excluded</w:t>
      </w:r>
      <w:r>
        <w:br/>
      </w:r>
      <w:r>
        <w:br/>
      </w:r>
      <w:r>
        <w:rPr>
          <w:rStyle w:val="VerbatimChar"/>
        </w:rPr>
        <w:t xml:space="preserve">Scoring runs on: { West US 3, Canada Central }</w:t>
      </w:r>
      <w:r>
        <w:br/>
      </w:r>
      <w:r>
        <w:rPr>
          <w:rStyle w:val="VerbatimChar"/>
        </w:rPr>
        <w:t xml:space="preserve">Winner: argmax of those two</w:t>
      </w:r>
    </w:p>
    <w:bookmarkEnd w:id="45"/>
    <w:bookmarkStart w:id="54" w:name="X6f42da333b8fbc1f9e4a49311293bc2e0fc02bf"/>
    <w:p>
      <w:pPr>
        <w:pStyle w:val="Heading3"/>
      </w:pPr>
      <w:r>
        <w:t xml:space="preserve">3.8 Weight Tuning Guide — How to Adjust Priorities</w:t>
      </w:r>
    </w:p>
    <w:p>
      <w:pPr>
        <w:pStyle w:val="FirstParagraph"/>
      </w:pPr>
      <w:r>
        <w:t xml:space="preserve">This section explains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to adjust the five scoring weights (α, β, γ, δ, ε) to</w:t>
      </w:r>
      <w:r>
        <w:t xml:space="preserve"> </w:t>
      </w:r>
      <w:r>
        <w:t xml:space="preserve">reflect different business priorities, and what happens when you do.</w:t>
      </w:r>
    </w:p>
    <w:bookmarkStart w:id="46" w:name="the-weight-sum-constraint"/>
    <w:p>
      <w:pPr>
        <w:pStyle w:val="Heading4"/>
      </w:pPr>
      <w:r>
        <w:t xml:space="preserve">3.8.1 The Weight-Sum Constraint</w:t>
      </w:r>
    </w:p>
    <w:p>
      <w:pPr>
        <w:pStyle w:val="FirstParagraph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The five weights must</w:t>
      </w:r>
      <w:r>
        <w:t xml:space="preserve"> </w:t>
      </w:r>
      <w:r>
        <w:rPr>
          <w:bCs/>
          <w:b/>
        </w:rPr>
        <w:t xml:space="preserve">always sum to exactly 1.0</w:t>
      </w:r>
      <w:r>
        <w:t xml:space="preserve">. This is a mathematical</w:t>
      </w:r>
      <w:r>
        <w:t xml:space="preserve"> </w:t>
      </w:r>
      <w:r>
        <w:t xml:space="preserve">requirement enforced by the Config/Scope-File Service at policy load time (see Section 6).</w:t>
      </w:r>
    </w:p>
    <w:p>
      <w:pPr>
        <w:pStyle w:val="SourceCode"/>
      </w:pPr>
      <w:r>
        <w:rPr>
          <w:rStyle w:val="VerbatimChar"/>
        </w:rPr>
        <w:t xml:space="preserve">α + β + γ + δ + ε = 1.0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 When weights sum to 1.0, placement scores range from 0.0 (worst) to 1.0 (best)</w:t>
      </w:r>
      <w:r>
        <w:t xml:space="preserve"> </w:t>
      </w:r>
      <w:r>
        <w:t xml:space="preserve">- Scores are directly comparable across all regions</w:t>
      </w:r>
      <w:r>
        <w:t xml:space="preserve"> </w:t>
      </w:r>
      <w:r>
        <w:t xml:space="preserve">- Each weight represents its</w:t>
      </w:r>
      <w:r>
        <w:t xml:space="preserve"> </w:t>
      </w:r>
      <w:r>
        <w:rPr>
          <w:bCs/>
          <w:b/>
        </w:rPr>
        <w:t xml:space="preserve">exact contribution</w:t>
      </w:r>
      <w:r>
        <w:t xml:space="preserve"> </w:t>
      </w:r>
      <w:r>
        <w:t xml:space="preserve">to the final score</w:t>
      </w:r>
      <w:r>
        <w:t xml:space="preserve"> </w:t>
      </w:r>
      <w:r>
        <w:t xml:space="preserve">- Validation tolerance: ±0.001 (to handle IEEE 754 floating-point rounding)</w:t>
      </w:r>
    </w:p>
    <w:p>
      <w:pPr>
        <w:pStyle w:val="BodyText"/>
      </w:pPr>
      <w:r>
        <w:rPr>
          <w:bCs/>
          <w:b/>
        </w:rPr>
        <w:t xml:space="preserve">If weights don’t sum to 1.0, the policy is rejected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PolicyValidationError</w:t>
      </w:r>
      <w:r>
        <w:t xml:space="preserve"> </w:t>
      </w:r>
      <w:r>
        <w:t xml:space="preserve">is raised.</w:t>
      </w:r>
    </w:p>
    <w:bookmarkEnd w:id="46"/>
    <w:bookmarkStart w:id="47" w:name="what-each-weight-controls"/>
    <w:p>
      <w:pPr>
        <w:pStyle w:val="Heading4"/>
      </w:pPr>
      <w:r>
        <w:t xml:space="preserve">3.8.2 What Each Weight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decrease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frequent; deployments are large; running out of capacity is costly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is more important than headroom; willing to run regions fuller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quota increases are slow; hitting quota limits blocks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is abundant; rarely hit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Blast radius minimization is critical; want even customer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spots are acceptable; concentration is not a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is a top-tier SLA/compliance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is lower priority; willing to accept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Zone-level failures are common; zone spread is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Single-zone is acceptable; zones are equally reliable</w:t>
            </w:r>
          </w:p>
        </w:tc>
      </w:tr>
    </w:tbl>
    <w:bookmarkEnd w:id="47"/>
    <w:bookmarkStart w:id="48" w:name="common-tuning-scenarios"/>
    <w:p>
      <w:pPr>
        <w:pStyle w:val="Heading4"/>
      </w:pPr>
      <w:r>
        <w:t xml:space="preserve">3.8.3 Common Tuning Scenarios</w:t>
      </w:r>
    </w:p>
    <w:p>
      <w:pPr>
        <w:pStyle w:val="FirstParagraph"/>
      </w:pPr>
      <w:r>
        <w:rPr>
          <w:bCs/>
          <w:b/>
        </w:rPr>
        <w:t xml:space="preserve">Scenario A: Headroom-First (Baseline Default)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Growth is inevitable and unpredictable. Never run out of capacity.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capacity headroom is paramount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still want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quota is a hard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— DR is important but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zones are least 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Your workload grows rapidly, deployments are large, and running out of capacity</w:t>
      </w:r>
      <w:r>
        <w:t xml:space="preserve"> </w:t>
      </w:r>
      <w:r>
        <w:t xml:space="preserve">would block business-critical launches.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B: Distribution-First (Blast Radius Control)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Minimize blast radius. Spread customers evenly even if it means tighter capacity.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customer spread is paramount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still need some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— quota is always a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— DR is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zones are least 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Reliability/resilience is the top goal, and you want to minimize the number of</w:t>
      </w:r>
      <w:r>
        <w:t xml:space="preserve"> </w:t>
      </w:r>
      <w:r>
        <w:t xml:space="preserve">customers affected by a single regional failure — even if it means placing workloads in fuller regions.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C: DR-Readiness-First (Compliance-Driven)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DR coverage is a contractual/compliance SLA. DR must always be ready.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DR readiness is the top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still need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distribution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— quota is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zones are least 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 have contractual/regulatory DR commitments (e.g., SOC 2, financial services),</w:t>
      </w:r>
      <w:r>
        <w:t xml:space="preserve"> </w:t>
      </w:r>
      <w:r>
        <w:t xml:space="preserve">and DR readiness must be continuously validated and reported.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D: Quota-Constrained Environment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Microsoft quota increases are slow. Never hit quota limits.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— quota headroom is the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— capacity matters but quota blocks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— distribution is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— DR is lower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baseline — zones matter more here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 operate in regions where Microsoft quota increases take weeks, or you have</w:t>
      </w:r>
      <w:r>
        <w:t xml:space="preserve"> </w:t>
      </w:r>
      <w:r>
        <w:t xml:space="preserve">frequent quota-limit blocks. Prioritize regions with abundant quota headroom.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E: Balanced / All-Equal (Testing/Development)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Treat all factors equally for testing or when priorities are unclear.</w:t>
      </w:r>
      <w:r>
        <w:rPr>
          <w:iCs/>
          <w:i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this when:</w:t>
      </w:r>
      <w:r>
        <w:t xml:space="preserve"> </w:t>
      </w:r>
      <w:r>
        <w:t xml:space="preserve">You’re testing the engine, experimenting with scoring, or priorities are genuinely</w:t>
      </w:r>
      <w:r>
        <w:t xml:space="preserve"> </w:t>
      </w:r>
      <w:r>
        <w:t xml:space="preserve">equal (rare in production).</w:t>
      </w:r>
    </w:p>
    <w:bookmarkEnd w:id="48"/>
    <w:bookmarkStart w:id="49" w:name="Xedce53f638a3a7925e1a8d6bf92b85562191b3d"/>
    <w:p>
      <w:pPr>
        <w:pStyle w:val="Heading4"/>
      </w:pPr>
      <w:r>
        <w:t xml:space="preserve">3.8.4 The Pie-Rule: Every Increase Requires a Decrease</w:t>
      </w:r>
    </w:p>
    <w:p>
      <w:pPr>
        <w:pStyle w:val="FirstParagraph"/>
      </w:pPr>
      <w:r>
        <w:t xml:space="preserve">Because weights must sum to 1.0,</w:t>
      </w:r>
      <w:r>
        <w:t xml:space="preserve"> </w:t>
      </w:r>
      <w:r>
        <w:rPr>
          <w:bCs/>
          <w:b/>
        </w:rPr>
        <w:t xml:space="preserve">every increase to one weight requires a decrease to one or more</w:t>
      </w:r>
      <w:r>
        <w:rPr>
          <w:bCs/>
          <w:b/>
        </w:rPr>
        <w:t xml:space="preserve"> </w:t>
      </w:r>
      <w:r>
        <w:rPr>
          <w:bCs/>
          <w:b/>
        </w:rPr>
        <w:t xml:space="preserve">others</w:t>
      </w:r>
      <w:r>
        <w:t xml:space="preserve">. Think of it as a fixed-size pie: making one slice bigger forces others to shrink.</w:t>
      </w:r>
    </w:p>
    <w:p>
      <w:pPr>
        <w:pStyle w:val="BodyText"/>
      </w:pPr>
      <w:r>
        <w:rPr>
          <w:bCs/>
          <w:b/>
        </w:rPr>
        <w:t xml:space="preserve">Example: Increasing γ (distribution) from 0.25 to 0.40</w:t>
      </w:r>
    </w:p>
    <w:p>
      <w:pPr>
        <w:pStyle w:val="BodyText"/>
      </w:pPr>
      <w:r>
        <w:t xml:space="preserve">You need to</w:t>
      </w:r>
      <w:r>
        <w:t xml:space="preserve"> </w:t>
      </w:r>
      <w:r>
        <w:rPr>
          <w:bCs/>
          <w:b/>
        </w:rPr>
        <w:t xml:space="preserve">remove 0.15</w:t>
      </w:r>
      <w:r>
        <w:t xml:space="preserve"> </w:t>
      </w:r>
      <w:r>
        <w:t xml:space="preserve">from other weights:</w:t>
      </w:r>
    </w:p>
    <w:p>
      <w:pPr>
        <w:pStyle w:val="SourceCode"/>
      </w:pPr>
      <w:r>
        <w:rPr>
          <w:rStyle w:val="VerbatimChar"/>
        </w:rPr>
        <w:t xml:space="preserve">γ: 0.25 → 0.40  (+0.15)</w:t>
      </w:r>
      <w:r>
        <w:br/>
      </w:r>
      <w:r>
        <w:rPr>
          <w:rStyle w:val="VerbatimChar"/>
        </w:rPr>
        <w:t xml:space="preserve">α: 0.30 → 0.20  (-0.10)</w:t>
      </w:r>
      <w:r>
        <w:br/>
      </w:r>
      <w:r>
        <w:rPr>
          <w:rStyle w:val="VerbatimChar"/>
        </w:rPr>
        <w:t xml:space="preserve">δ: 0.15 → 0.12  (-0.03)</w:t>
      </w:r>
      <w:r>
        <w:br/>
      </w:r>
      <w:r>
        <w:rPr>
          <w:rStyle w:val="VerbatimChar"/>
        </w:rPr>
        <w:t xml:space="preserve">ε: 0.10 → 0.08  (-0.02)</w:t>
      </w:r>
      <w:r>
        <w:br/>
      </w:r>
      <w:r>
        <w:rPr>
          <w:rStyle w:val="VerbatimChar"/>
        </w:rPr>
        <w:t xml:space="preserve">β: 0.20 → 0.20  (unchanged)</w:t>
      </w:r>
      <w:r>
        <w:br/>
      </w:r>
      <w:r>
        <w:rPr>
          <w:rStyle w:val="VerbatimChar"/>
        </w:rPr>
        <w:t xml:space="preserve">―――――――――――――――――――――――</w:t>
      </w:r>
      <w:r>
        <w:br/>
      </w:r>
      <w:r>
        <w:rPr>
          <w:rStyle w:val="VerbatimChar"/>
        </w:rPr>
        <w:t xml:space="preserve">Sum: 1.0 → 1.0  ✓</w:t>
      </w:r>
    </w:p>
    <w:p>
      <w:pPr>
        <w:pStyle w:val="FirstParagraph"/>
      </w:pPr>
      <w:r>
        <w:rPr>
          <w:bCs/>
          <w:b/>
        </w:rPr>
        <w:t xml:space="preserve">Questions to ask when tuning:</w:t>
      </w:r>
      <w:r>
        <w:t xml:space="preserve"> </w:t>
      </w:r>
      <w:r>
        <w:t xml:space="preserve">1. Which factor is</w:t>
      </w:r>
      <w:r>
        <w:t xml:space="preserve"> </w:t>
      </w:r>
      <w:r>
        <w:rPr>
          <w:bCs/>
          <w:b/>
        </w:rPr>
        <w:t xml:space="preserve">most critical</w:t>
      </w:r>
      <w:r>
        <w:t xml:space="preserve"> </w:t>
      </w:r>
      <w:r>
        <w:t xml:space="preserve">to your business right now?</w:t>
      </w:r>
      <w:r>
        <w:t xml:space="preserve"> </w:t>
      </w:r>
      <w:r>
        <w:t xml:space="preserve">2. Which factor can you</w:t>
      </w:r>
      <w:r>
        <w:t xml:space="preserve"> </w:t>
      </w:r>
      <w:r>
        <w:rPr>
          <w:bCs/>
          <w:b/>
        </w:rPr>
        <w:t xml:space="preserve">afford to de-prioritize</w:t>
      </w:r>
      <w:r>
        <w:t xml:space="preserve">?</w:t>
      </w:r>
      <w:r>
        <w:t xml:space="preserve"> </w:t>
      </w:r>
      <w:r>
        <w:t xml:space="preserve">3. What are the</w:t>
      </w:r>
      <w:r>
        <w:t xml:space="preserve"> </w:t>
      </w:r>
      <w:r>
        <w:rPr>
          <w:bCs/>
          <w:b/>
        </w:rPr>
        <w:t xml:space="preserve">trade-offs</w:t>
      </w:r>
      <w:r>
        <w:t xml:space="preserve"> </w:t>
      </w:r>
      <w:r>
        <w:t xml:space="preserve">of the change?</w:t>
      </w:r>
      <w:r>
        <w:t xml:space="preserve"> </w:t>
      </w:r>
      <w:r>
        <w:t xml:space="preserve">4. Can you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the new weights in a non-production scope first?</w:t>
      </w:r>
    </w:p>
    <w:bookmarkEnd w:id="49"/>
    <w:bookmarkStart w:id="50" w:name="how-to-change-weights"/>
    <w:p>
      <w:pPr>
        <w:pStyle w:val="Heading4"/>
      </w:pPr>
      <w:r>
        <w:t xml:space="preserve">3.8.5 How to Change Weights</w:t>
      </w:r>
    </w:p>
    <w:p>
      <w:pPr>
        <w:pStyle w:val="FirstParagraph"/>
      </w:pPr>
      <w:r>
        <w:t xml:space="preserve">Per the requirements baseline (C-2, ENV-005) and Technical Design Document (Section 8.2):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 file</w:t>
      </w:r>
      <w:r>
        <w:t xml:space="preserve"> </w:t>
      </w:r>
      <w:r>
        <w:t xml:space="preserve">(not code)</w:t>
      </w:r>
    </w:p>
    <w:p>
      <w:pPr>
        <w:numPr>
          <w:ilvl w:val="1"/>
          <w:numId w:val="1005"/>
        </w:numPr>
        <w:pStyle w:val="Compact"/>
      </w:pPr>
      <w:r>
        <w:t xml:space="preserve">Weights are stored as tunable policy constants</w:t>
      </w:r>
    </w:p>
    <w:p>
      <w:pPr>
        <w:numPr>
          <w:ilvl w:val="1"/>
          <w:numId w:val="1005"/>
        </w:numPr>
        <w:pStyle w:val="Compact"/>
      </w:pPr>
      <w:r>
        <w:t xml:space="preserve">Changes apply per scope hierarchy: product/region/environment/SKU</w:t>
      </w:r>
    </w:p>
    <w:p>
      <w:pPr>
        <w:numPr>
          <w:ilvl w:val="1"/>
          <w:numId w:val="1005"/>
        </w:numPr>
        <w:pStyle w:val="Compact"/>
      </w:pPr>
      <w:r>
        <w:t xml:space="preserve">Defaults can be overridden per scope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Config/Scope-File Service validates the weight-sum at policy load time</w:t>
      </w:r>
    </w:p>
    <w:p>
      <w:pPr>
        <w:numPr>
          <w:ilvl w:val="1"/>
          <w:numId w:val="1006"/>
        </w:numPr>
        <w:pStyle w:val="Compact"/>
      </w:pPr>
      <w:r>
        <w:t xml:space="preserve">Validation gate:</w:t>
      </w:r>
      <w:r>
        <w:t xml:space="preserve"> </w:t>
      </w:r>
      <w:r>
        <w:rPr>
          <w:rStyle w:val="VerbatimChar"/>
        </w:rPr>
        <w:t xml:space="preserve">|sum - 1.0| &lt; 0.001</w:t>
      </w:r>
    </w:p>
    <w:p>
      <w:pPr>
        <w:numPr>
          <w:ilvl w:val="1"/>
          <w:numId w:val="1006"/>
        </w:numPr>
        <w:pStyle w:val="Compact"/>
      </w:pPr>
      <w:r>
        <w:t xml:space="preserve">If valid → policy is published</w:t>
      </w:r>
    </w:p>
    <w:p>
      <w:pPr>
        <w:numPr>
          <w:ilvl w:val="1"/>
          <w:numId w:val="1006"/>
        </w:numPr>
        <w:pStyle w:val="Compact"/>
      </w:pPr>
      <w:r>
        <w:t xml:space="preserve">If invalid →</w:t>
      </w:r>
      <w:r>
        <w:t xml:space="preserve"> </w:t>
      </w:r>
      <w:r>
        <w:rPr>
          <w:rStyle w:val="VerbatimChar"/>
        </w:rPr>
        <w:t xml:space="preserve">PolicyValidationError</w:t>
      </w:r>
      <w:r>
        <w:t xml:space="preserve"> </w:t>
      </w:r>
      <w:r>
        <w:t xml:space="preserve">is raised; deployment blocked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placement decision records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policy_version</w:t>
      </w:r>
      <w:r>
        <w:rPr>
          <w:bCs/>
          <w:b/>
        </w:rPr>
        <w:t xml:space="preserve"> </w:t>
      </w:r>
      <w:r>
        <w:rPr>
          <w:bCs/>
          <w:b/>
        </w:rPr>
        <w:t xml:space="preserve">used</w:t>
      </w:r>
    </w:p>
    <w:p>
      <w:pPr>
        <w:numPr>
          <w:ilvl w:val="1"/>
          <w:numId w:val="1007"/>
        </w:numPr>
        <w:pStyle w:val="Compact"/>
      </w:pPr>
      <w:r>
        <w:t xml:space="preserve">Enables deterministic replay</w:t>
      </w:r>
    </w:p>
    <w:p>
      <w:pPr>
        <w:numPr>
          <w:ilvl w:val="1"/>
          <w:numId w:val="1007"/>
        </w:numPr>
        <w:pStyle w:val="Compact"/>
      </w:pPr>
      <w:r>
        <w:t xml:space="preserve">Provides audit trail of configuration state at decision time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matrix T-WV-01..T-WV-05</w:t>
      </w:r>
      <w:r>
        <w:t xml:space="preserve"> </w:t>
      </w:r>
      <w:r>
        <w:t xml:space="preserve">validates the weight-sum gate</w:t>
      </w:r>
    </w:p>
    <w:p>
      <w:pPr>
        <w:numPr>
          <w:ilvl w:val="1"/>
          <w:numId w:val="1008"/>
        </w:numPr>
        <w:pStyle w:val="Compact"/>
      </w:pPr>
      <w:r>
        <w:t xml:space="preserve">See Calculation Logic Reference (Section on Policy weight-sum validation rule)</w:t>
      </w:r>
    </w:p>
    <w:p>
      <w:pPr>
        <w:pStyle w:val="FirstParagraph"/>
      </w:pPr>
      <w:r>
        <w:rPr>
          <w:bCs/>
          <w:b/>
        </w:rPr>
        <w:t xml:space="preserve">No code deployment is required to change weights.</w:t>
      </w:r>
      <w:r>
        <w:t xml:space="preserve"> </w:t>
      </w:r>
      <w:r>
        <w:t xml:space="preserve">Only a policy configuration update.</w:t>
      </w:r>
    </w:p>
    <w:bookmarkEnd w:id="50"/>
    <w:bookmarkStart w:id="51" w:name="monitoring-the-impact-of-weight-changes"/>
    <w:p>
      <w:pPr>
        <w:pStyle w:val="Heading4"/>
      </w:pPr>
      <w:r>
        <w:t xml:space="preserve">3.8.6 Monitoring the Impact of Weight Changes</w:t>
      </w:r>
    </w:p>
    <w:p>
      <w:pPr>
        <w:pStyle w:val="FirstParagraph"/>
      </w:pPr>
      <w:r>
        <w:t xml:space="preserve">After changing weights, monitor these metrics to validate the impact: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% full across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α decreased; lower if α increased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customers in any single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if γ increased; higher if γ decreased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increase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quota requests to 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β decreased; lower if β increased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production covered by DR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δ increased; lower if δ decreased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deployments spanning 3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if ε increased; lower if ε decreased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score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 of region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 changes based on which weights dominate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practice:</w:t>
      </w:r>
      <w:r>
        <w:t xml:space="preserve"> </w:t>
      </w:r>
      <w:r>
        <w:t xml:space="preserve">Change weights</w:t>
      </w:r>
      <w:r>
        <w:t xml:space="preserve"> </w:t>
      </w:r>
      <w:r>
        <w:rPr>
          <w:bCs/>
          <w:b/>
        </w:rPr>
        <w:t xml:space="preserve">incrementally</w:t>
      </w:r>
      <w:r>
        <w:t xml:space="preserve"> </w:t>
      </w:r>
      <w:r>
        <w:t xml:space="preserve">(e.g., ±0.05 at a time) and monitor for 1–2 weeks</w:t>
      </w:r>
      <w:r>
        <w:t xml:space="preserve"> </w:t>
      </w:r>
      <w:r>
        <w:t xml:space="preserve">before making further adjustments.</w:t>
      </w:r>
    </w:p>
    <w:bookmarkEnd w:id="51"/>
    <w:bookmarkStart w:id="52" w:name="per-environment-weight-customization"/>
    <w:p>
      <w:pPr>
        <w:pStyle w:val="Heading4"/>
      </w:pPr>
      <w:r>
        <w:t xml:space="preserve">3.8.7 Per-Environment Weight Customization</w:t>
      </w:r>
    </w:p>
    <w:p>
      <w:pPr>
        <w:pStyle w:val="FirstParagraph"/>
      </w:pPr>
      <w:r>
        <w:t xml:space="preserve">Weights can be tuned</w:t>
      </w:r>
      <w:r>
        <w:t xml:space="preserve"> </w:t>
      </w:r>
      <w:r>
        <w:rPr>
          <w:bCs/>
          <w:b/>
        </w:rPr>
        <w:t xml:space="preserve">per environment type</w:t>
      </w:r>
      <w:r>
        <w:t xml:space="preserve"> </w:t>
      </w:r>
      <w:r>
        <w:t xml:space="preserve">if Prod, NonProd, and DR have different priorities:</w:t>
      </w:r>
    </w:p>
    <w:p>
      <w:pPr>
        <w:pStyle w:val="BodyText"/>
      </w:pPr>
      <w:r>
        <w:rPr>
          <w:bCs/>
          <w:b/>
        </w:rPr>
        <w:t xml:space="preserve">Example: Prod prioritizes headroom, NonProd prioritizes distribution</w:t>
      </w:r>
    </w:p>
    <w:p>
      <w:pPr>
        <w:pStyle w:val="SourceCode"/>
      </w:pPr>
      <w:r>
        <w:rPr>
          <w:rStyle w:val="VerbatimChar"/>
        </w:rPr>
        <w:t xml:space="preserve">Prod weights:</w:t>
      </w:r>
      <w:r>
        <w:br/>
      </w:r>
      <w:r>
        <w:rPr>
          <w:rStyle w:val="VerbatimChar"/>
        </w:rPr>
        <w:t xml:space="preserve">  α=0.35, β=0.20, γ=0.20, δ=0.15, ε=0.10  (headroom-first)</w:t>
      </w:r>
      <w:r>
        <w:br/>
      </w:r>
      <w:r>
        <w:br/>
      </w:r>
      <w:r>
        <w:rPr>
          <w:rStyle w:val="VerbatimChar"/>
        </w:rPr>
        <w:t xml:space="preserve">NonProd weights:</w:t>
      </w:r>
      <w:r>
        <w:br/>
      </w:r>
      <w:r>
        <w:rPr>
          <w:rStyle w:val="VerbatimChar"/>
        </w:rPr>
        <w:t xml:space="preserve">  γ=0.35, α=0.25, β=0.20, δ=0.12, ε=0.08  (distribution-first)</w:t>
      </w:r>
      <w:r>
        <w:br/>
      </w:r>
      <w:r>
        <w:br/>
      </w:r>
      <w:r>
        <w:rPr>
          <w:rStyle w:val="VerbatimChar"/>
        </w:rPr>
        <w:t xml:space="preserve">DR weights:</w:t>
      </w:r>
      <w:r>
        <w:br/>
      </w:r>
      <w:r>
        <w:rPr>
          <w:rStyle w:val="VerbatimChar"/>
        </w:rPr>
        <w:t xml:space="preserve">  δ=0.30, α=0.25, γ=0.20, β=0.15, ε=0.10  (DR-readiness-first)</w:t>
      </w:r>
    </w:p>
    <w:p>
      <w:pPr>
        <w:pStyle w:val="FirstParagraph"/>
      </w:pPr>
      <w:r>
        <w:t xml:space="preserve">This allows</w:t>
      </w:r>
      <w:r>
        <w:t xml:space="preserve"> </w:t>
      </w:r>
      <w:r>
        <w:rPr>
          <w:bCs/>
          <w:b/>
        </w:rPr>
        <w:t xml:space="preserve">different placement strategies per environment</w:t>
      </w:r>
      <w:r>
        <w:t xml:space="preserve"> </w:t>
      </w:r>
      <w:r>
        <w:t xml:space="preserve">while maintaining a single engine.</w:t>
      </w:r>
    </w:p>
    <w:bookmarkEnd w:id="52"/>
    <w:bookmarkStart w:id="53" w:name="summary-weight-tuning-checklist"/>
    <w:p>
      <w:pPr>
        <w:pStyle w:val="Heading4"/>
      </w:pPr>
      <w:r>
        <w:t xml:space="preserve">3.8.8 Summary: Weight Tuning Checklist</w:t>
      </w:r>
    </w:p>
    <w:p>
      <w:pPr>
        <w:pStyle w:val="FirstParagraph"/>
      </w:pPr>
      <w:r>
        <w:t xml:space="preserve">Before changing weights, verify: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Sum equals 1.0</w:t>
      </w:r>
      <w:r>
        <w:t xml:space="preserve"> </w:t>
      </w:r>
      <w:r>
        <w:t xml:space="preserve">(±0.001 tolerance)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Business rationale documented</w:t>
      </w:r>
      <w:r>
        <w:t xml:space="preserve"> </w:t>
      </w:r>
      <w:r>
        <w:t xml:space="preserve">— why this change, what problem it solves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Trade-offs understood</w:t>
      </w:r>
      <w:r>
        <w:t xml:space="preserve"> </w:t>
      </w:r>
      <w:r>
        <w:t xml:space="preserve">— what you’re gaining and what you’re giving up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 scope identified</w:t>
      </w:r>
      <w:r>
        <w:t xml:space="preserve"> </w:t>
      </w:r>
      <w:r>
        <w:t xml:space="preserve">— which product/region/environment will get the new weights first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Monitoring plan in place</w:t>
      </w:r>
      <w:r>
        <w:t xml:space="preserve"> </w:t>
      </w:r>
      <w:r>
        <w:t xml:space="preserve">— how you’ll measure impact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Rollback plan defined</w:t>
      </w:r>
      <w:r>
        <w:t xml:space="preserve"> </w:t>
      </w:r>
      <w:r>
        <w:t xml:space="preserve">— how to revert if the change causes issues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Policy version recorded</w:t>
      </w:r>
      <w:r>
        <w:t xml:space="preserve"> </w:t>
      </w:r>
      <w:r>
        <w:t xml:space="preserve">— audit trail for compliance</w:t>
      </w:r>
    </w:p>
    <w:p>
      <w:pPr>
        <w:pStyle w:val="FirstParagraph"/>
      </w:pPr>
      <w:r>
        <w:rPr>
          <w:bCs/>
          <w:b/>
        </w:rPr>
        <w:t xml:space="preserve">The five weights are the engine’s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personality.</w:t>
      </w:r>
      <w:r>
        <w:rPr>
          <w:bCs/>
          <w:b/>
        </w:rPr>
        <w:t xml:space="preserve">”</w:t>
      </w:r>
      <w:r>
        <w:t xml:space="preserve"> </w:t>
      </w:r>
      <w:r>
        <w:t xml:space="preserve">Tuning them changes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the engine makes</w:t>
      </w:r>
      <w:r>
        <w:t xml:space="preserve"> </w:t>
      </w:r>
      <w:r>
        <w:t xml:space="preserve">decisions, but the decision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(hard constraints → scoring → ranking) remains the same.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6" w:name="domain-2-quota-management"/>
    <w:p>
      <w:pPr>
        <w:pStyle w:val="Heading2"/>
      </w:pPr>
      <w:r>
        <w:t xml:space="preserve">4. Domain 2 — Quota Management</w:t>
      </w:r>
    </w:p>
    <w:bookmarkStart w:id="56" w:name="concept-1"/>
    <w:p>
      <w:pPr>
        <w:pStyle w:val="Heading3"/>
      </w:pPr>
      <w:r>
        <w:t xml:space="preserve">4.1 Concept</w:t>
      </w:r>
    </w:p>
    <w:p>
      <w:pPr>
        <w:pStyle w:val="FirstParagraph"/>
      </w:pPr>
      <w:r>
        <w:t xml:space="preserve">Quota is the Azure-imposed limit on how many vCPUs a subscription can deploy in a region. There are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limits, and a deployment needs room under both: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VM-family</w:t>
      </w:r>
      <w:r>
        <w:t xml:space="preserve"> </w:t>
      </w:r>
      <w:r>
        <w:t xml:space="preserve">vCPU quota (for example</w:t>
      </w:r>
      <w:r>
        <w:t xml:space="preserve"> </w:t>
      </w:r>
      <w:r>
        <w:rPr>
          <w:rStyle w:val="VerbatimChar"/>
        </w:rPr>
        <w:t xml:space="preserve">Eadsv5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total regional</w:t>
      </w:r>
      <w:r>
        <w:t xml:space="preserve"> </w:t>
      </w:r>
      <w:r>
        <w:t xml:space="preserve">vCPU quota for that subscription in that region</w:t>
      </w:r>
    </w:p>
    <w:p>
      <w:pPr>
        <w:pStyle w:val="FirstParagraph"/>
      </w:pPr>
      <w:r>
        <w:t xml:space="preserve">Even if physical capacity exists, deployment fails if either limit is exhausted. Creating a</w:t>
      </w:r>
      <w:r>
        <w:t xml:space="preserve"> </w:t>
      </w:r>
      <w:r>
        <w:t xml:space="preserve">reservation consumes the same two quotas.</w:t>
      </w:r>
    </w:p>
    <w:p>
      <w:pPr>
        <w:pStyle w:val="BodyText"/>
      </w:pPr>
      <w:r>
        <w:t xml:space="preserve">ACRME accounts for family quota as</w:t>
      </w:r>
      <w:r>
        <w:t xml:space="preserve"> </w:t>
      </w:r>
      <w:r>
        <w:rPr>
          <w:bCs/>
          <w:b/>
        </w:rPr>
        <w:t xml:space="preserve">one cell per region per VM family</w:t>
      </w:r>
      <w:r>
        <w:t xml:space="preserve">, covering Prod, NonProd/CVAL,</w:t>
      </w:r>
      <w:r>
        <w:t xml:space="preserve"> </w:t>
      </w:r>
      <w:r>
        <w:t xml:space="preserve">and DR together. Inside the cell, ACRME uses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to protect Prod and DR space — they</w:t>
      </w:r>
      <w:r>
        <w:t xml:space="preserve"> </w:t>
      </w:r>
      <w:r>
        <w:t xml:space="preserve">are never available for NonProd to consume.</w:t>
      </w:r>
    </w:p>
    <w:p>
      <w:pPr>
        <w:pStyle w:val="BodyText"/>
      </w:pPr>
      <w:r>
        <w:t xml:space="preserve">That cell is bookkeeping inside</w:t>
      </w:r>
      <w:r>
        <w:t xml:space="preserve"> </w:t>
      </w:r>
      <w:r>
        <w:rPr>
          <w:bCs/>
          <w:b/>
        </w:rPr>
        <w:t xml:space="preserve">one Azure Quota Group per subscription</w:t>
      </w:r>
      <w:r>
        <w:t xml:space="preserve">. The group can span</w:t>
      </w:r>
      <w:r>
        <w:t xml:space="preserve"> </w:t>
      </w:r>
      <w:r>
        <w:t xml:space="preserve">regions and families, and each transfer is for one region and one family. A VM create does not read</w:t>
      </w:r>
      <w:r>
        <w:t xml:space="preserve"> </w:t>
      </w:r>
      <w:r>
        <w:t xml:space="preserve">the group limit. It reads the quota sitting on the deploying subscription after any transfer. A</w:t>
      </w:r>
      <w:r>
        <w:t xml:space="preserve"> </w:t>
      </w:r>
      <w:r>
        <w:t xml:space="preserve">family that looks free while the regional total is exhausted is still a quota deficit.</w:t>
      </w:r>
    </w:p>
    <w:bookmarkEnd w:id="56"/>
    <w:bookmarkStart w:id="57" w:name="the-single-pool-why-one-pool"/>
    <w:p>
      <w:pPr>
        <w:pStyle w:val="Heading3"/>
      </w:pPr>
      <w:r>
        <w:t xml:space="preserve">4.2 The Single Pool — Why One Pool?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one pool</w:t>
      </w:r>
      <w:r>
        <w:t xml:space="preserve">”</w:t>
      </w:r>
      <w:r>
        <w:t xml:space="preserve"> </w:t>
      </w:r>
      <w:r>
        <w:t xml:space="preserve">below is the</w:t>
      </w:r>
      <w:r>
        <w:t xml:space="preserve"> </w:t>
      </w:r>
      <w:r>
        <w:rPr>
          <w:bCs/>
          <w:b/>
        </w:rPr>
        <w:t xml:space="preserve">accounting cell</w:t>
      </w:r>
      <w:r>
        <w:t xml:space="preserve"> </w:t>
      </w:r>
      <w:r>
        <w:t xml:space="preserve">(region × VM family, all environments). It is not a</w:t>
      </w:r>
      <w:r>
        <w:t xml:space="preserve"> </w:t>
      </w:r>
      <w:r>
        <w:t xml:space="preserve">second Azure object, and it is not the number Azure checks at deploy time. Moving quota onto the</w:t>
      </w:r>
      <w:r>
        <w:t xml:space="preserve"> </w:t>
      </w:r>
      <w:r>
        <w:t xml:space="preserve">deploying subscription is still an explicit Quota Group transfer (QUA-003).</w:t>
      </w:r>
    </w:p>
    <w:p>
      <w:pPr>
        <w:pStyle w:val="BodyText"/>
      </w:pPr>
      <w:r>
        <w:t xml:space="preserve">Older designs used separate quota groups (one for Prod, one for NonProd+DR). The single-cell model</w:t>
      </w:r>
      <w:r>
        <w:t xml:space="preserve"> </w:t>
      </w:r>
      <w:r>
        <w:t xml:space="preserve">was adopted because: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Flexibility:</w:t>
      </w:r>
      <w:r>
        <w:t xml:space="preserve"> </w:t>
      </w:r>
      <w:r>
        <w:t xml:space="preserve">all quota is in one place. If Prod needs more room, there is no inter-group</w:t>
      </w:r>
      <w:r>
        <w:t xml:space="preserve"> </w:t>
      </w:r>
      <w:r>
        <w:t xml:space="preserve">transfer required — the engine just allocates from the shared pool.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Efficiency:</w:t>
      </w:r>
      <w:r>
        <w:t xml:space="preserve"> </w:t>
      </w:r>
      <w:r>
        <w:t xml:space="preserve">quota is expensive to obtain from Microsoft (quota increase requests take time and</w:t>
      </w:r>
      <w:r>
        <w:t xml:space="preserve"> </w:t>
      </w:r>
      <w:r>
        <w:t xml:space="preserve">require justification). Pooling avoids the situation where one group is near-empty while another</w:t>
      </w:r>
      <w:r>
        <w:t xml:space="preserve"> </w:t>
      </w:r>
      <w:r>
        <w:t xml:space="preserve">has idle headroom.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Emergency DR draw:</w:t>
      </w:r>
      <w:r>
        <w:t xml:space="preserve"> </w:t>
      </w:r>
      <w:r>
        <w:t xml:space="preserve">during an active DR event, the DR orchestrator draws directly from</w:t>
      </w:r>
      <w:r>
        <w:t xml:space="preserve"> </w:t>
      </w:r>
      <w:r>
        <w:t xml:space="preserve">Pool_Headroom. No cross-group transfer; no Azure quota request needed for Tier 2 operations.</w:t>
      </w:r>
    </w:p>
    <w:p>
      <w:pPr>
        <w:pStyle w:val="FirstParagraph"/>
      </w:pPr>
      <w:r>
        <w:t xml:space="preserve">The two-group topology is retained as a narrow exception when Azure’s own Quota Group API limits</w:t>
      </w:r>
      <w:r>
        <w:t xml:space="preserve"> </w:t>
      </w:r>
      <w:r>
        <w:t xml:space="preserve">or a mandatory governance boundary make one pool impossible.</w:t>
      </w:r>
    </w:p>
    <w:bookmarkEnd w:id="57"/>
    <w:bookmarkStart w:id="58" w:name="the-pool-formula-translated"/>
    <w:p>
      <w:pPr>
        <w:pStyle w:val="Heading3"/>
      </w:pPr>
      <w:r>
        <w:t xml:space="preserve">4.3 The Pool Formula — Translated</w:t>
      </w:r>
    </w:p>
    <w:p>
      <w:pPr>
        <w:pStyle w:val="SourceCode"/>
      </w:pPr>
      <w:r>
        <w:rPr>
          <w:rStyle w:val="VerbatimChar"/>
        </w:rPr>
        <w:t xml:space="preserve">Pool_Limit(region) =</w:t>
      </w:r>
      <w:r>
        <w:br/>
      </w:r>
      <w:r>
        <w:rPr>
          <w:rStyle w:val="VerbatimChar"/>
        </w:rPr>
        <w:t xml:space="preserve">    Prod CRG quantity  × vCPU × 1.20   (Prod with 20% growth buffer)</w:t>
      </w:r>
      <w:r>
        <w:br/>
      </w:r>
      <w:r>
        <w:rPr>
          <w:rStyle w:val="VerbatimChar"/>
        </w:rPr>
        <w:t xml:space="preserve">  + NonProd CRG quantity × vCPU × 1.20 (NonProd with 20% growth buffer)</w:t>
      </w:r>
      <w:r>
        <w:br/>
      </w:r>
      <w:r>
        <w:rPr>
          <w:rStyle w:val="VerbatimChar"/>
        </w:rPr>
        <w:t xml:space="preserve">  + DR_Earmark_vCPU(region)             (space permanently reserved for DR standby)</w:t>
      </w:r>
      <w:r>
        <w:br/>
      </w:r>
      <w:r>
        <w:rPr>
          <w:rStyle w:val="VerbatimChar"/>
        </w:rPr>
        <w:t xml:space="preserve">  + emergency_transfer_headroom_vcpu    (30% of potential DR demand — Tier 2 buffer)</w:t>
      </w:r>
    </w:p>
    <w:p>
      <w:pPr>
        <w:pStyle w:val="FirstParagraph"/>
      </w:pPr>
      <w:r>
        <w:rPr>
          <w:bCs/>
          <w:b/>
        </w:rPr>
        <w:t xml:space="preserve">What this means in plain English:</w:t>
      </w:r>
      <w:r>
        <w:t xml:space="preserve"> </w:t>
      </w:r>
      <w:r>
        <w:t xml:space="preserve">the pool limit is sized to be big enough to hold everything at</w:t>
      </w:r>
      <w:r>
        <w:t xml:space="preserve"> </w:t>
      </w:r>
      <w:r>
        <w:t xml:space="preserve">full scale, including a growth allowance, a permanent DR reserve, and a buffer for emergency DR</w:t>
      </w:r>
      <w:r>
        <w:t xml:space="preserve"> </w:t>
      </w:r>
      <w:r>
        <w:t xml:space="preserve">capacity draws. When ACRME requests this quota from Microsoft, it is asking for the headroom to cover</w:t>
      </w:r>
      <w:r>
        <w:t xml:space="preserve"> </w:t>
      </w:r>
      <w:r>
        <w:t xml:space="preserve">all of these uses without coming back for more quota frequently.</w:t>
      </w:r>
    </w:p>
    <w:bookmarkEnd w:id="58"/>
    <w:bookmarkStart w:id="59" w:name="X0e0bc75d13a8fea529f06b9d2f7d5a5e4808171"/>
    <w:p>
      <w:pPr>
        <w:pStyle w:val="Heading3"/>
      </w:pPr>
      <w:r>
        <w:t xml:space="preserve">4.4 Logical Earmarks — Protecting Prod and DR Inside the Pool</w:t>
      </w:r>
    </w:p>
    <w:p>
      <w:pPr>
        <w:pStyle w:val="FirstParagraph"/>
      </w:pPr>
      <w:r>
        <w:t xml:space="preserve">Once the pool exists, the engine enforces two internal floors that NonProd can never consume:</w:t>
      </w:r>
    </w:p>
    <w:p>
      <w:pPr>
        <w:pStyle w:val="BodyText"/>
      </w:pPr>
      <w:r>
        <w:rPr>
          <w:bCs/>
          <w:b/>
        </w:rPr>
        <w:t xml:space="preserve">Prod_Reserved_Floor:</w:t>
      </w:r>
      <w:r>
        <w:t xml:space="preserve"> </w:t>
      </w:r>
      <w:r>
        <w:t xml:space="preserve">The minimum quota the Prod workloads need — their current vCPU usage plus</w:t>
      </w:r>
      <w:r>
        <w:t xml:space="preserve"> </w:t>
      </w:r>
      <w:r>
        <w:t xml:space="preserve">the growth buffer above it. NonProd allocation is blocked if it would eat below this floor.</w:t>
      </w:r>
    </w:p>
    <w:p>
      <w:pPr>
        <w:pStyle w:val="BodyText"/>
      </w:pPr>
      <w:r>
        <w:rPr>
          <w:bCs/>
          <w:b/>
        </w:rPr>
        <w:t xml:space="preserve">DR_Earmark_vCPU:</w:t>
      </w:r>
      <w:r>
        <w:t xml:space="preserve"> </w:t>
      </w:r>
      <w:r>
        <w:t xml:space="preserve">The quota reserved for DR standby. This is calculated using the max-not-sum</w:t>
      </w:r>
      <w:r>
        <w:t xml:space="preserve"> </w:t>
      </w:r>
      <w:r>
        <w:t xml:space="preserve">formula (see Domain 3 — Scenario 17): it is the capacity needed to absorb the</w:t>
      </w:r>
      <w:r>
        <w:t xml:space="preserve"> </w:t>
      </w:r>
      <w:r>
        <w:rPr>
          <w:iCs/>
          <w:i/>
        </w:rPr>
        <w:t xml:space="preserve">largest single source</w:t>
      </w:r>
      <w:r>
        <w:rPr>
          <w:iCs/>
          <w:i/>
        </w:rPr>
        <w:t xml:space="preserve"> </w:t>
      </w:r>
      <w:r>
        <w:rPr>
          <w:iCs/>
          <w:i/>
        </w:rPr>
        <w:t xml:space="preserve">region</w:t>
      </w:r>
      <w:r>
        <w:t xml:space="preserve"> </w:t>
      </w:r>
      <w:r>
        <w:t xml:space="preserve">that could fail and send its customers here, not the sum of all potential sources.</w:t>
      </w:r>
    </w:p>
    <w:p>
      <w:pPr>
        <w:pStyle w:val="BodyText"/>
      </w:pPr>
      <w:r>
        <w:rPr>
          <w:bCs/>
          <w:b/>
        </w:rPr>
        <w:t xml:space="preserve">Allocatable_NonProd</w:t>
      </w:r>
      <w:r>
        <w:t xml:space="preserve"> </w:t>
      </w:r>
      <w:r>
        <w:t xml:space="preserve">is what is left over after both earmarks:</w:t>
      </w:r>
    </w:p>
    <w:p>
      <w:pPr>
        <w:pStyle w:val="SourceCode"/>
      </w:pPr>
      <w:r>
        <w:rPr>
          <w:rStyle w:val="VerbatimChar"/>
        </w:rPr>
        <w:t xml:space="preserve">Allocatable_NonProd = Pool_Limit</w:t>
      </w:r>
      <w:r>
        <w:br/>
      </w:r>
      <w:r>
        <w:rPr>
          <w:rStyle w:val="VerbatimChar"/>
        </w:rPr>
        <w:t xml:space="preserve">                    − Prod_Reserved_Floor</w:t>
      </w:r>
      <w:r>
        <w:br/>
      </w:r>
      <w:r>
        <w:rPr>
          <w:rStyle w:val="VerbatimChar"/>
        </w:rPr>
        <w:t xml:space="preserve">                    − DR_Earmark_vCPU</w:t>
      </w:r>
      <w:r>
        <w:br/>
      </w:r>
      <w:r>
        <w:rPr>
          <w:rStyle w:val="VerbatimChar"/>
        </w:rPr>
        <w:t xml:space="preserve">                    − NonProd currently used</w:t>
      </w:r>
    </w:p>
    <w:p>
      <w:pPr>
        <w:pStyle w:val="FirstParagraph"/>
      </w:pPr>
      <w:r>
        <w:t xml:space="preserve">If this number hits zero, the engine blocks any further NonProd expansion in that region until</w:t>
      </w:r>
      <w:r>
        <w:t xml:space="preserve"> </w:t>
      </w:r>
      <w:r>
        <w:t xml:space="preserve">either the pool limit is raised or Prod/DR demand decreases.</w:t>
      </w:r>
    </w:p>
    <w:bookmarkEnd w:id="59"/>
    <w:bookmarkStart w:id="60" w:name="Xea245ea7264559044258d7abc5a2713c2f870f2"/>
    <w:p>
      <w:pPr>
        <w:pStyle w:val="Heading3"/>
      </w:pPr>
      <w:r>
        <w:t xml:space="preserve">4.5 The DR Floor — Why It Exists and How It Is Enforced</w:t>
      </w:r>
    </w:p>
    <w:p>
      <w:pPr>
        <w:pStyle w:val="FirstParagraph"/>
      </w:pPr>
      <w:r>
        <w:t xml:space="preserve">The DR floor (</w:t>
      </w:r>
      <w:r>
        <w:rPr>
          <w:rStyle w:val="VerbatimChar"/>
        </w:rPr>
        <w:t xml:space="preserve">DR_Earmark_vCPU</w:t>
      </w:r>
      <w:r>
        <w:t xml:space="preserve">) is a ring-fence: the engine promises that there will always be</w:t>
      </w:r>
      <w:r>
        <w:t xml:space="preserve"> </w:t>
      </w:r>
      <w:r>
        <w:t xml:space="preserve">enough quota to activate DR for the largest protected source region. Without it, NonProd growth could</w:t>
      </w:r>
      <w:r>
        <w:t xml:space="preserve"> </w:t>
      </w:r>
      <w:r>
        <w:t xml:space="preserve">quietly eat the DR quota until a real DR event arrives — at which point the DR activation fails.</w:t>
      </w:r>
    </w:p>
    <w:p>
      <w:pPr>
        <w:pStyle w:val="BodyText"/>
      </w:pPr>
      <w:r>
        <w:t xml:space="preserve">Azure itself does not natively enforce intra-pool sub-reservations. The engine enforces the DR floor</w:t>
      </w:r>
      <w:r>
        <w:t xml:space="preserve"> </w:t>
      </w:r>
      <w:r>
        <w:t xml:space="preserve">by arithmetic at command time (when NonProd expansion is requested) and by a separate detector that</w:t>
      </w:r>
      <w:r>
        <w:t xml:space="preserve"> </w:t>
      </w:r>
      <w:r>
        <w:t xml:space="preserve">continuously recomputes the floor from authoritative assignment data. If the detector disagrees with</w:t>
      </w:r>
      <w:r>
        <w:t xml:space="preserve"> </w:t>
      </w:r>
      <w:r>
        <w:t xml:space="preserve">the command-time calculation, automatic NonProd expansion is disabled until the state is reconciled.</w:t>
      </w:r>
    </w:p>
    <w:bookmarkEnd w:id="60"/>
    <w:bookmarkStart w:id="63" w:name="us-geography-walkthrough-quota-sizing"/>
    <w:p>
      <w:pPr>
        <w:pStyle w:val="Heading3"/>
      </w:pPr>
      <w:r>
        <w:t xml:space="preserve">4.6 US Geography Walkthrough — Quota Sizing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3× E16ads_v5 (48 vCPU) for Prod, 3× E8ads_v5 (24 vCPU) for NonProd, in US Geography</w:t>
      </w:r>
      <w:r>
        <w:t xml:space="preserve"> </w:t>
      </w:r>
      <w:r>
        <w:t xml:space="preserve">(3 Standard regions: West US 3, Central US, Canada Central). DR requirement sized by max-not-sum.</w:t>
      </w:r>
    </w:p>
    <w:p>
      <w:pPr>
        <w:pStyle w:val="BodyText"/>
      </w:pPr>
      <w:r>
        <w:rPr>
          <w:bCs/>
          <w:b/>
        </w:rPr>
        <w:t xml:space="preserve">Worked example for one region (West US 3):</w:t>
      </w:r>
    </w:p>
    <w:p>
      <w:pPr>
        <w:pStyle w:val="SourceCode"/>
      </w:pP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Prod CRG quantity     = 48 vCPU  (3× E16ads_v5 × 16 vCPU)</w:t>
      </w:r>
      <w:r>
        <w:br/>
      </w:r>
      <w:r>
        <w:rPr>
          <w:rStyle w:val="VerbatimChar"/>
        </w:rPr>
        <w:t xml:space="preserve">  NonProd CRG quantity  = 24 vCPU  (3× E8ads_v5  × 8 vCPU)</w:t>
      </w:r>
      <w:r>
        <w:br/>
      </w:r>
      <w:r>
        <w:rPr>
          <w:rStyle w:val="VerbatimChar"/>
        </w:rPr>
        <w:t xml:space="preserve">  DR_Earmark_vCPU       = 48 vCPU  (sized for the largest source — see Domain 3)</w:t>
      </w:r>
      <w:r>
        <w:br/>
      </w:r>
      <w:r>
        <w:rPr>
          <w:rStyle w:val="VerbatimChar"/>
        </w:rPr>
        <w:t xml:space="preserve">  emergency_transfer_headroom = 24 × 0.30 = 7.2 → ceil → 8 vCPU</w:t>
      </w:r>
      <w:r>
        <w:br/>
      </w:r>
      <w:r>
        <w:br/>
      </w:r>
      <w:r>
        <w:rPr>
          <w:rStyle w:val="VerbatimChar"/>
        </w:rPr>
        <w:t xml:space="preserve">Pool_Limit = (48 × 1.20) + (24 × 1.20) + 48 + 8</w:t>
      </w:r>
      <w:r>
        <w:br/>
      </w:r>
      <w:r>
        <w:rPr>
          <w:rStyle w:val="VerbatimChar"/>
        </w:rPr>
        <w:t xml:space="preserve">           = 57.6 + 28.8 + 48 + 8</w:t>
      </w:r>
      <w:r>
        <w:br/>
      </w:r>
      <w:r>
        <w:rPr>
          <w:rStyle w:val="VerbatimChar"/>
        </w:rPr>
        <w:t xml:space="preserve">           = 142.4 → request 143 vCPU from Microsoft</w:t>
      </w:r>
      <w:r>
        <w:br/>
      </w:r>
      <w:r>
        <w:br/>
      </w:r>
      <w:r>
        <w:rPr>
          <w:rStyle w:val="VerbatimChar"/>
        </w:rPr>
        <w:t xml:space="preserve">Prod_Reserved_Floor   = 48 + (48 × 0.20) = 57.6 vCPU</w:t>
      </w:r>
      <w:r>
        <w:br/>
      </w:r>
      <w:r>
        <w:rPr>
          <w:rStyle w:val="VerbatimChar"/>
        </w:rPr>
        <w:t xml:space="preserve">DR_Earmark_vCPU       = 48 vCPU</w:t>
      </w:r>
      <w:r>
        <w:br/>
      </w:r>
      <w:r>
        <w:rPr>
          <w:rStyle w:val="VerbatimChar"/>
        </w:rPr>
        <w:t xml:space="preserve">NonProd currently used = 24 vCPU (all in use)</w:t>
      </w:r>
      <w:r>
        <w:br/>
      </w:r>
      <w:r>
        <w:br/>
      </w:r>
      <w:r>
        <w:rPr>
          <w:rStyle w:val="VerbatimChar"/>
        </w:rPr>
        <w:t xml:space="preserve">Allocatable_NonProd = 143 − 57.6 − 48 − 24 = 13.4 vCPU remaining</w:t>
      </w:r>
    </w:p>
    <w:bookmarkStart w:id="61" w:name="X0ad64bafa3764e6e7ee8130973e890de77f50d4"/>
    <w:p>
      <w:pPr>
        <w:pStyle w:val="Heading4"/>
      </w:pPr>
      <w:r>
        <w:t xml:space="preserve">Happy Path — NonProd Expansion Request Within Allocatable Headroom</w:t>
      </w:r>
    </w:p>
    <w:p>
      <w:pPr>
        <w:pStyle w:val="FirstParagraph"/>
      </w:pPr>
      <w:r>
        <w:t xml:space="preserve">A team requests 1 additional E8ads_v5 (8 vCPU) for NonProd:</w:t>
      </w:r>
    </w:p>
    <w:p>
      <w:pPr>
        <w:pStyle w:val="SourceCode"/>
      </w:pPr>
      <w:r>
        <w:rPr>
          <w:rStyle w:val="VerbatimChar"/>
        </w:rPr>
        <w:t xml:space="preserve">HC-7 check: NonProd used + 8 = 24 + 8 = 32 &gt; Allocatable_NonProd ceiling?</w:t>
      </w:r>
      <w:r>
        <w:br/>
      </w:r>
      <w:r>
        <w:rPr>
          <w:rStyle w:val="VerbatimChar"/>
        </w:rPr>
        <w:t xml:space="preserve">  Allocatable_NonProd ceiling = Pool_Limit − Prod_Reserved_Floor − DR_Earmark_vCPU</w:t>
      </w:r>
      <w:r>
        <w:br/>
      </w:r>
      <w:r>
        <w:rPr>
          <w:rStyle w:val="VerbatimChar"/>
        </w:rPr>
        <w:t xml:space="preserve">                              = 143 − 57.6 − 48 = 37.4 vCPU</w:t>
      </w:r>
      <w:r>
        <w:br/>
      </w:r>
      <w:r>
        <w:rPr>
          <w:rStyle w:val="VerbatimChar"/>
        </w:rPr>
        <w:t xml:space="preserve">  32 ≤ 37.4 → PASS</w:t>
      </w:r>
      <w:r>
        <w:br/>
      </w:r>
      <w:r>
        <w:rPr>
          <w:rStyle w:val="VerbatimChar"/>
        </w:rPr>
        <w:t xml:space="preserve">NonProd expansion approved.</w:t>
      </w:r>
    </w:p>
    <w:bookmarkEnd w:id="61"/>
    <w:bookmarkStart w:id="62" w:name="X6680a8faaeb65dfc744c532dd167f2f946d3857"/>
    <w:p>
      <w:pPr>
        <w:pStyle w:val="Heading4"/>
      </w:pPr>
      <w:r>
        <w:t xml:space="preserve">Sad Path — NonProd Expansion Would Violate DR Floor</w:t>
      </w:r>
    </w:p>
    <w:p>
      <w:pPr>
        <w:pStyle w:val="FirstParagraph"/>
      </w:pPr>
      <w:r>
        <w:t xml:space="preserve">A team requests 4× E8ads_v5 (32 vCPU) for NonProd at once:</w:t>
      </w:r>
    </w:p>
    <w:p>
      <w:pPr>
        <w:pStyle w:val="SourceCode"/>
      </w:pPr>
      <w:r>
        <w:rPr>
          <w:rStyle w:val="VerbatimChar"/>
        </w:rPr>
        <w:t xml:space="preserve">HC-7 check: NonProd used + 32 = 24 + 32 = 56 &gt; effective NonProd ceiling of 37.4 vCPU</w:t>
      </w:r>
      <w:r>
        <w:br/>
      </w:r>
      <w:r>
        <w:rPr>
          <w:rStyle w:val="VerbatimChar"/>
        </w:rPr>
        <w:t xml:space="preserve">  → HC-7 FAIL</w:t>
      </w:r>
      <w:r>
        <w:br/>
      </w:r>
      <w:r>
        <w:rPr>
          <w:rStyle w:val="VerbatimChar"/>
        </w:rPr>
        <w:t xml:space="preserve">  → Emit: DRFloorViolationDetected (Critical severity)</w:t>
      </w:r>
      <w:r>
        <w:br/>
      </w:r>
      <w:r>
        <w:rPr>
          <w:rStyle w:val="VerbatimChar"/>
        </w:rPr>
        <w:t xml:space="preserve">  → Block expansion</w:t>
      </w:r>
      <w:r>
        <w:br/>
      </w:r>
      <w:r>
        <w:rPr>
          <w:rStyle w:val="VerbatimChar"/>
        </w:rPr>
        <w:t xml:space="preserve">  → Alert: "NonProd expansion denied — DR floor integrity violated"</w:t>
      </w:r>
    </w:p>
    <w:p>
      <w:pPr>
        <w:pStyle w:val="FirstParagraph"/>
      </w:pPr>
      <w:r>
        <w:t xml:space="preserve">The team must request a quota increase from Microsoft (raising Pool_Limit) before this deployment</w:t>
      </w:r>
      <w:r>
        <w:t xml:space="preserve"> </w:t>
      </w:r>
      <w:r>
        <w:t xml:space="preserve">can proceed.</w:t>
      </w:r>
    </w:p>
    <w:bookmarkEnd w:id="62"/>
    <w:bookmarkEnd w:id="63"/>
    <w:bookmarkStart w:id="64" w:name="X9df11f35ce13b0ae3bf170be7fe68a6fa4d7eaa"/>
    <w:p>
      <w:pPr>
        <w:pStyle w:val="Heading3"/>
      </w:pPr>
      <w:r>
        <w:t xml:space="preserve">4.7 EU Geography Walkthrough — Quota with Co-location</w:t>
      </w:r>
    </w:p>
    <w:p>
      <w:pPr>
        <w:pStyle w:val="FirstParagraph"/>
      </w:pPr>
      <w:r>
        <w:t xml:space="preserve">In EU, CVAL and DR co-locate in the second Standard region (say Sweden Central). The pool for Sweden</w:t>
      </w:r>
      <w:r>
        <w:t xml:space="preserve"> </w:t>
      </w:r>
      <w:r>
        <w:t xml:space="preserve">Central must cover both NonProd and DR earmarks:</w:t>
      </w:r>
    </w:p>
    <w:p>
      <w:pPr>
        <w:pStyle w:val="SourceCode"/>
      </w:pPr>
      <w:r>
        <w:rPr>
          <w:rStyle w:val="VerbatimChar"/>
        </w:rPr>
        <w:t xml:space="preserve">Prod region:        Switzerland North</w:t>
      </w:r>
      <w:r>
        <w:br/>
      </w:r>
      <w:r>
        <w:rPr>
          <w:rStyle w:val="VerbatimChar"/>
        </w:rPr>
        <w:t xml:space="preserve">CVAL + DR region:   Sweden Central</w:t>
      </w:r>
      <w:r>
        <w:br/>
      </w:r>
      <w:r>
        <w:br/>
      </w:r>
      <w:r>
        <w:rPr>
          <w:rStyle w:val="VerbatimChar"/>
        </w:rPr>
        <w:t xml:space="preserve">Sweden Central pool covers:</w:t>
      </w:r>
      <w:r>
        <w:br/>
      </w:r>
      <w:r>
        <w:rPr>
          <w:rStyle w:val="VerbatimChar"/>
        </w:rPr>
        <w:t xml:space="preserve">  NonProd CRG quantity  = 24 vCPU</w:t>
      </w:r>
      <w:r>
        <w:br/>
      </w:r>
      <w:r>
        <w:rPr>
          <w:rStyle w:val="VerbatimChar"/>
        </w:rPr>
        <w:t xml:space="preserve">  DR_Earmark_vCPU       = sized for DR requirement</w:t>
      </w:r>
      <w:r>
        <w:br/>
      </w:r>
      <w:r>
        <w:rPr>
          <w:rStyle w:val="VerbatimChar"/>
        </w:rPr>
        <w:t xml:space="preserve">  (Prod_Reserved_Floor applies only in Switzerland North)</w:t>
      </w:r>
      <w:r>
        <w:br/>
      </w:r>
      <w:r>
        <w:br/>
      </w:r>
      <w:r>
        <w:rPr>
          <w:rStyle w:val="VerbatimChar"/>
        </w:rPr>
        <w:t xml:space="preserve">CVALEarmarkRecord enforces: CVAL capacity used for DR activation is NOT</w:t>
      </w:r>
      <w:r>
        <w:br/>
      </w:r>
      <w:r>
        <w:rPr>
          <w:rStyle w:val="VerbatimChar"/>
        </w:rPr>
        <w:t xml:space="preserve">  simultaneously counted as Allocatable_NonProd headroom.</w:t>
      </w:r>
    </w:p>
    <w:p>
      <w:pPr>
        <w:pStyle w:val="FirstParagraph"/>
      </w:pPr>
      <w:r>
        <w:t xml:space="preserve">This prevents a double-count: CVAL VMs that are earmarked to be shut down and replaced by DR standby</w:t>
      </w:r>
      <w:r>
        <w:t xml:space="preserve"> </w:t>
      </w:r>
      <w:r>
        <w:t xml:space="preserve">cannot be claimed as</w:t>
      </w:r>
      <w:r>
        <w:t xml:space="preserve"> </w:t>
      </w:r>
      <w:r>
        <w:t xml:space="preserve">“</w:t>
      </w:r>
      <w:r>
        <w:t xml:space="preserve">available NonProd headroom</w:t>
      </w:r>
      <w:r>
        <w:t xml:space="preserve">”</w:t>
      </w:r>
      <w:r>
        <w:t xml:space="preserve"> </w:t>
      </w:r>
      <w:r>
        <w:t xml:space="preserve">while they are still running.</w:t>
      </w:r>
    </w:p>
    <w:bookmarkEnd w:id="64"/>
    <w:bookmarkStart w:id="65" w:name="Xfbd29b91ab42611f9d3f197bbac055758aaf1c5"/>
    <w:p>
      <w:pPr>
        <w:pStyle w:val="Heading3"/>
      </w:pPr>
      <w:r>
        <w:t xml:space="preserve">4.8 Quota Scoring (Scenario 10) — The β Component</w:t>
      </w:r>
    </w:p>
    <w:p>
      <w:pPr>
        <w:pStyle w:val="FirstParagraph"/>
      </w:pPr>
      <w:r>
        <w:t xml:space="preserve">The β component of the placement score (weight 0.20) reflects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quota position. It is</w:t>
      </w:r>
      <w:r>
        <w:t xml:space="preserve"> </w:t>
      </w:r>
      <w:r>
        <w:t xml:space="preserve">dispatched by environment type:</w:t>
      </w:r>
    </w:p>
    <w:p>
      <w:pPr>
        <w:pStyle w:val="SourceCode"/>
      </w:pPr>
      <w:r>
        <w:rPr>
          <w:rStyle w:val="VerbatimChar"/>
        </w:rPr>
        <w:t xml:space="preserve">Quota_Score_Prod(r)    = prod quota headroom ÷ prod quota limit</w:t>
      </w:r>
      <w:r>
        <w:br/>
      </w:r>
      <w:r>
        <w:rPr>
          <w:rStyle w:val="VerbatimChar"/>
        </w:rPr>
        <w:t xml:space="preserve">Quota_Score_NonProd(r) = NonProd headroom ÷ effective NonProd ceiling</w:t>
      </w:r>
      <w:r>
        <w:br/>
      </w:r>
      <w:r>
        <w:rPr>
          <w:rStyle w:val="VerbatimChar"/>
        </w:rPr>
        <w:t xml:space="preserve">Quota_Score_DR(r)      = DR headroom ÷ DR floor vCPU</w:t>
      </w:r>
    </w:p>
    <w:p>
      <w:pPr>
        <w:pStyle w:val="FirstParagraph"/>
      </w:pPr>
      <w:r>
        <w:rPr>
          <w:bCs/>
          <w:b/>
        </w:rPr>
        <w:t xml:space="preserve">Important nuance on DR:</w:t>
      </w:r>
      <w:r>
        <w:t xml:space="preserve"> </w:t>
      </w:r>
      <w:r>
        <w:t xml:space="preserve">a DR score of 1.0 means maximum expansion room (DR CRG is at zero —</w:t>
      </w:r>
      <w:r>
        <w:t xml:space="preserve"> </w:t>
      </w:r>
      <w:r>
        <w:t xml:space="preserve">nothing is reserved yet, so the ceiling has not been eaten). It does not mean</w:t>
      </w:r>
      <w:r>
        <w:t xml:space="preserve"> </w:t>
      </w:r>
      <w:r>
        <w:t xml:space="preserve">“</w:t>
      </w:r>
      <w:r>
        <w:t xml:space="preserve">quota is fully</w:t>
      </w:r>
      <w:r>
        <w:t xml:space="preserve"> </w:t>
      </w:r>
      <w:r>
        <w:t xml:space="preserve">consumed.</w:t>
      </w:r>
      <w:r>
        <w:t xml:space="preserve">”</w:t>
      </w:r>
      <w:r>
        <w:t xml:space="preserve"> </w:t>
      </w:r>
      <w:r>
        <w:t xml:space="preserve">A DR score of 0 means the DR earmark is fully used — the region cannot take more DR load.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6" w:name="domain-3-capacity-management"/>
    <w:p>
      <w:pPr>
        <w:pStyle w:val="Heading2"/>
      </w:pPr>
      <w:r>
        <w:t xml:space="preserve">5. Domain 3 — Capacity Management</w:t>
      </w:r>
    </w:p>
    <w:bookmarkStart w:id="67" w:name="concept-2"/>
    <w:p>
      <w:pPr>
        <w:pStyle w:val="Heading3"/>
      </w:pPr>
      <w:r>
        <w:t xml:space="preserve">5.1 Concept</w:t>
      </w:r>
    </w:p>
    <w:p>
      <w:pPr>
        <w:pStyle w:val="FirstParagraph"/>
      </w:pPr>
      <w:r>
        <w:t xml:space="preserve">Quota (Domain 2) answers whether the</w:t>
      </w:r>
      <w:r>
        <w:t xml:space="preserve"> </w:t>
      </w:r>
      <w:r>
        <w:rPr>
          <w:iCs/>
          <w:i/>
        </w:rPr>
        <w:t xml:space="preserve">subscription limit</w:t>
      </w:r>
      <w:r>
        <w:t xml:space="preserve"> </w:t>
      </w:r>
      <w:r>
        <w:t xml:space="preserve">allows a deployment. Capacity management</w:t>
      </w:r>
      <w:r>
        <w:t xml:space="preserve"> </w:t>
      </w:r>
      <w:r>
        <w:t xml:space="preserve">(Domain 3) answers whether</w:t>
      </w:r>
      <w:r>
        <w:t xml:space="preserve"> </w:t>
      </w:r>
      <w:r>
        <w:rPr>
          <w:iCs/>
          <w:i/>
        </w:rPr>
        <w:t xml:space="preserve">Azure has actually set aside physical hardware</w:t>
      </w:r>
      <w:r>
        <w:t xml:space="preserve"> </w:t>
      </w:r>
      <w:r>
        <w:t xml:space="preserve">for those VMs.</w:t>
      </w:r>
    </w:p>
    <w:p>
      <w:pPr>
        <w:pStyle w:val="BodyText"/>
      </w:pPr>
      <w:r>
        <w:t xml:space="preserve">This is managed through</w:t>
      </w:r>
      <w:r>
        <w:t xml:space="preserve"> </w:t>
      </w:r>
      <w:r>
        <w:rPr>
          <w:bCs/>
          <w:b/>
        </w:rPr>
        <w:t xml:space="preserve">Capacity Reservation Groups (CRGs)</w:t>
      </w:r>
      <w:r>
        <w:t xml:space="preserve">. A CRG tells Azure:</w:t>
      </w:r>
      <w:r>
        <w:t xml:space="preserve"> </w:t>
      </w:r>
      <w:r>
        <w:t xml:space="preserve">“</w:t>
      </w:r>
      <w:r>
        <w:t xml:space="preserve">I want you to</w:t>
      </w:r>
      <w:r>
        <w:t xml:space="preserve"> </w:t>
      </w:r>
      <w:r>
        <w:t xml:space="preserve">guarantee that a certain number of VMs of this SKU in this region/zone will always be available to</w:t>
      </w:r>
      <w:r>
        <w:t xml:space="preserve"> </w:t>
      </w:r>
      <w:r>
        <w:t xml:space="preserve">me.</w:t>
      </w:r>
      <w:r>
        <w:t xml:space="preserve">”</w:t>
      </w:r>
      <w:r>
        <w:t xml:space="preserve"> </w:t>
      </w:r>
      <w:r>
        <w:t xml:space="preserve">Azure marks that physical hardware as reserved; other customers cannot take it.</w:t>
      </w:r>
    </w:p>
    <w:p>
      <w:pPr>
        <w:pStyle w:val="BodyText"/>
      </w:pPr>
      <w:r>
        <w:t xml:space="preserve">ACRME’s capacity management job is to keep the CRG quantity correctly sized — not too high (wastes</w:t>
      </w:r>
      <w:r>
        <w:t xml:space="preserve"> </w:t>
      </w:r>
      <w:r>
        <w:t xml:space="preserve">money) and not too low (exposes customers to deployment failures).</w:t>
      </w:r>
    </w:p>
    <w:bookmarkEnd w:id="67"/>
    <w:bookmarkStart w:id="68" w:name="Xd8a6eaba8cf74e5480c26eb839155f91f833053"/>
    <w:p>
      <w:pPr>
        <w:pStyle w:val="Heading3"/>
      </w:pPr>
      <w:r>
        <w:t xml:space="preserve">5.2 The Reconciliation Floor — The Minimum the CRG Must Reserve</w:t>
      </w:r>
    </w:p>
    <w:p>
      <w:pPr>
        <w:pStyle w:val="FirstParagraph"/>
      </w:pPr>
      <w:r>
        <w:t xml:space="preserve">The most fundamental formula is: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rPr>
          <w:bCs/>
          <w:b/>
        </w:rPr>
        <w:t xml:space="preserve">Allocated VM Count</w:t>
      </w:r>
      <w:r>
        <w:t xml:space="preserve"> </w:t>
      </w:r>
      <w:r>
        <w:t xml:space="preserve">is the number of VMs currently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state consuming</w:t>
      </w:r>
      <w:r>
        <w:t xml:space="preserve"> </w:t>
      </w:r>
      <w:r>
        <w:t xml:space="preserve">compute in this region/CRG.</w:t>
      </w:r>
    </w:p>
    <w:p>
      <w:pPr>
        <w:pStyle w:val="BodyText"/>
      </w:pPr>
      <w:r>
        <w:rPr>
          <w:bCs/>
          <w:b/>
        </w:rPr>
        <w:t xml:space="preserve">Configured Buffer</w:t>
      </w:r>
      <w:r>
        <w:t xml:space="preserve"> </w:t>
      </w:r>
      <w:r>
        <w:t xml:space="preserve">is the policy-defined headroom above current demand. It is tunable per</w:t>
      </w:r>
      <w:r>
        <w:t xml:space="preserve"> </w:t>
      </w:r>
      <w:r>
        <w:t xml:space="preserve">product/region/environment/SKU — there is no single hard-coded number.</w:t>
      </w:r>
    </w:p>
    <w:p>
      <w:pPr>
        <w:pStyle w:val="BodyText"/>
      </w:pPr>
      <w:r>
        <w:rPr>
          <w:bCs/>
          <w:b/>
        </w:rPr>
        <w:t xml:space="preserve">What this means in plain English:</w:t>
      </w:r>
      <w:r>
        <w:t xml:space="preserve"> </w:t>
      </w:r>
      <w:r>
        <w:t xml:space="preserve">at minimum, the CRG must reserve enough physical capacity to</w:t>
      </w:r>
      <w:r>
        <w:t xml:space="preserve"> </w:t>
      </w:r>
      <w:r>
        <w:t xml:space="preserve">cover every running VM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 buffer for expected near-term growth. The buffer is there because</w:t>
      </w:r>
      <w:r>
        <w:t xml:space="preserve"> </w:t>
      </w:r>
      <w:r>
        <w:t xml:space="preserve">acquiring new reservation capacity takes time — ACRME stays ahead of demand.</w:t>
      </w:r>
    </w:p>
    <w:p>
      <w:pPr>
        <w:pStyle w:val="BodyText"/>
      </w:pPr>
      <w:r>
        <w:rPr>
          <w:bCs/>
          <w:b/>
        </w:rPr>
        <w:t xml:space="preserve">Important clarification — deallocated VMs (CAP-004):</w:t>
      </w:r>
      <w:r>
        <w:t xml:space="preserve"> </w:t>
      </w:r>
      <w:r>
        <w:t xml:space="preserve">VMs that are associated with a CRG but</w:t>
      </w:r>
      <w:r>
        <w:t xml:space="preserve"> </w:t>
      </w:r>
      <w:r>
        <w:t xml:space="preserve">currently deallocated (stopped/not running)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raise the capacity target. Target stays</w:t>
      </w:r>
      <w:r>
        <w:t xml:space="preserve"> </w:t>
      </w:r>
      <w:r>
        <w:t xml:space="preserve">Allocated + Buffer. They are reported separately so teams understand restart risk.</w:t>
      </w:r>
    </w:p>
    <w:p>
      <w:pPr>
        <w:pStyle w:val="BodyText"/>
      </w:pPr>
      <w:r>
        <w:t xml:space="preserve">They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still consume the quota charged to the reservation. Azure counts them in</w:t>
      </w:r>
      <w:r>
        <w:t xml:space="preserve"> </w:t>
      </w:r>
      <w:r>
        <w:rPr>
          <w:rStyle w:val="VerbatimChar"/>
        </w:rPr>
        <w:t xml:space="preserve">virtualMachinesAssociated</w:t>
      </w:r>
      <w:r>
        <w:t xml:space="preserve"> </w:t>
      </w:r>
      <w:r>
        <w:t xml:space="preserve">until they are dissociated. Reconciliation does not treat that quota as</w:t>
      </w:r>
      <w:r>
        <w:t xml:space="preserve"> </w:t>
      </w:r>
      <w:r>
        <w:t xml:space="preserve">free, and it does not shrink the reserved quantity below the associated count while they remain</w:t>
      </w:r>
      <w:r>
        <w:t xml:space="preserve"> </w:t>
      </w:r>
      <w:r>
        <w:t xml:space="preserve">associated.</w:t>
      </w:r>
    </w:p>
    <w:bookmarkEnd w:id="68"/>
    <w:bookmarkStart w:id="69" w:name="reservation-headroom-and-deficit"/>
    <w:p>
      <w:pPr>
        <w:pStyle w:val="Heading3"/>
      </w:pPr>
      <w:r>
        <w:t xml:space="preserve">5.3 Reservation Headroom and Deficit</w:t>
      </w:r>
    </w:p>
    <w:p>
      <w:pPr>
        <w:pStyle w:val="SourceCode"/>
      </w:pPr>
      <w:r>
        <w:rPr>
          <w:rStyle w:val="VerbatimChar"/>
        </w:rPr>
        <w:t xml:space="preserve">Reservation Headroom = Reserved Quantity − Allocated VM Count</w:t>
      </w:r>
      <w:r>
        <w:br/>
      </w:r>
      <w:r>
        <w:rPr>
          <w:rStyle w:val="VerbatimChar"/>
        </w:rPr>
        <w:t xml:space="preserve">Reservation Deficit  = max(0, Target Reserved Capacity − Reserved Quantity)</w:t>
      </w:r>
    </w:p>
    <w:p>
      <w:pPr>
        <w:pStyle w:val="FirstParagraph"/>
      </w:pPr>
      <w:r>
        <w:rPr>
          <w:bCs/>
          <w:b/>
        </w:rPr>
        <w:t xml:space="preserve">Headroom</w:t>
      </w:r>
      <w:r>
        <w:t xml:space="preserve"> </w:t>
      </w:r>
      <w:r>
        <w:t xml:space="preserve">tells the operator how much spare capacity is immediately available inside the existing</w:t>
      </w:r>
      <w:r>
        <w:t xml:space="preserve"> </w:t>
      </w:r>
      <w:r>
        <w:t xml:space="preserve">reservation.</w:t>
      </w:r>
      <w:r>
        <w:t xml:space="preserve"> </w:t>
      </w:r>
      <w:r>
        <w:rPr>
          <w:bCs/>
          <w:b/>
        </w:rPr>
        <w:t xml:space="preserve">Deficit</w:t>
      </w:r>
      <w:r>
        <w:t xml:space="preserve"> </w:t>
      </w:r>
      <w:r>
        <w:t xml:space="preserve">tells the operator how far short the reservation is of the minimum target.</w:t>
      </w:r>
      <w:r>
        <w:t xml:space="preserve"> </w:t>
      </w:r>
      <w:r>
        <w:t xml:space="preserve">A deficit of zero means the CRG is at or above the floor. A positive deficit means the CRG is</w:t>
      </w:r>
      <w:r>
        <w:t xml:space="preserve"> </w:t>
      </w:r>
      <w:r>
        <w:t xml:space="preserve">undersized and needs to grow.</w:t>
      </w:r>
    </w:p>
    <w:bookmarkEnd w:id="69"/>
    <w:bookmarkStart w:id="72" w:name="Xa42339aa577234b8b4260da5547b8e077a60aed"/>
    <w:p>
      <w:pPr>
        <w:pStyle w:val="Heading3"/>
      </w:pPr>
      <w:r>
        <w:t xml:space="preserve">5.4 Auto-Increase Thresholds — Configurable Trigger Points</w:t>
      </w:r>
    </w:p>
    <w:p>
      <w:pPr>
        <w:pStyle w:val="FirstParagraph"/>
      </w:pPr>
      <w:r>
        <w:t xml:space="preserve">Before explaining when ACRME raises capacity requests, it’s important to understand that the trigger</w:t>
      </w:r>
      <w:r>
        <w:t xml:space="preserve"> </w:t>
      </w:r>
      <w:r>
        <w:t xml:space="preserve">points are</w:t>
      </w:r>
      <w:r>
        <w:t xml:space="preserve"> </w:t>
      </w:r>
      <w:r>
        <w:rPr>
          <w:bCs/>
          <w:b/>
        </w:rPr>
        <w:t xml:space="preserve">configurable policy values</w:t>
      </w:r>
      <w:r>
        <w:t xml:space="preserve">, not hardcoded constants.</w:t>
      </w:r>
    </w:p>
    <w:bookmarkStart w:id="70" w:name="X9913b7e94affeedf02a308aa26e761d807dc10b"/>
    <w:p>
      <w:pPr>
        <w:pStyle w:val="Heading4"/>
      </w:pPr>
      <w:r>
        <w:t xml:space="preserve">5.4.1 The Three Auto-Increase Threshold Parameters</w:t>
      </w:r>
    </w:p>
    <w:p>
      <w:pPr>
        <w:pStyle w:val="FirstParagraph"/>
      </w:pPr>
      <w:r>
        <w:t xml:space="preserve">ACRME uses three configurable thresholds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headroom % — triggers when Prod capacity has only 20% free slots left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headroom % — triggers when NonProd capacity has only 20% free slots left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0.35</w:t>
            </w:r>
            <w:r>
              <w:t xml:space="preserve"> </w:t>
            </w:r>
            <w:r>
              <w:t xml:space="preserve">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headroom % — triggers when DR capacity has only 35% free slots left (65% utilized)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point:</w:t>
      </w:r>
      <w:r>
        <w:t xml:space="preserve"> </w:t>
      </w:r>
      <w:r>
        <w:t xml:space="preserve">These represent</w:t>
      </w:r>
      <w:r>
        <w:t xml:space="preserve"> </w:t>
      </w:r>
      <w:r>
        <w:rPr>
          <w:bCs/>
          <w:b/>
        </w:rPr>
        <w:t xml:space="preserve">remaining headroom</w:t>
      </w:r>
      <w:r>
        <w:t xml:space="preserve">, not consumption. A threshold of 0.20 means</w:t>
      </w:r>
      <w:r>
        <w:t xml:space="preserve"> </w:t>
      </w:r>
      <w:r>
        <w:t xml:space="preserve">“</w:t>
      </w:r>
      <w:r>
        <w:t xml:space="preserve">trigger when only 20% headroom remains,</w:t>
      </w:r>
      <w:r>
        <w:t xml:space="preserve">”</w:t>
      </w:r>
      <w:r>
        <w:t xml:space="preserve"> </w:t>
      </w:r>
      <w:r>
        <w:t xml:space="preserve">which is the same as</w:t>
      </w:r>
      <w:r>
        <w:t xml:space="preserve"> </w:t>
      </w:r>
      <w:r>
        <w:t xml:space="preserve">“</w:t>
      </w:r>
      <w:r>
        <w:t xml:space="preserve">trigger when 80% is consumed.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they’re configurable: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Workload-specific risk tolerance</w:t>
      </w:r>
      <w:r>
        <w:t xml:space="preserve"> </w:t>
      </w:r>
      <w:r>
        <w:t xml:space="preserve">— high-growth products may want a 0.30 threshold for earlier warning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 vs risk trade-off</w:t>
      </w:r>
      <w:r>
        <w:t xml:space="preserve"> </w:t>
      </w:r>
      <w:r>
        <w:t xml:space="preserve">— lower thresholds (e.g., 0.10) run fuller but increase capacity exhaustion risk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Per-environment tuning</w:t>
      </w:r>
      <w:r>
        <w:t xml:space="preserve"> </w:t>
      </w:r>
      <w:r>
        <w:t xml:space="preserve">— DR can tolerate tighter thresholds because it’s a bootstrap model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Regional variation</w:t>
      </w:r>
      <w:r>
        <w:t xml:space="preserve"> </w:t>
      </w:r>
      <w:r>
        <w:t xml:space="preserve">— regions with slow Azure provisioning times may warrant higher thresholds</w:t>
      </w:r>
    </w:p>
    <w:p>
      <w:pPr>
        <w:pStyle w:val="BodyText"/>
      </w:pPr>
      <w:r>
        <w:rPr>
          <w:bCs/>
          <w:b/>
        </w:rPr>
        <w:t xml:space="preserve">Configurability scope:</w:t>
      </w:r>
      <w:r>
        <w:t xml:space="preserve"> </w:t>
      </w:r>
      <w:r>
        <w:t xml:space="preserve">Like all PlacementPolicy parameters, these can be overridden per</w:t>
      </w:r>
      <w:r>
        <w:t xml:space="preserve"> </w:t>
      </w:r>
      <w:r>
        <w:t xml:space="preserve">product/region/environment/SKU without code changes.</w:t>
      </w:r>
    </w:p>
    <w:bookmarkEnd w:id="70"/>
    <w:bookmarkStart w:id="71" w:name="Xcac919ca78427e9a92e4e87b803e42acb82bc09"/>
    <w:p>
      <w:pPr>
        <w:pStyle w:val="Heading4"/>
      </w:pPr>
      <w:r>
        <w:t xml:space="preserve">5.4.2 How Auto-Increase Thresholds Relate to Reconciliation Logic</w:t>
      </w:r>
    </w:p>
    <w:p>
      <w:pPr>
        <w:pStyle w:val="FirstParagraph"/>
      </w:pPr>
      <w:r>
        <w:t xml:space="preserve">The capacity reconciliation engine operates on a</w:t>
      </w:r>
      <w:r>
        <w:t xml:space="preserve"> </w:t>
      </w:r>
      <w:r>
        <w:rPr>
          <w:bCs/>
          <w:b/>
        </w:rPr>
        <w:t xml:space="preserve">continuous watch loop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Every reconciliation_interval_seconds (configurable):</w:t>
      </w:r>
      <w:r>
        <w:br/>
      </w:r>
      <w:r>
        <w:rPr>
          <w:rStyle w:val="VerbatimChar"/>
        </w:rPr>
        <w:t xml:space="preserve">  1. Read current state (allocated VMs, reserved capacity)</w:t>
      </w:r>
      <w:r>
        <w:br/>
      </w:r>
      <w:r>
        <w:rPr>
          <w:rStyle w:val="VerbatimChar"/>
        </w:rPr>
        <w:t xml:space="preserve">  2. Calculate headroom: free_slots = reserved - allocated</w:t>
      </w:r>
      <w:r>
        <w:br/>
      </w:r>
      <w:r>
        <w:rPr>
          <w:rStyle w:val="VerbatimChar"/>
        </w:rPr>
        <w:t xml:space="preserve">  3. Calculate headroom ratio: headroom_ratio = free_slots / reserved</w:t>
      </w:r>
      <w:r>
        <w:br/>
      </w:r>
      <w:r>
        <w:rPr>
          <w:rStyle w:val="VerbatimChar"/>
        </w:rPr>
        <w:t xml:space="preserve">  4. Check threshold: if headroom_ratio &lt; threshold, trigger auto-increase</w:t>
      </w:r>
      <w:r>
        <w:br/>
      </w:r>
      <w:r>
        <w:rPr>
          <w:rStyle w:val="VerbatimChar"/>
        </w:rPr>
        <w:t xml:space="preserve">  5. Apply debounce: if triggered, wait 30 min cooldown before next trigger</w:t>
      </w:r>
    </w:p>
    <w:p>
      <w:pPr>
        <w:pStyle w:val="FirstParagraph"/>
      </w:pPr>
      <w:r>
        <w:rPr>
          <w:bCs/>
          <w:b/>
        </w:rPr>
        <w:t xml:space="preserve">Example: Prod CRG with 100 reserved slots</w:t>
      </w:r>
    </w:p>
    <w:p>
      <w:pPr>
        <w:pStyle w:val="SourceCode"/>
      </w:pPr>
      <w:r>
        <w:rPr>
          <w:rStyle w:val="VerbatimChar"/>
        </w:rPr>
        <w:t xml:space="preserve">Allocated VMs: 78</w:t>
      </w:r>
      <w:r>
        <w:br/>
      </w:r>
      <w:r>
        <w:rPr>
          <w:rStyle w:val="VerbatimChar"/>
        </w:rPr>
        <w:t xml:space="preserve">Free slots: 100 - 78 = 22</w:t>
      </w:r>
      <w:r>
        <w:br/>
      </w:r>
      <w:r>
        <w:rPr>
          <w:rStyle w:val="VerbatimChar"/>
        </w:rPr>
        <w:t xml:space="preserve">Headroom ratio: 22 / 100 = 0.22 (22%)</w:t>
      </w:r>
      <w:r>
        <w:br/>
      </w:r>
      <w:r>
        <w:br/>
      </w:r>
      <w:r>
        <w:rPr>
          <w:rStyle w:val="VerbatimChar"/>
        </w:rPr>
        <w:t xml:space="preserve">Threshold check:</w:t>
      </w:r>
      <w:r>
        <w:br/>
      </w:r>
      <w:r>
        <w:rPr>
          <w:rStyle w:val="VerbatimChar"/>
        </w:rPr>
        <w:t xml:space="preserve">  prod_autoincrease_threshold = 0.20</w:t>
      </w:r>
      <w:r>
        <w:br/>
      </w:r>
      <w:r>
        <w:rPr>
          <w:rStyle w:val="VerbatimChar"/>
        </w:rPr>
        <w:t xml:space="preserve">  0.22 &gt; 0.20 → No trigger (still 2% above threshold)</w:t>
      </w:r>
      <w:r>
        <w:br/>
      </w:r>
      <w:r>
        <w:br/>
      </w:r>
      <w:r>
        <w:rPr>
          <w:rStyle w:val="VerbatimChar"/>
        </w:rPr>
        <w:t xml:space="preserve">Next cycle, allocated grows to 82:</w:t>
      </w:r>
      <w:r>
        <w:br/>
      </w:r>
      <w:r>
        <w:rPr>
          <w:rStyle w:val="VerbatimChar"/>
        </w:rPr>
        <w:t xml:space="preserve">  Free slots: 100 - 82 = 18</w:t>
      </w:r>
      <w:r>
        <w:br/>
      </w:r>
      <w:r>
        <w:rPr>
          <w:rStyle w:val="VerbatimChar"/>
        </w:rPr>
        <w:t xml:space="preserve">  Headroom ratio: 18 / 100 = 0.18 (18%)</w:t>
      </w:r>
      <w:r>
        <w:br/>
      </w:r>
      <w:r>
        <w:rPr>
          <w:rStyle w:val="VerbatimChar"/>
        </w:rPr>
        <w:t xml:space="preserve">  0.18 &lt; 0.20 → TRIGGER auto-increase request</w:t>
      </w:r>
      <w:r>
        <w:br/>
      </w:r>
      <w:r>
        <w:br/>
      </w:r>
      <w:r>
        <w:rPr>
          <w:rStyle w:val="VerbatimChar"/>
        </w:rPr>
        <w:t xml:space="preserve">Debounce: Next trigger for this (region + Prod CRG) cannot fire for 30 min</w:t>
      </w:r>
    </w:p>
    <w:p>
      <w:pPr>
        <w:pStyle w:val="FirstParagraph"/>
      </w:pPr>
      <w:r>
        <w:rPr>
          <w:bCs/>
          <w:b/>
        </w:rPr>
        <w:t xml:space="preserve">Interaction with the reconciliation floor (Section 5.2):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reconciliation floor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Allocated + Buffer</w:t>
      </w:r>
      <w:r>
        <w:t xml:space="preserve">) is the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the CRG must always reserve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auto-increase threshold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early warning</w:t>
      </w:r>
      <w:r>
        <w:t xml:space="preserve"> </w:t>
      </w:r>
      <w:r>
        <w:t xml:space="preserve">that triggers proactive expansion</w:t>
      </w:r>
      <w:r>
        <w:t xml:space="preserve"> </w:t>
      </w:r>
      <w:r>
        <w:t xml:space="preserve">- Both work together: the floor prevents deficits, the threshold prevents getting close to deficits</w:t>
      </w:r>
    </w:p>
    <w:p>
      <w:pPr>
        <w:pStyle w:val="BodyText"/>
      </w:pPr>
      <w:r>
        <w:rPr>
          <w:bCs/>
          <w:b/>
        </w:rPr>
        <w:t xml:space="preserve">Why DR has a higher threshold (0.35 vs 0.20):</w:t>
      </w:r>
    </w:p>
    <w:p>
      <w:pPr>
        <w:pStyle w:val="BodyText"/>
      </w:pPr>
      <w:r>
        <w:t xml:space="preserve">DR reservations are intentionally sized lean under the minimal-bootstrap model (ENV-005). A higher</w:t>
      </w:r>
      <w:r>
        <w:t xml:space="preserve"> </w:t>
      </w:r>
      <w:r>
        <w:t xml:space="preserve">threshold (35% remaining = 65% utilized) allows DR to run fuller before triggering an increase. This</w:t>
      </w:r>
      <w:r>
        <w:t xml:space="preserve"> </w:t>
      </w:r>
      <w:r>
        <w:t xml:space="preserve">trades slightly higher risk for lower steady-state cost, which is acceptable because:</w:t>
      </w:r>
      <w:r>
        <w:t xml:space="preserve"> </w:t>
      </w:r>
      <w:r>
        <w:t xml:space="preserve">- DR capacity is</w:t>
      </w:r>
      <w:r>
        <w:t xml:space="preserve"> </w:t>
      </w:r>
      <w:r>
        <w:rPr>
          <w:bCs/>
          <w:b/>
        </w:rPr>
        <w:t xml:space="preserve">standby/inactive</w:t>
      </w:r>
      <w:r>
        <w:t xml:space="preserve"> </w:t>
      </w:r>
      <w:r>
        <w:t xml:space="preserve">until a declared event</w:t>
      </w:r>
      <w:r>
        <w:t xml:space="preserve"> </w:t>
      </w:r>
      <w:r>
        <w:t xml:space="preserve">- During a DR event, staged acquisition (DR-006) allocates available capacity + CVAL sacrifice + pooled quota</w:t>
      </w:r>
      <w:r>
        <w:t xml:space="preserve"> </w:t>
      </w:r>
      <w:r>
        <w:t xml:space="preserve">- The 35% headroom is sufficient for control-plane bootstrap and initial recovery orchestration</w:t>
      </w:r>
    </w:p>
    <w:p>
      <w:pPr>
        <w:pStyle w:val="BodyText"/>
      </w:pPr>
      <w:r>
        <w:rPr>
          <w:bCs/>
          <w:b/>
        </w:rPr>
        <w:t xml:space="preserve">Tuning guidance: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Increase threshold (e.g., 0.20 → 0.30)</w:t>
      </w:r>
      <w:r>
        <w:t xml:space="preserve"> </w:t>
      </w:r>
      <w:r>
        <w:t xml:space="preserve">if you want</w:t>
      </w:r>
      <w:r>
        <w:t xml:space="preserve"> </w:t>
      </w:r>
      <w:r>
        <w:rPr>
          <w:bCs/>
          <w:b/>
        </w:rPr>
        <w:t xml:space="preserve">earlier warnings</w:t>
      </w:r>
      <w:r>
        <w:t xml:space="preserve"> </w:t>
      </w:r>
      <w:r>
        <w:t xml:space="preserve">and more safety margin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Decrease threshold (e.g., 0.20 → 0.15)</w:t>
      </w:r>
      <w:r>
        <w:t xml:space="preserve"> </w:t>
      </w:r>
      <w:r>
        <w:t xml:space="preserve">if you want to</w:t>
      </w:r>
      <w:r>
        <w:t xml:space="preserve"> </w:t>
      </w:r>
      <w:r>
        <w:rPr>
          <w:bCs/>
          <w:b/>
        </w:rPr>
        <w:t xml:space="preserve">run fuller</w:t>
      </w:r>
      <w:r>
        <w:t xml:space="preserve"> </w:t>
      </w:r>
      <w:r>
        <w:t xml:space="preserve">and tolerate tighter headroom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</w:t>
      </w:r>
      <w:r>
        <w:t xml:space="preserve"> </w:t>
      </w:r>
      <w:r>
        <w:t xml:space="preserve">the frequency of auto-increase triggers — too frequent = threshold too low; never triggering = threshold too high</w:t>
      </w:r>
    </w:p>
    <w:p>
      <w:pPr>
        <w:pStyle w:val="BodyText"/>
      </w:pPr>
      <w:r>
        <w:t xml:space="preserve">See Section 8 for the complete Configurable Parameters Reference.</w:t>
      </w:r>
    </w:p>
    <w:bookmarkEnd w:id="71"/>
    <w:bookmarkEnd w:id="72"/>
    <w:bookmarkStart w:id="73" w:name="X69a3aabd2c0ff0fdc4760b0e75d826549b1b16a"/>
    <w:p>
      <w:pPr>
        <w:pStyle w:val="Heading3"/>
      </w:pPr>
      <w:r>
        <w:t xml:space="preserve">5.5 The Auto-Increase Trigger — When ACRME Raises a Capacity Request</w:t>
      </w:r>
    </w:p>
    <w:p>
      <w:pPr>
        <w:pStyle w:val="FirstParagraph"/>
      </w:pPr>
      <w:r>
        <w:t xml:space="preserve">ACRME does not wait for a deficit to appear before acting. It watches utilisation in real time and</w:t>
      </w:r>
      <w:r>
        <w:t xml:space="preserve"> </w:t>
      </w:r>
      <w:r>
        <w:t xml:space="preserve">triggers a capacity increase request when utilisation hits the configured thresholds (Section 5.4.1):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only 20% of reserved Prod capacity is free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only 20% of reserved NonProd capacity is free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only 35% of reserved DR capacity is free (65% utilized)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Debounce cooldown:</w:t>
      </w:r>
      <w:r>
        <w:t xml:space="preserve"> </w:t>
      </w:r>
      <w:r>
        <w:t xml:space="preserve">after any trigger fires, the engine waits 30 minutes before it can fire again</w:t>
      </w:r>
      <w:r>
        <w:t xml:space="preserve"> </w:t>
      </w:r>
      <w:r>
        <w:t xml:space="preserve">for the same region + CRG type. This prevents repeated requests from a transient spike.</w:t>
      </w:r>
    </w:p>
    <w:p>
      <w:pPr>
        <w:pStyle w:val="BodyText"/>
      </w:pPr>
      <w:r>
        <w:rPr>
          <w:bCs/>
          <w:b/>
        </w:rPr>
        <w:t xml:space="preserve">Why the DR threshold is higher (35% vs 20%):</w:t>
      </w:r>
      <w:r>
        <w:t xml:space="preserve"> </w:t>
      </w:r>
      <w:r>
        <w:t xml:space="preserve">DR reservations are intentionally sized lean — the</w:t>
      </w:r>
      <w:r>
        <w:t xml:space="preserve"> </w:t>
      </w:r>
      <w:r>
        <w:t xml:space="preserve">min-bootstrap model means DR starts small and scales on demand. A higher threshold accepts more risk</w:t>
      </w:r>
      <w:r>
        <w:t xml:space="preserve"> </w:t>
      </w:r>
      <w:r>
        <w:t xml:space="preserve">in exchange for lower cost during steady state.</w:t>
      </w:r>
    </w:p>
    <w:bookmarkEnd w:id="73"/>
    <w:bookmarkStart w:id="74" w:name="the-forecast-formula-proactive-growth"/>
    <w:p>
      <w:pPr>
        <w:pStyle w:val="Heading3"/>
      </w:pPr>
      <w:r>
        <w:t xml:space="preserve">5.6 The Forecast Formula — Proactive Growth</w:t>
      </w:r>
    </w:p>
    <w:p>
      <w:pPr>
        <w:pStyle w:val="FirstParagraph"/>
      </w:pPr>
      <w:r>
        <w:t xml:space="preserve">Alongside the continuous reconciliation floor, ACRME uses an advisory forecast for longer-horizon</w:t>
      </w:r>
      <w:r>
        <w:t xml:space="preserve"> </w:t>
      </w:r>
      <w:r>
        <w:t xml:space="preserve">sizing:</w:t>
      </w:r>
    </w:p>
    <w:p>
      <w:pPr>
        <w:pStyle w:val="SourceCode"/>
      </w:pPr>
      <w:r>
        <w:rPr>
          <w:rStyle w:val="VerbatimChar"/>
        </w:rPr>
        <w:t xml:space="preserve">Forecast_Quantity = ceil( Forecast_Peak × (1 + Growth_Buffer) + DR_Buffer 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Forecast_Peak</w:t>
      </w:r>
      <w:r>
        <w:t xml:space="preserve"> </w:t>
      </w:r>
      <w:r>
        <w:t xml:space="preserve">is the predicted peak VM demand over the chosen horizon (30, 60, or 90 days).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Growth_Buffer</w:t>
      </w:r>
      <w:r>
        <w:t xml:space="preserve"> </w:t>
      </w:r>
      <w:r>
        <w:t xml:space="preserve">is a policy percentage for forecast uncertainty.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DR_Buffer</w:t>
      </w:r>
      <w:r>
        <w:t xml:space="preserve"> </w:t>
      </w:r>
      <w:r>
        <w:t xml:space="preserve">is the extra units required by DR recovery policy.</w:t>
      </w:r>
    </w:p>
    <w:p>
      <w:pPr>
        <w:pStyle w:val="FirstParagraph"/>
      </w:pPr>
      <w:r>
        <w:t xml:space="preserve">This is advisory — recommendations from the forecast are reviewed before acting. The horizon and</w:t>
      </w:r>
      <w:r>
        <w:t xml:space="preserve"> </w:t>
      </w:r>
      <w:r>
        <w:t xml:space="preserve">buffer values are stored in PlacementPolicy, not hard-coded.</w:t>
      </w:r>
    </w:p>
    <w:p>
      <w:pPr>
        <w:pStyle w:val="BodyText"/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is projected to reach 80% of the quota limit within 14</w:t>
      </w:r>
      <w:r>
        <w:t xml:space="preserve"> </w:t>
      </w:r>
      <w:r>
        <w:t xml:space="preserve">days, the engine emits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. This gives the platform team 14 days to</w:t>
      </w:r>
      <w:r>
        <w:t xml:space="preserve"> </w:t>
      </w:r>
      <w:r>
        <w:t xml:space="preserve">request a quota increase from Microsoft before the deployment pipeline hits a wall.</w:t>
      </w:r>
    </w:p>
    <w:bookmarkEnd w:id="74"/>
    <w:bookmarkStart w:id="75" w:name="dr-sizing-why-max-not-sum-scenario-17"/>
    <w:p>
      <w:pPr>
        <w:pStyle w:val="Heading3"/>
      </w:pPr>
      <w:r>
        <w:t xml:space="preserve">5.7 DR Sizing — Why Max, Not Sum (Scenario 17)</w:t>
      </w:r>
    </w:p>
    <w:p>
      <w:pPr>
        <w:pStyle w:val="FirstParagraph"/>
      </w:pPr>
      <w:r>
        <w:t xml:space="preserve">This is the biggest cost-driver decision in ACRME. Before v2.1, DR standby was sized as a</w:t>
      </w:r>
      <w:r>
        <w:t xml:space="preserve"> </w:t>
      </w:r>
      <w:r>
        <w:rPr>
          <w:bCs/>
          <w:b/>
        </w:rPr>
        <w:t xml:space="preserve">percentage of production capacity</w:t>
      </w:r>
      <w:r>
        <w:t xml:space="preserve"> </w:t>
      </w:r>
      <w:r>
        <w:t xml:space="preserve">(30–40%). This was found to over-provision by $1.5M–$5M/year</w:t>
      </w:r>
      <w:r>
        <w:t xml:space="preserve"> </w:t>
      </w:r>
      <w:r>
        <w:t xml:space="preserve">at platform scale.</w:t>
      </w:r>
    </w:p>
    <w:p>
      <w:pPr>
        <w:pStyle w:val="BodyText"/>
      </w:pPr>
      <w:r>
        <w:t xml:space="preserve">The replacement formula is:</w:t>
      </w:r>
    </w:p>
    <w:p>
      <w:pPr>
        <w:pStyle w:val="SourceCode"/>
      </w:pPr>
      <w:r>
        <w:rPr>
          <w:rStyle w:val="VerbatimChar"/>
        </w:rPr>
        <w:t xml:space="preserve">Destination_DR_Requirement(destination_region) =</w:t>
      </w:r>
      <w:r>
        <w:br/>
      </w:r>
      <w:r>
        <w:rPr>
          <w:rStyle w:val="VerbatimChar"/>
        </w:rPr>
        <w:t xml:space="preserve">    MAX over all source regions that send DR customers to this destination (</w:t>
      </w:r>
      <w:r>
        <w:br/>
      </w:r>
      <w:r>
        <w:rPr>
          <w:rStyle w:val="VerbatimChar"/>
        </w:rPr>
        <w:t xml:space="preserve">        the quantity of VMs/vCPUs from that source that must failover here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Why MAX and not SUM?</w:t>
      </w:r>
      <w:r>
        <w:t xml:space="preserve"> </w:t>
      </w:r>
      <w:r>
        <w:t xml:space="preserve">The design assumes</w:t>
      </w:r>
      <w:r>
        <w:t xml:space="preserve"> </w:t>
      </w:r>
      <w:r>
        <w:rPr>
          <w:bCs/>
          <w:b/>
        </w:rPr>
        <w:t xml:space="preserve">only one production region fails at a time</w:t>
      </w:r>
      <w:r>
        <w:t xml:space="preserve"> </w:t>
      </w:r>
      <w:r>
        <w:t xml:space="preserve">(the</w:t>
      </w:r>
      <w:r>
        <w:t xml:space="preserve"> </w:t>
      </w:r>
      <w:r>
        <w:t xml:space="preserve">single-failure assumption, DR-001). Because failures are mutually exclusive, the destination never</w:t>
      </w:r>
      <w:r>
        <w:t xml:space="preserve"> </w:t>
      </w:r>
      <w:r>
        <w:t xml:space="preserve">needs to host simultaneous failovers from multiple sources. It only ever absorbs the</w:t>
      </w:r>
      <w:r>
        <w:t xml:space="preserve"> </w:t>
      </w:r>
      <w:r>
        <w:rPr>
          <w:iCs/>
          <w:i/>
        </w:rPr>
        <w:t xml:space="preserve">largest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Cs/>
          <w:b/>
        </w:rPr>
        <w:t xml:space="preserve">Example from Requirements Appendix D:</w:t>
      </w:r>
    </w:p>
    <w:p>
      <w:pPr>
        <w:pStyle w:val="SourceCode"/>
      </w:pPr>
      <w:r>
        <w:rPr>
          <w:rStyle w:val="VerbatimChar"/>
        </w:rPr>
        <w:t xml:space="preserve">Sweden Central hosts DR standby for:</w:t>
      </w:r>
      <w:r>
        <w:br/>
      </w:r>
      <w:r>
        <w:rPr>
          <w:rStyle w:val="VerbatimChar"/>
        </w:rPr>
        <w:t xml:space="preserve">  → Switzerland North customers: 120 cores</w:t>
      </w:r>
      <w:r>
        <w:br/>
      </w:r>
      <w:r>
        <w:rPr>
          <w:rStyle w:val="VerbatimChar"/>
        </w:rPr>
        <w:t xml:space="preserve">  → (hypothetically) a third EU region: 80 cores</w:t>
      </w:r>
      <w:r>
        <w:br/>
      </w:r>
      <w:r>
        <w:br/>
      </w:r>
      <w:r>
        <w:rPr>
          <w:rStyle w:val="VerbatimChar"/>
        </w:rPr>
        <w:t xml:space="preserve">SUM sizing (old): 120 + 80 = 200 cores required</w:t>
      </w:r>
      <w:r>
        <w:br/>
      </w:r>
      <w:r>
        <w:rPr>
          <w:rStyle w:val="VerbatimChar"/>
        </w:rPr>
        <w:t xml:space="preserve">MAX sizing (new): max(120, 80) = 120 cores required</w:t>
      </w:r>
      <w:r>
        <w:br/>
      </w:r>
      <w:r>
        <w:rPr>
          <w:rStyle w:val="VerbatimChar"/>
        </w:rPr>
        <w:t xml:space="preserve">Saving: 80 cores (40%) removed with no loss of protection</w:t>
      </w:r>
    </w:p>
    <w:p>
      <w:pPr>
        <w:pStyle w:val="FirstParagraph"/>
      </w:pPr>
      <w:r>
        <w:t xml:space="preserve">If the single-failure assumption is ever violated (two regions fail simultaneously), the standby is</w:t>
      </w:r>
      <w:r>
        <w:t xml:space="preserve"> </w:t>
      </w:r>
      <w:r>
        <w:t xml:space="preserve">overcommitted. The Overcommit_Ratio quantifies this exposure and is required input for the POC-011</w:t>
      </w:r>
      <w:r>
        <w:t xml:space="preserve"> </w:t>
      </w:r>
      <w:r>
        <w:t xml:space="preserve">risk sign-off that gates production reliance on max-not-sum.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SUM override (C-11)</w:t>
      </w:r>
      <w:r>
        <w:t xml:space="preserve"> </w:t>
      </w:r>
      <w:r>
        <w:t xml:space="preserve">is available per-scope in PlacementPolicy for customers or geographies</w:t>
      </w:r>
      <w:r>
        <w:t xml:space="preserve"> </w:t>
      </w:r>
      <w:r>
        <w:t xml:space="preserve">that contractually require protection against concurrent regional failures.</w:t>
      </w:r>
    </w:p>
    <w:bookmarkEnd w:id="75"/>
    <w:bookmarkStart w:id="76" w:name="Xb58b311a3f565675b10537ca4ba80a866e4b7c9"/>
    <w:p>
      <w:pPr>
        <w:pStyle w:val="Heading3"/>
      </w:pPr>
      <w:r>
        <w:t xml:space="preserve">5.8 Happy Path — Steady-State Capacity Management</w:t>
      </w:r>
    </w:p>
    <w:p>
      <w:pPr>
        <w:pStyle w:val="FirstParagraph"/>
      </w:pPr>
      <w:r>
        <w:t xml:space="preserve">All conditions normal for West US 3, Prod CRG, E16ads_v5:</w:t>
      </w:r>
    </w:p>
    <w:p>
      <w:pPr>
        <w:pStyle w:val="SourceCode"/>
      </w:pPr>
      <w:r>
        <w:rPr>
          <w:rStyle w:val="VerbatimChar"/>
        </w:rPr>
        <w:t xml:space="preserve">Allocated VM Count     = 3  (the 3 production VMs are running)</w:t>
      </w:r>
      <w:r>
        <w:br/>
      </w:r>
      <w:r>
        <w:rPr>
          <w:rStyle w:val="VerbatimChar"/>
        </w:rPr>
        <w:t xml:space="preserve">Configured Buffer      = 2  (policy: always keep 2 extra slots ready)</w:t>
      </w:r>
      <w:r>
        <w:br/>
      </w:r>
      <w:r>
        <w:rPr>
          <w:rStyle w:val="VerbatimChar"/>
        </w:rPr>
        <w:t xml:space="preserve">Target Reserved        = 5</w:t>
      </w:r>
      <w:r>
        <w:br/>
      </w:r>
      <w:r>
        <w:br/>
      </w:r>
      <w:r>
        <w:rPr>
          <w:rStyle w:val="VerbatimChar"/>
        </w:rPr>
        <w:t xml:space="preserve">Reserved Quantity      = 5</w:t>
      </w:r>
      <w:r>
        <w:br/>
      </w:r>
      <w:r>
        <w:rPr>
          <w:rStyle w:val="VerbatimChar"/>
        </w:rPr>
        <w:t xml:space="preserve">Reservation Headroom   = 5 − 3 = 2</w:t>
      </w:r>
      <w:r>
        <w:br/>
      </w:r>
      <w:r>
        <w:rPr>
          <w:rStyle w:val="VerbatimChar"/>
        </w:rPr>
        <w:t xml:space="preserve">Reservation Deficit    = max(0, 5 − 5) = 0</w:t>
      </w:r>
      <w:r>
        <w:br/>
      </w:r>
      <w:r>
        <w:br/>
      </w:r>
      <w:r>
        <w:rPr>
          <w:rStyle w:val="VerbatimChar"/>
        </w:rPr>
        <w:t xml:space="preserve">Utilisation = 3 / 5 = 60%</w:t>
      </w:r>
      <w:r>
        <w:br/>
      </w:r>
      <w:r>
        <w:rPr>
          <w:rStyle w:val="VerbatimChar"/>
        </w:rPr>
        <w:t xml:space="preserve">20% threshold not breached (utilisation is above threshold in the wrong direction — this</w:t>
      </w:r>
      <w:r>
        <w:br/>
      </w:r>
      <w:r>
        <w:rPr>
          <w:rStyle w:val="VerbatimChar"/>
        </w:rPr>
        <w:t xml:space="preserve">  would actually be concerning, but the threshold fires when utilisation hits the threshold</w:t>
      </w:r>
      <w:r>
        <w:br/>
      </w:r>
      <w:r>
        <w:rPr>
          <w:rStyle w:val="VerbatimChar"/>
        </w:rPr>
        <w:t xml:space="preserve">  from below, meaning the CRG is filling up)</w:t>
      </w:r>
    </w:p>
    <w:p>
      <w:pPr>
        <w:pStyle w:val="FirstParagraph"/>
      </w:pPr>
      <w:r>
        <w:t xml:space="preserve">Wait — clarifying the threshold direction: the auto-increase trigger fires when utilisation of the</w:t>
      </w:r>
      <w:r>
        <w:t xml:space="preserve"> </w:t>
      </w:r>
      <w:r>
        <w:t xml:space="preserve">CRG</w:t>
      </w:r>
      <w:r>
        <w:t xml:space="preserve"> </w:t>
      </w:r>
      <w:r>
        <w:rPr>
          <w:bCs/>
          <w:b/>
        </w:rPr>
        <w:t xml:space="preserve">exceeds</w:t>
      </w:r>
      <w:r>
        <w:t xml:space="preserve"> </w:t>
      </w:r>
      <w:r>
        <w:t xml:space="preserve">the threshold, i.e., the CRG is getting full. At 60% utilisation on a Prod CRG</w:t>
      </w:r>
      <w:r>
        <w:t xml:space="preserve"> </w:t>
      </w:r>
      <w:r>
        <w:t xml:space="preserve">(threshold 20%), the CRG is already well above threshold — the engine would have already raised a</w:t>
      </w:r>
      <w:r>
        <w:t xml:space="preserve"> </w:t>
      </w:r>
      <w:r>
        <w:t xml:space="preserve">capacity increase request earlier, when utilisation first hit 20%.</w:t>
      </w:r>
    </w:p>
    <w:p>
      <w:pPr>
        <w:pStyle w:val="BodyText"/>
      </w:pPr>
      <w:r>
        <w:t xml:space="preserve">Revised happy path:</w:t>
      </w:r>
    </w:p>
    <w:p>
      <w:pPr>
        <w:pStyle w:val="SourceCode"/>
      </w:pPr>
      <w:r>
        <w:rPr>
          <w:rStyle w:val="VerbatimChar"/>
        </w:rPr>
        <w:t xml:space="preserve">Allocated VM Count     = 1 of 5 reserved slots used (20% utilisation)</w:t>
      </w:r>
      <w:r>
        <w:br/>
      </w:r>
      <w:r>
        <w:rPr>
          <w:rStyle w:val="VerbatimChar"/>
        </w:rPr>
        <w:t xml:space="preserve">Utilisation = 1 / 5 = 20%</w:t>
      </w:r>
      <w:r>
        <w:br/>
      </w:r>
      <w:r>
        <w:rPr>
          <w:rStyle w:val="VerbatimChar"/>
        </w:rPr>
        <w:t xml:space="preserve">Threshold   = 20%  → trigger fires → CapacityIncreaseRequest raised</w:t>
      </w:r>
    </w:p>
    <w:p>
      <w:pPr>
        <w:pStyle w:val="FirstParagraph"/>
      </w:pPr>
      <w:r>
        <w:t xml:space="preserve">The request is raised, debounce cooldown starts (30 min), operator approval obtained (Phase 1),</w:t>
      </w:r>
      <w:r>
        <w:t xml:space="preserve"> </w:t>
      </w:r>
      <w:r>
        <w:t xml:space="preserve">new CRG quantity updated.</w:t>
      </w:r>
    </w:p>
    <w:bookmarkEnd w:id="76"/>
    <w:bookmarkStart w:id="77" w:name="X44d29a550540cd2ab39dc2745913c1932cf37d7"/>
    <w:p>
      <w:pPr>
        <w:pStyle w:val="Heading3"/>
      </w:pPr>
      <w:r>
        <w:t xml:space="preserve">5.9 Sad Path — Azure Cannot Supply the Requested Capacity</w:t>
      </w:r>
    </w:p>
    <w:p>
      <w:pPr>
        <w:pStyle w:val="FirstParagraph"/>
      </w:pPr>
      <w:r>
        <w:t xml:space="preserve">After ACRME raises a capacity increase request and submits it to Azure, Azure responds that it</w:t>
      </w:r>
      <w:r>
        <w:t xml:space="preserve"> </w:t>
      </w:r>
      <w:r>
        <w:t xml:space="preserve">cannot supply the requested SKU/zone at this time:</w:t>
      </w:r>
    </w:p>
    <w:p>
      <w:pPr>
        <w:pStyle w:val="SourceCode"/>
      </w:pPr>
      <w:r>
        <w:rPr>
          <w:rStyle w:val="VerbatimChar"/>
        </w:rPr>
        <w:t xml:space="preserve">Azure response: CAPACITY_UNAVAILABLE for E16ads_v5 in West US 3, Zone 2</w:t>
      </w:r>
      <w:r>
        <w:br/>
      </w:r>
      <w:r>
        <w:rPr>
          <w:rStyle w:val="VerbatimChar"/>
        </w:rPr>
        <w:t xml:space="preserve">ACRME action:</w:t>
      </w:r>
      <w:r>
        <w:br/>
      </w:r>
      <w:r>
        <w:rPr>
          <w:rStyle w:val="VerbatimChar"/>
        </w:rPr>
        <w:t xml:space="preserve">  1. Hold current CRG quantity (do not reduce below current level).</w:t>
      </w:r>
      <w:r>
        <w:br/>
      </w:r>
      <w:r>
        <w:rPr>
          <w:rStyle w:val="VerbatimChar"/>
        </w:rPr>
        <w:t xml:space="preserve">  2. Raise alert: "Capacity unavailable — reservation increase failed for West US 3 / E16ads_v5 / Zone 2".</w:t>
      </w:r>
      <w:r>
        <w:br/>
      </w:r>
      <w:r>
        <w:rPr>
          <w:rStyle w:val="VerbatimChar"/>
        </w:rPr>
        <w:t xml:space="preserve">  3. Expose buffer deficit in the observability dashboard.</w:t>
      </w:r>
      <w:r>
        <w:br/>
      </w:r>
      <w:r>
        <w:rPr>
          <w:rStyle w:val="VerbatimChar"/>
        </w:rPr>
        <w:t xml:space="preserve">  4. Do NOT delete or reduce the reservation object (CAP-009/010).</w:t>
      </w:r>
      <w:r>
        <w:br/>
      </w:r>
      <w:r>
        <w:rPr>
          <w:rStyle w:val="VerbatimChar"/>
        </w:rPr>
        <w:t xml:space="preserve">  5. Retry according to the reconciliation cadence (target 6-minute cycle).</w:t>
      </w:r>
      <w:r>
        <w:br/>
      </w:r>
      <w:r>
        <w:rPr>
          <w:rStyle w:val="VerbatimChar"/>
        </w:rPr>
        <w:t xml:space="preserve">  6. Escalate to emergency transfer tiers if the deficit is critical and a DR event is active.</w:t>
      </w:r>
    </w:p>
    <w:p>
      <w:pPr>
        <w:pStyle w:val="FirstParagraph"/>
      </w:pPr>
      <w:r>
        <w:t xml:space="preserve">The deployment readiness gate (Scenario 19) returns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 </w:t>
      </w:r>
      <w:r>
        <w:t xml:space="preserve">for any new deployment</w:t>
      </w:r>
      <w:r>
        <w:t xml:space="preserve"> </w:t>
      </w:r>
      <w:r>
        <w:t xml:space="preserve">request that depends on this CRG until the situation resolves.</w:t>
      </w:r>
    </w:p>
    <w:bookmarkEnd w:id="77"/>
    <w:bookmarkStart w:id="78" w:name="standby-activation-during-dr-scenario-18"/>
    <w:p>
      <w:pPr>
        <w:pStyle w:val="Heading3"/>
      </w:pPr>
      <w:r>
        <w:t xml:space="preserve">5.10 Standby Activation During DR (Scenario 18)</w:t>
      </w:r>
    </w:p>
    <w:p>
      <w:pPr>
        <w:pStyle w:val="FirstParagraph"/>
      </w:pPr>
      <w:r>
        <w:t xml:space="preserve">When a DR event is declared and the engine enters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Standby VMs (currently</w:t>
      </w:r>
      <w:r>
        <w:t xml:space="preserve"> </w:t>
      </w:r>
      <w:r>
        <w:rPr>
          <w:rStyle w:val="VerbatimChar"/>
        </w:rPr>
        <w:t xml:space="preserve">associated</w:t>
      </w:r>
      <w:r>
        <w:t xml:space="preserve"> </w:t>
      </w:r>
      <w:r>
        <w:t xml:space="preserve">with the destination CRG but not running) transition to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(active, consuming capacity).</w:t>
      </w:r>
    </w:p>
    <w:p>
      <w:pPr>
        <w:numPr>
          <w:ilvl w:val="0"/>
          <w:numId w:val="1013"/>
        </w:numPr>
        <w:pStyle w:val="Compact"/>
      </w:pPr>
      <w:r>
        <w:t xml:space="preserve">This happens in</w:t>
      </w:r>
      <w:r>
        <w:t xml:space="preserve"> </w:t>
      </w:r>
      <w:r>
        <w:rPr>
          <w:bCs/>
          <w:b/>
        </w:rPr>
        <w:t xml:space="preserve">priority waves</w:t>
      </w:r>
      <w:r>
        <w:t xml:space="preserve">: Wave 0 (platform control planes first), then Wave 1</w:t>
      </w:r>
      <w:r>
        <w:t xml:space="preserve"> </w:t>
      </w:r>
      <w:r>
        <w:t xml:space="preserve">(highest-priority customers), then subsequent waves in business-priority order.</w:t>
      </w:r>
    </w:p>
    <w:p>
      <w:pPr>
        <w:numPr>
          <w:ilvl w:val="0"/>
          <w:numId w:val="1013"/>
        </w:numPr>
        <w:pStyle w:val="Compact"/>
      </w:pPr>
      <w:r>
        <w:t xml:space="preserve">Each wave goes through up to 7 stages of capacity acquisition:</w:t>
      </w:r>
    </w:p>
    <w:p>
      <w:pPr>
        <w:numPr>
          <w:ilvl w:val="1"/>
          <w:numId w:val="1014"/>
        </w:numPr>
        <w:pStyle w:val="Compact"/>
      </w:pPr>
      <w:r>
        <w:t xml:space="preserve">Stages 1–2: use pre-staged bootstrap headroom and existing reservation — zero Azure wait time.</w:t>
      </w:r>
    </w:p>
    <w:p>
      <w:pPr>
        <w:numPr>
          <w:ilvl w:val="1"/>
          <w:numId w:val="1014"/>
        </w:numPr>
        <w:pStyle w:val="Compact"/>
      </w:pPr>
      <w:r>
        <w:t xml:space="preserve">Stage 3: shut down eligible CVAL workloads (after authorisation) to free their slots.</w:t>
      </w:r>
    </w:p>
    <w:p>
      <w:pPr>
        <w:numPr>
          <w:ilvl w:val="1"/>
          <w:numId w:val="1014"/>
        </w:numPr>
        <w:pStyle w:val="Compact"/>
      </w:pPr>
      <w:r>
        <w:t xml:space="preserve">Stages 4–6: share reservations, draw pooled quota, request additional Azure capacity.</w:t>
      </w:r>
    </w:p>
    <w:p>
      <w:pPr>
        <w:numPr>
          <w:ilvl w:val="1"/>
          <w:numId w:val="1014"/>
        </w:numPr>
        <w:pStyle w:val="Compact"/>
      </w:pPr>
      <w:r>
        <w:t xml:space="preserve">Stage 7: report unrecoverable gaps.</w:t>
      </w:r>
    </w:p>
    <w:p>
      <w:pPr>
        <w:pStyle w:val="FirstParagraph"/>
      </w:pPr>
      <w:r>
        <w:t xml:space="preserve">The design ensures P0/P-1 customers begin recovery without waiting on Azure deallocation APIs —</w:t>
      </w:r>
      <w:r>
        <w:t xml:space="preserve"> </w:t>
      </w:r>
      <w:r>
        <w:t xml:space="preserve">which are throttled during regional failure events.</w:t>
      </w:r>
    </w:p>
    <w:p>
      <w:r>
        <w:pict>
          <v:rect style="width:0;height:1.5pt" o:hralign="center" o:hrstd="t" o:hr="t"/>
        </w:pict>
      </w:r>
    </w:p>
    <w:bookmarkEnd w:id="78"/>
    <w:bookmarkStart w:id="85" w:name="X173fe9dde77789ebc3cc89293969d02d2a3558a"/>
    <w:p>
      <w:pPr>
        <w:pStyle w:val="Heading3"/>
      </w:pPr>
      <w:r>
        <w:t xml:space="preserve">5.11 v2.4 Reservation-Model Additions (Plain English)</w:t>
      </w:r>
    </w:p>
    <w:p>
      <w:pPr>
        <w:pStyle w:val="FirstParagraph"/>
      </w:pPr>
      <w:r>
        <w:t xml:space="preserve">Requirements Baseline v2.4 folded the reservation-model detail from the reviewed architecture</w:t>
      </w:r>
      <w:r>
        <w:t xml:space="preserve"> </w:t>
      </w:r>
      <w:r>
        <w:t xml:space="preserve">diagrams (Reservation Model, Reservation Creation, Reservation Decommissioning) into the baseline.</w:t>
      </w:r>
      <w:r>
        <w:t xml:space="preserve"> </w:t>
      </w:r>
      <w:r>
        <w:t xml:space="preserve">Nothing above changes; the following concepts are added.</w:t>
      </w:r>
    </w:p>
    <w:bookmarkStart w:id="79" w:name="X7499f2695a2ece7cabce3d0d0c1831fe14a6893"/>
    <w:p>
      <w:pPr>
        <w:pStyle w:val="Heading4"/>
      </w:pPr>
      <w:r>
        <w:t xml:space="preserve">5.11.1 Which VMs can even have a reservation? (CAP-020, CAP-021)</w:t>
      </w:r>
    </w:p>
    <w:p>
      <w:pPr>
        <w:pStyle w:val="FirstParagraph"/>
      </w:pPr>
      <w:r>
        <w:t xml:space="preserve">Not every VM is eligible for a capacity reservation: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Availability-Set VMs are ineligible (CAP-020).</w:t>
      </w:r>
      <w:r>
        <w:t xml:space="preserve"> </w:t>
      </w:r>
      <w:r>
        <w:t xml:space="preserve">A VM deployed into an Azure</w:t>
      </w:r>
      <w:r>
        <w:t xml:space="preserve"> </w:t>
      </w:r>
      <w:r>
        <w:rPr>
          <w:bCs/>
          <w:b/>
        </w:rPr>
        <w:t xml:space="preserve">Availability Set</w:t>
      </w:r>
      <w:r>
        <w:t xml:space="preserve"> </w:t>
      </w:r>
      <w:r>
        <w:t xml:space="preserve">cannot be backed by a capacity reservation. Capacity reservations are an</w:t>
      </w:r>
      <w:r>
        <w:t xml:space="preserve"> </w:t>
      </w:r>
      <w:r>
        <w:rPr>
          <w:bCs/>
          <w:b/>
        </w:rPr>
        <w:t xml:space="preserve">availability-zone</w:t>
      </w:r>
      <w:r>
        <w:t xml:space="preserve"> </w:t>
      </w:r>
      <w:r>
        <w:t xml:space="preserve">concept; Availability Sets are the older, non-zonal placement model, and Azure does not let the two</w:t>
      </w:r>
    </w:p>
    <w:p>
      <w:pPr>
        <w:numPr>
          <w:ilvl w:val="1"/>
          <w:numId w:val="1016"/>
        </w:numPr>
        <w:pStyle w:val="Compact"/>
      </w:pPr>
      <w:r>
        <w:t xml:space="preserve">In plain terms: if a workload is in an Availability Set, ACRME will not try to reserve capacity</w:t>
      </w:r>
      <w:r>
        <w:t xml:space="preserve"> </w:t>
      </w:r>
      <w:r>
        <w:t xml:space="preserve">for it — it flags it as ineligible with the reason recorded.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Onboarding a running VM needs a deallocate-or-redeploy step first (CAP-021).</w:t>
      </w:r>
      <w:r>
        <w:t xml:space="preserve"> </w:t>
      </w:r>
      <w:r>
        <w:t xml:space="preserve">To bring an</w:t>
      </w:r>
      <w:r>
        <w:t xml:space="preserve"> </w:t>
      </w:r>
      <w:r>
        <w:t xml:space="preserve">existing running VM under the reservation model, it must first be placed into an availability zone.</w:t>
      </w:r>
      <w:r>
        <w:t xml:space="preserve"> </w:t>
      </w:r>
      <w:r>
        <w:t xml:space="preserve">That means either</w:t>
      </w:r>
      <w:r>
        <w:t xml:space="preserve"> </w:t>
      </w:r>
      <w:r>
        <w:rPr>
          <w:bCs/>
          <w:b/>
        </w:rPr>
        <w:t xml:space="preserve">deallocating</w:t>
      </w:r>
      <w:r>
        <w:t xml:space="preserve"> </w:t>
      </w:r>
      <w:r>
        <w:t xml:space="preserve">it and restarting it into a zone, or</w:t>
      </w:r>
      <w:r>
        <w:t xml:space="preserve"> </w:t>
      </w:r>
      <w:r>
        <w:rPr>
          <w:bCs/>
          <w:b/>
        </w:rPr>
        <w:t xml:space="preserve">redeploying</w:t>
      </w:r>
      <w:r>
        <w:t xml:space="preserve"> </w:t>
      </w:r>
      <w:r>
        <w:t xml:space="preserve">it to a</w:t>
      </w:r>
      <w:r>
        <w:t xml:space="preserve"> </w:t>
      </w:r>
      <w:r>
        <w:t xml:space="preserve">zone. ACRME treats this as an onboarding</w:t>
      </w:r>
      <w:r>
        <w:t xml:space="preserve"> </w:t>
      </w:r>
      <w:r>
        <w:rPr>
          <w:bCs/>
          <w:b/>
        </w:rPr>
        <w:t xml:space="preserve">precondition</w:t>
      </w:r>
      <w:r>
        <w:t xml:space="preserve">: until the VM is zone-aligned, it cannot</w:t>
      </w:r>
      <w:r>
        <w:t xml:space="preserve"> </w:t>
      </w:r>
      <w:r>
        <w:t xml:space="preserve">join the zonal reservation for that zone. The engine records this precondition state so operators know exactly what step is</w:t>
      </w:r>
      <w:r>
        <w:t xml:space="preserve"> </w:t>
      </w:r>
      <w:r>
        <w:t xml:space="preserve">outstanding.</w:t>
      </w:r>
    </w:p>
    <w:p>
      <w:pPr>
        <w:pStyle w:val="FirstParagraph"/>
      </w:pPr>
      <w:r>
        <w:t xml:space="preserve">Both facts are captured in a</w:t>
      </w:r>
      <w:r>
        <w:t xml:space="preserve"> </w:t>
      </w:r>
      <w:r>
        <w:rPr>
          <w:rStyle w:val="VerbatimChar"/>
        </w:rPr>
        <w:t xml:space="preserve">ReservationEligibility</w:t>
      </w:r>
      <w:r>
        <w:t xml:space="preserve"> </w:t>
      </w:r>
      <w:r>
        <w:t xml:space="preserve">record (the reason it is or isn’t eligible, and</w:t>
      </w:r>
      <w:r>
        <w:t xml:space="preserve"> </w:t>
      </w:r>
      <w:r>
        <w:t xml:space="preserve">the onboarding precondition status).</w:t>
      </w:r>
    </w:p>
    <w:bookmarkEnd w:id="79"/>
    <w:bookmarkStart w:id="80" w:name="X7024fdb44ecb4add358adc867993bf25efc3c78"/>
    <w:p>
      <w:pPr>
        <w:pStyle w:val="Heading4"/>
      </w:pPr>
      <w:r>
        <w:t xml:space="preserve">5.11.2 Reservations start at zero — the seed matrix (CAP-022)</w:t>
      </w:r>
    </w:p>
    <w:p>
      <w:pPr>
        <w:pStyle w:val="FirstParagraph"/>
      </w:pPr>
      <w:r>
        <w:t xml:space="preserve">ACRME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guess how much capacity each product will need. Instead it starts from a</w:t>
      </w:r>
      <w:r>
        <w:t xml:space="preserve"> </w:t>
      </w:r>
      <w:r>
        <w:rPr>
          <w:bCs/>
          <w:b/>
        </w:rPr>
        <w:t xml:space="preserve">seed matrix</w:t>
      </w:r>
      <w:r>
        <w:t xml:space="preserve">: a table of every</w:t>
      </w:r>
      <w:r>
        <w:t xml:space="preserve"> </w:t>
      </w:r>
      <w:r>
        <w:rPr>
          <w:bCs/>
          <w:b/>
        </w:rPr>
        <w:t xml:space="preserve">eligible SKU × availability zone</w:t>
      </w:r>
      <w:r>
        <w:t xml:space="preserve"> </w:t>
      </w:r>
      <w:r>
        <w:t xml:space="preserve">combination, each initialised</w:t>
      </w:r>
      <w:r>
        <w:t xml:space="preserve"> </w:t>
      </w:r>
      <w:r>
        <w:t xml:space="preserve">with a reserved count of</w:t>
      </w:r>
      <w:r>
        <w:t xml:space="preserve"> </w:t>
      </w:r>
      <w:r>
        <w:rPr>
          <w:bCs/>
          <w:b/>
        </w:rPr>
        <w:t xml:space="preserve">0</w:t>
      </w:r>
      <w:r>
        <w:t xml:space="preserve">. These zero-count entries are called</w:t>
      </w:r>
      <w:r>
        <w:t xml:space="preserve"> </w:t>
      </w:r>
      <w:r>
        <w:rPr>
          <w:bCs/>
          <w:b/>
        </w:rPr>
        <w:t xml:space="preserve">seed reservations</w:t>
      </w:r>
      <w:r>
        <w:t xml:space="preserve"> </w:t>
      </w:r>
      <w:r>
        <w:t xml:space="preserve">— governed</w:t>
      </w:r>
      <w:r>
        <w:t xml:space="preserve"> </w:t>
      </w:r>
      <w:r>
        <w:t xml:space="preserve">placeholders that say</w:t>
      </w:r>
      <w:r>
        <w:t xml:space="preserve"> </w:t>
      </w:r>
      <w:r>
        <w:t xml:space="preserve">“</w:t>
      </w:r>
      <w:r>
        <w:t xml:space="preserve">this SKU is allowed in this zone</w:t>
      </w:r>
      <w:r>
        <w:t xml:space="preserve">”</w:t>
      </w:r>
      <w:r>
        <w:t xml:space="preserve"> </w:t>
      </w:r>
      <w:r>
        <w:t xml:space="preserve">without reserving anything yet.</w:t>
      </w:r>
    </w:p>
    <w:p>
      <w:pPr>
        <w:numPr>
          <w:ilvl w:val="0"/>
          <w:numId w:val="1017"/>
        </w:numPr>
        <w:pStyle w:val="Compact"/>
      </w:pPr>
      <w:r>
        <w:t xml:space="preserve">A seed reservation only grows above 0 when the</w:t>
      </w:r>
      <w:r>
        <w:t xml:space="preserve"> </w:t>
      </w:r>
      <w:r>
        <w:rPr>
          <w:bCs/>
          <w:b/>
        </w:rPr>
        <w:t xml:space="preserve">product team’s budget governance</w:t>
      </w:r>
      <w:r>
        <w:t xml:space="preserve"> </w:t>
      </w:r>
      <w:r>
        <w:t xml:space="preserve">approves it.</w:t>
      </w:r>
      <w:r>
        <w:t xml:space="preserve"> </w:t>
      </w:r>
      <w:r>
        <w:t xml:space="preserve">Capacity costs money, so the product team owns the decision to fund it. This extends the existing</w:t>
      </w:r>
      <w:r>
        <w:t xml:space="preserve"> </w:t>
      </w:r>
      <w:r>
        <w:t xml:space="preserve">seed model (CAP-009).</w:t>
      </w:r>
    </w:p>
    <w:p>
      <w:pPr>
        <w:numPr>
          <w:ilvl w:val="0"/>
          <w:numId w:val="1017"/>
        </w:numPr>
        <w:pStyle w:val="Compact"/>
      </w:pPr>
      <w:r>
        <w:t xml:space="preserve">Because the matrix begins at 0, there is no speculative spend — capacity is reserved only when a</w:t>
      </w:r>
      <w:r>
        <w:t xml:space="preserve"> </w:t>
      </w:r>
      <w:r>
        <w:t xml:space="preserve">real, funded need appears.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SeedMatrixEntry</w:t>
      </w:r>
      <w:r>
        <w:t xml:space="preserve"> </w:t>
      </w:r>
      <w:r>
        <w:t xml:space="preserve">records the SKU, zone, environment, current count, and governance status. A</w:t>
      </w:r>
      <w:r>
        <w:t xml:space="preserve"> </w:t>
      </w:r>
      <w:r>
        <w:t xml:space="preserve">reservation is tagged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(still at/for the placeholder) or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(funded and holding capacity).</w:t>
      </w:r>
    </w:p>
    <w:bookmarkEnd w:id="80"/>
    <w:bookmarkStart w:id="81" w:name="one-zonal-group-per-environment-cap-023"/>
    <w:p>
      <w:pPr>
        <w:pStyle w:val="Heading4"/>
      </w:pPr>
      <w:r>
        <w:t xml:space="preserve">5.11.3 One zonal group per environment (CAP-023)</w:t>
      </w:r>
    </w:p>
    <w:p>
      <w:pPr>
        <w:pStyle w:val="FirstParagraph"/>
      </w:pPr>
      <w:r>
        <w:t xml:space="preserve">Earlier sections described three CRGs per region (Prod, NonProd, DR). v2.5 states how those groups</w:t>
      </w:r>
      <w:r>
        <w:t xml:space="preserve"> </w:t>
      </w:r>
      <w:r>
        <w:t xml:space="preserve">are built inside Azure.</w:t>
      </w:r>
    </w:p>
    <w:p>
      <w:pPr>
        <w:pStyle w:val="BodyText"/>
      </w:pPr>
      <w:r>
        <w:t xml:space="preserve">Each environment gets</w:t>
      </w:r>
      <w:r>
        <w:t xml:space="preserve"> </w:t>
      </w:r>
      <w:r>
        <w:rPr>
          <w:bCs/>
          <w:b/>
        </w:rPr>
        <w:t xml:space="preserve">one zonal Capacity Reservation Group</w:t>
      </w:r>
      <w:r>
        <w:t xml:space="preserve">. The region’s zones are set when the</w:t>
      </w:r>
      <w:r>
        <w:t xml:space="preserve"> </w:t>
      </w:r>
      <w:r>
        <w:t xml:space="preserve">group is created and cannot be added later. Inside the group, ACRME keeps</w:t>
      </w:r>
      <w:r>
        <w:t xml:space="preserve"> </w:t>
      </w:r>
      <w:r>
        <w:rPr>
          <w:bCs/>
          <w:b/>
        </w:rPr>
        <w:t xml:space="preserve">one reservation per VM</w:t>
      </w:r>
      <w:r>
        <w:rPr>
          <w:bCs/>
          <w:b/>
        </w:rPr>
        <w:t xml:space="preserve"> </w:t>
      </w:r>
      <w:r>
        <w:rPr>
          <w:bCs/>
          <w:b/>
        </w:rPr>
        <w:t xml:space="preserve">size per zone</w:t>
      </w:r>
      <w:r>
        <w:t xml:space="preserve">. Capacity reserved in zone 1 is not available in zone 2. A separate group per zone</w:t>
      </w:r>
      <w:r>
        <w:t xml:space="preserve"> </w:t>
      </w:r>
      <w:r>
        <w:t xml:space="preserve">is allowed when a smaller blast radius is wanted; Azure does not require it, because the reservation</w:t>
      </w:r>
      <w:r>
        <w:t xml:space="preserve"> </w:t>
      </w:r>
      <w:r>
        <w:t xml:space="preserve">itself is already per zone.</w:t>
      </w:r>
    </w:p>
    <w:p>
      <w:pPr>
        <w:pStyle w:val="BodyText"/>
      </w:pPr>
      <w:r>
        <w:t xml:space="preserve">A group created</w:t>
      </w:r>
      <w:r>
        <w:t xml:space="preserve"> </w:t>
      </w:r>
      <w:r>
        <w:rPr>
          <w:bCs/>
          <w:b/>
        </w:rPr>
        <w:t xml:space="preserve">without zones</w:t>
      </w:r>
      <w:r>
        <w:t xml:space="preserve"> </w:t>
      </w:r>
      <w:r>
        <w:t xml:space="preserve">is not a region-wide pool. Azure picks one zone when the first</w:t>
      </w:r>
      <w:r>
        <w:t xml:space="preserve"> </w:t>
      </w:r>
      <w:r>
        <w:t xml:space="preserve">reservation is created, and every VM in that group has to be deployed without a zone. Zonal and</w:t>
      </w:r>
      <w:r>
        <w:t xml:space="preserve"> </w:t>
      </w:r>
      <w:r>
        <w:t xml:space="preserve">non-zonal reservations cannot sit in the same group. The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t xml:space="preserve">name is only for a SKU that cannot</w:t>
      </w:r>
      <w:r>
        <w:t xml:space="preserve"> </w:t>
      </w:r>
      <w:r>
        <w:t xml:space="preserve">take a zonal reservation, and the pinned zone is recorded.</w:t>
      </w:r>
    </w:p>
    <w:p>
      <w:pPr>
        <w:pStyle w:val="BodyText"/>
      </w:pPr>
      <w:r>
        <w:t xml:space="preserve">Names still come from the naming convention (OPS-006). The default name is</w:t>
      </w:r>
      <w:r>
        <w:t xml:space="preserve"> </w:t>
      </w:r>
      <w:r>
        <w:rPr>
          <w:rStyle w:val="VerbatimChar"/>
        </w:rPr>
        <w:t xml:space="preserve">crg-&lt;env&gt;-&lt;region&gt;-zonal</w:t>
      </w:r>
      <w:r>
        <w:t xml:space="preserve">.</w:t>
      </w:r>
    </w:p>
    <w:bookmarkEnd w:id="81"/>
    <w:bookmarkStart w:id="82" w:name="X61b6839c6359b0d3e32acd8230ab2d40f0db2d3"/>
    <w:p>
      <w:pPr>
        <w:pStyle w:val="Heading4"/>
      </w:pPr>
      <w:r>
        <w:t xml:space="preserve">5.11.4 Reactive discovery — filling gaps automatically (CAP-024)</w:t>
      </w:r>
    </w:p>
    <w:p>
      <w:pPr>
        <w:pStyle w:val="FirstParagraph"/>
      </w:pPr>
      <w:r>
        <w:t xml:space="preserve">When a request arrives for a SKU/zone combination that</w:t>
      </w:r>
      <w:r>
        <w:t xml:space="preserve"> </w:t>
      </w:r>
      <w:r>
        <w:rPr>
          <w:bCs/>
          <w:b/>
        </w:rPr>
        <w:t xml:space="preserve">isn’t yet backed by a CRG</w:t>
      </w:r>
      <w:r>
        <w:t xml:space="preserve">, ACRME does not</w:t>
      </w:r>
      <w:r>
        <w:t xml:space="preserve"> </w:t>
      </w:r>
      <w:r>
        <w:t xml:space="preserve">simply fail. It</w:t>
      </w:r>
      <w:r>
        <w:t xml:space="preserve"> </w:t>
      </w:r>
      <w:r>
        <w:rPr>
          <w:bCs/>
          <w:b/>
        </w:rPr>
        <w:t xml:space="preserve">reactively discovers</w:t>
      </w:r>
      <w:r>
        <w:t xml:space="preserve"> </w:t>
      </w:r>
      <w:r>
        <w:t xml:space="preserve">the gap and</w:t>
      </w:r>
      <w:r>
        <w:t xml:space="preserve"> </w:t>
      </w:r>
      <w:r>
        <w:rPr>
          <w:bCs/>
          <w:b/>
        </w:rPr>
        <w:t xml:space="preserve">auto-creates</w:t>
      </w:r>
      <w:r>
        <w:t xml:space="preserve"> </w:t>
      </w:r>
      <w:r>
        <w:t xml:space="preserve">the missing reservation against</w:t>
      </w:r>
      <w:r>
        <w:t xml:space="preserve"> </w:t>
      </w:r>
      <w:r>
        <w:t xml:space="preserve">the seed matrix, then</w:t>
      </w:r>
      <w:r>
        <w:t xml:space="preserve"> </w:t>
      </w:r>
      <w:r>
        <w:rPr>
          <w:bCs/>
          <w:b/>
        </w:rPr>
        <w:t xml:space="preserve">raises a scope-file governance item</w:t>
      </w:r>
      <w:r>
        <w:t xml:space="preserve"> </w:t>
      </w:r>
      <w:r>
        <w:t xml:space="preserve">so the addition is reviewed rather than</w:t>
      </w:r>
      <w:r>
        <w:t xml:space="preserve"> </w:t>
      </w:r>
      <w:r>
        <w:t xml:space="preserve">silently accepted. This reconciles the earlier reactive-discovery governance requirement (CAP-019).</w:t>
      </w:r>
      <w:r>
        <w:t xml:space="preserve"> </w:t>
      </w:r>
      <w:r>
        <w:t xml:space="preserve">Each auto-created reservation is stamped with its provenance (reactive vs. seeded vs. planned), and it</w:t>
      </w:r>
      <w:r>
        <w:t xml:space="preserve"> </w:t>
      </w:r>
      <w:r>
        <w:t xml:space="preserve">still respects the eligibility rules in 5.11.1.</w:t>
      </w:r>
    </w:p>
    <w:bookmarkEnd w:id="82"/>
    <w:bookmarkStart w:id="83" w:name="Xe97231c935d9c54d9bbc2bfb9ec1bd97905fdb0"/>
    <w:p>
      <w:pPr>
        <w:pStyle w:val="Heading4"/>
      </w:pPr>
      <w:r>
        <w:t xml:space="preserve">5.11.5 Spreading VMs evenly across zones (PLC-011)</w:t>
      </w:r>
    </w:p>
    <w:p>
      <w:pPr>
        <w:pStyle w:val="FirstParagraph"/>
      </w:pPr>
      <w:r>
        <w:t xml:space="preserve">Within the region already chosen, ACRME aims to spread a workload’s VMs</w:t>
      </w:r>
      <w:r>
        <w:t xml:space="preserve"> </w:t>
      </w:r>
      <w:r>
        <w:rPr>
          <w:bCs/>
          <w:b/>
        </w:rPr>
        <w:t xml:space="preserve">evenly across the zones</w:t>
      </w:r>
      <w:r>
        <w:t xml:space="preserve"> </w:t>
      </w:r>
      <w:r>
        <w:t xml:space="preserve">—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  <w:bCs/>
          <w:b/>
        </w:rPr>
        <w:t xml:space="preserve">1 / zone_count</w:t>
      </w:r>
      <w:r>
        <w:t xml:space="preserve"> </w:t>
      </w:r>
      <w:r>
        <w:t xml:space="preserve">per zone (≈ 33% each in a three-zone region). This is a placement</w:t>
      </w:r>
      <w:r>
        <w:t xml:space="preserve"> </w:t>
      </w:r>
      <w:r>
        <w:rPr>
          <w:bCs/>
          <w:b/>
        </w:rPr>
        <w:t xml:space="preserve">target</w:t>
      </w:r>
      <w:r>
        <w:t xml:space="preserve">, not just the ε</w:t>
      </w:r>
      <w:r>
        <w:t xml:space="preserve"> </w:t>
      </w:r>
      <w:r>
        <w:t xml:space="preserve">“</w:t>
      </w:r>
      <w:r>
        <w:t xml:space="preserve">zone diversity</w:t>
      </w:r>
      <w:r>
        <w:t xml:space="preserve">”</w:t>
      </w:r>
      <w:r>
        <w:t xml:space="preserve"> </w:t>
      </w:r>
      <w:r>
        <w:t xml:space="preserve">scoring nudge used during region selection:</w:t>
      </w:r>
    </w:p>
    <w:p>
      <w:pPr>
        <w:numPr>
          <w:ilvl w:val="0"/>
          <w:numId w:val="1018"/>
        </w:numPr>
        <w:pStyle w:val="Compact"/>
      </w:pPr>
      <w:r>
        <w:t xml:space="preserve">When placing a new VM, the engine</w:t>
      </w:r>
      <w:r>
        <w:t xml:space="preserve"> </w:t>
      </w:r>
      <w:r>
        <w:rPr>
          <w:bCs/>
          <w:b/>
        </w:rPr>
        <w:t xml:space="preserve">prefers the most under-represented zone</w:t>
      </w:r>
      <w:r>
        <w:t xml:space="preserve"> </w:t>
      </w:r>
      <w:r>
        <w:t xml:space="preserve">(the one with the</w:t>
      </w:r>
      <w:r>
        <w:t xml:space="preserve"> </w:t>
      </w:r>
      <w:r>
        <w:t xml:space="preserve">fewest VMs so far).</w:t>
      </w:r>
    </w:p>
    <w:p>
      <w:pPr>
        <w:numPr>
          <w:ilvl w:val="0"/>
          <w:numId w:val="1018"/>
        </w:numPr>
        <w:pStyle w:val="Compact"/>
      </w:pPr>
      <w:r>
        <w:t xml:space="preserve">When a new deployment or a growth event would tilt the balance</w:t>
      </w:r>
      <w:r>
        <w:t xml:space="preserve"> </w:t>
      </w:r>
      <w:r>
        <w:rPr>
          <w:bCs/>
          <w:b/>
        </w:rPr>
        <w:t xml:space="preserve">beyond a configured tolerance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C-13</w:t>
      </w:r>
      <w:r>
        <w:t xml:space="preserve">), the engine raises a</w:t>
      </w:r>
      <w:r>
        <w:t xml:space="preserve"> </w:t>
      </w:r>
      <w:r>
        <w:rPr>
          <w:bCs/>
          <w:b/>
        </w:rPr>
        <w:t xml:space="preserve">rebalancing recommendation/action</w:t>
      </w:r>
      <w:r>
        <w:t xml:space="preserve"> </w:t>
      </w:r>
      <w:r>
        <w:t xml:space="preserve">to move things back toward even</w:t>
      </w:r>
      <w:r>
        <w:t xml:space="preserve"> </w:t>
      </w:r>
      <w:r>
        <w:t xml:space="preserve">— subject to approval and whether Azure can actually accommodate the move.</w:t>
      </w:r>
    </w:p>
    <w:p>
      <w:pPr>
        <w:pStyle w:val="FirstParagraph"/>
      </w:pPr>
      <w:r>
        <w:t xml:space="preserve">The skew maths is simple:</w:t>
      </w:r>
    </w:p>
    <w:p>
      <w:pPr>
        <w:pStyle w:val="SourceCode"/>
      </w:pPr>
      <w:r>
        <w:rPr>
          <w:rStyle w:val="VerbatimChar"/>
        </w:rPr>
        <w:t xml:space="preserve">Even Zone Share          = 1 / Zone Count                      (≈33% in a 3-zone region)</w:t>
      </w:r>
      <w:r>
        <w:br/>
      </w:r>
      <w:r>
        <w:rPr>
          <w:rStyle w:val="VerbatimChar"/>
        </w:rPr>
        <w:t xml:space="preserve">Target VMs per Zone      = round( Workload VM Count / Zone Count )</w:t>
      </w:r>
      <w:r>
        <w:br/>
      </w:r>
      <w:r>
        <w:rPr>
          <w:rStyle w:val="VerbatimChar"/>
        </w:rPr>
        <w:t xml:space="preserve">Zone Skew(z)             = VMs in zone z − Target VMs per Zone</w:t>
      </w:r>
      <w:r>
        <w:br/>
      </w:r>
      <w:r>
        <w:rPr>
          <w:rStyle w:val="VerbatimChar"/>
        </w:rPr>
        <w:t xml:space="preserve">Max Skew                 = largest |Zone Skew(z)| across zones</w:t>
      </w:r>
      <w:r>
        <w:br/>
      </w:r>
      <w:r>
        <w:rPr>
          <w:rStyle w:val="VerbatimChar"/>
        </w:rPr>
        <w:t xml:space="preserve">Rebalance Trigger        = Max Skew &gt; Configured Skew Tolerance (C-13)</w:t>
      </w:r>
      <w:r>
        <w:br/>
      </w:r>
      <w:r>
        <w:rPr>
          <w:rStyle w:val="VerbatimChar"/>
        </w:rPr>
        <w:t xml:space="preserve">Preferred Placement Zone = the zone with the fewest VMs (argmin)</w:t>
      </w:r>
    </w:p>
    <w:p>
      <w:pPr>
        <w:pStyle w:val="FirstParagraph"/>
      </w:pPr>
      <w:r>
        <w:t xml:space="preserve">Even distribution bounds how exposed a workload is if a single zone fails, and it keeps the per-zone</w:t>
      </w:r>
      <w:r>
        <w:t xml:space="preserve"> </w:t>
      </w:r>
      <w:r>
        <w:t xml:space="preserve">reservations (5.11.3) balanced. (Formal version: Appendix A.9.)</w:t>
      </w:r>
    </w:p>
    <w:bookmarkEnd w:id="83"/>
    <w:bookmarkStart w:id="84" w:name="Xee578170588982eebd4ec73d3927e7f55ba811b"/>
    <w:p>
      <w:pPr>
        <w:pStyle w:val="Heading4"/>
      </w:pPr>
      <w:r>
        <w:t xml:space="preserve">5.11.6 Predictable names for everything (OPS-006, C-12)</w:t>
      </w:r>
    </w:p>
    <w:p>
      <w:pPr>
        <w:pStyle w:val="FirstParagraph"/>
      </w:pPr>
      <w:r>
        <w:t xml:space="preserve">Finally, v2.4 pins down a</w:t>
      </w:r>
      <w:r>
        <w:t xml:space="preserve"> </w:t>
      </w:r>
      <w:r>
        <w:rPr>
          <w:bCs/>
          <w:b/>
        </w:rPr>
        <w:t xml:space="preserve">deterministic naming convention</w:t>
      </w:r>
      <w:r>
        <w:t xml:space="preserve"> </w:t>
      </w:r>
      <w:r>
        <w:t xml:space="preserve">for resource groups, CRGs, and</w:t>
      </w:r>
      <w:r>
        <w:t xml:space="preserve"> </w:t>
      </w:r>
      <w:r>
        <w:t xml:space="preserve">subscriptions, backed by a</w:t>
      </w:r>
      <w:r>
        <w:t xml:space="preserve"> </w:t>
      </w:r>
      <w:r>
        <w:rPr>
          <w:bCs/>
          <w:b/>
        </w:rPr>
        <w:t xml:space="preserve">counter (C-12)</w:t>
      </w:r>
      <w:r>
        <w:t xml:space="preserve"> </w:t>
      </w:r>
      <w:r>
        <w:t xml:space="preserve">that guarantees uniqueness. v2.5 names the default</w:t>
      </w:r>
      <w:r>
        <w:t xml:space="preserve"> </w:t>
      </w:r>
      <w:r>
        <w:t xml:space="preserve">group</w:t>
      </w:r>
      <w:r>
        <w:t xml:space="preserve"> </w:t>
      </w:r>
      <w:r>
        <w:rPr>
          <w:rStyle w:val="VerbatimChar"/>
        </w:rPr>
        <w:t xml:space="preserve">crg-&lt;env&gt;-&lt;region&gt;-zonal</w:t>
      </w:r>
      <w:r>
        <w:t xml:space="preserve">.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t xml:space="preserve">is only the no-zone exception. In plain terms: given the</w:t>
      </w:r>
      <w:r>
        <w:t xml:space="preserve"> </w:t>
      </w:r>
      <w:r>
        <w:t xml:space="preserve">same inputs, ACRME always produces the</w:t>
      </w:r>
      <w:r>
        <w:t xml:space="preserve"> </w:t>
      </w:r>
      <w:r>
        <w:rPr>
          <w:bCs/>
          <w:b/>
        </w:rPr>
        <w:t xml:space="preserve">same, collision-free name</w:t>
      </w:r>
      <w:r>
        <w:t xml:space="preserve"> </w:t>
      </w:r>
      <w:r>
        <w:t xml:space="preserve">— so resources are predictable,</w:t>
      </w:r>
      <w:r>
        <w:t xml:space="preserve"> </w:t>
      </w:r>
      <w:r>
        <w:t xml:space="preserve">auditable, and RBAC scopes attach to stable identities instead of ad-hoc names.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2" w:name="scoring-weight-invariant"/>
    <w:p>
      <w:pPr>
        <w:pStyle w:val="Heading2"/>
      </w:pPr>
      <w:r>
        <w:t xml:space="preserve">6. Scoring Weight Invariant</w:t>
      </w:r>
    </w:p>
    <w:bookmarkStart w:id="87" w:name="the-rule"/>
    <w:p>
      <w:pPr>
        <w:pStyle w:val="Heading3"/>
      </w:pPr>
      <w:r>
        <w:t xml:space="preserve">6.1 The Rule</w:t>
      </w:r>
    </w:p>
    <w:p>
      <w:pPr>
        <w:pStyle w:val="FirstParagraph"/>
      </w:pPr>
      <w:r>
        <w:rPr>
          <w:bCs/>
          <w:b/>
        </w:rPr>
        <w:t xml:space="preserve">The five placement scoring weights must always sum to exactly 1.0:</w:t>
      </w:r>
    </w:p>
    <w:p>
      <w:pPr>
        <w:pStyle w:val="SourceCode"/>
      </w:pPr>
      <w:r>
        <w:rPr>
          <w:rStyle w:val="VerbatimChar"/>
        </w:rPr>
        <w:t xml:space="preserve">α + β + γ + δ + ε = 1.0</w:t>
      </w:r>
      <w:r>
        <w:br/>
      </w:r>
      <w:r>
        <w:rPr>
          <w:rStyle w:val="VerbatimChar"/>
        </w:rPr>
        <w:t xml:space="preserve">0.30 + 0.20 + 0.25 + 0.15 + 0.10 = 1.00 ✓</w:t>
      </w:r>
    </w:p>
    <w:p>
      <w:pPr>
        <w:pStyle w:val="FirstParagraph"/>
      </w:pPr>
      <w:r>
        <w:t xml:space="preserve">This is not a convention. It is a mathematical requirement for the scores to be meaningful.</w:t>
      </w:r>
    </w:p>
    <w:bookmarkEnd w:id="87"/>
    <w:bookmarkStart w:id="88" w:name="why-1.0-is-required"/>
    <w:p>
      <w:pPr>
        <w:pStyle w:val="Heading3"/>
      </w:pPr>
      <w:r>
        <w:t xml:space="preserve">6.2 Why 1.0 Is Required</w:t>
      </w:r>
    </w:p>
    <w:p>
      <w:pPr>
        <w:pStyle w:val="FirstParagraph"/>
      </w:pPr>
      <w:r>
        <w:t xml:space="preserve">Every component is clamped to [0, 1]. When weights sum to exactly 1.0: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best possible region</w:t>
      </w:r>
      <w:r>
        <w:t xml:space="preserve"> </w:t>
      </w:r>
      <w:r>
        <w:t xml:space="preserve">(all components = 1.0) scores exactly</w:t>
      </w:r>
      <w:r>
        <w:t xml:space="preserve"> </w:t>
      </w:r>
      <w:r>
        <w:rPr>
          <w:bCs/>
          <w:b/>
        </w:rPr>
        <w:t xml:space="preserve">1.0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worst possible region</w:t>
      </w:r>
      <w:r>
        <w:t xml:space="preserve"> </w:t>
      </w:r>
      <w:r>
        <w:t xml:space="preserve">(all components = 0.0) scores exactly</w:t>
      </w:r>
      <w:r>
        <w:t xml:space="preserve"> </w:t>
      </w:r>
      <w:r>
        <w:rPr>
          <w:bCs/>
          <w:b/>
        </w:rPr>
        <w:t xml:space="preserve">0.0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Every real region scores</w:t>
      </w:r>
      <w:r>
        <w:t xml:space="preserve"> </w:t>
      </w:r>
      <w:r>
        <w:rPr>
          <w:bCs/>
          <w:b/>
        </w:rPr>
        <w:t xml:space="preserve">somewhere between 0 and 1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Scores from different regions are</w:t>
      </w:r>
      <w:r>
        <w:t xml:space="preserve"> </w:t>
      </w:r>
      <w:r>
        <w:rPr>
          <w:bCs/>
          <w:b/>
        </w:rPr>
        <w:t xml:space="preserve">directly comparable</w:t>
      </w:r>
      <w:r>
        <w:t xml:space="preserve">: 0.75 is always better than 0.60, in</w:t>
      </w:r>
      <w:r>
        <w:t xml:space="preserve"> </w:t>
      </w:r>
      <w:r>
        <w:t xml:space="preserve">every run, under every policy version.</w:t>
      </w:r>
    </w:p>
    <w:bookmarkEnd w:id="88"/>
    <w:bookmarkStart w:id="89" w:name="X4e64c371e360098977ce2c86b94bd959b08a421"/>
    <w:p>
      <w:pPr>
        <w:pStyle w:val="Heading3"/>
      </w:pPr>
      <w:r>
        <w:t xml:space="preserve">6.3 What Breaks When the Weights Don’t Sum to 1.0</w:t>
      </w:r>
    </w:p>
    <w:p>
      <w:pPr>
        <w:pStyle w:val="FirstParagraph"/>
      </w:pPr>
      <w:r>
        <w:rPr>
          <w:bCs/>
          <w:b/>
        </w:rPr>
        <w:t xml:space="preserve">If weights sum to more than 1.0 (e.g., 1.10):</w:t>
      </w:r>
    </w:p>
    <w:p>
      <w:pPr>
        <w:pStyle w:val="BodyText"/>
      </w:pPr>
      <w:r>
        <w:t xml:space="preserve">The best possible score inflates above 1.0. A region with all perfect components scores 1.10 instead</w:t>
      </w:r>
      <w:r>
        <w:t xml:space="preserve"> </w:t>
      </w:r>
      <w:r>
        <w:t xml:space="preserve">of 1.0. Any downstream threshold calibrated against a [0, 1] range — for example,</w:t>
      </w:r>
      <w:r>
        <w:t xml:space="preserve"> </w:t>
      </w:r>
      <w:r>
        <w:t xml:space="preserve">“</w:t>
      </w:r>
      <w:r>
        <w:t xml:space="preserve">do not place in</w:t>
      </w:r>
      <w:r>
        <w:t xml:space="preserve"> </w:t>
      </w:r>
      <w:r>
        <w:t xml:space="preserve">any region scoring below 0.60</w:t>
      </w:r>
      <w:r>
        <w:t xml:space="preserve">”</w:t>
      </w:r>
      <w:r>
        <w:t xml:space="preserve"> </w:t>
      </w:r>
      <w:r>
        <w:t xml:space="preserve">— is now calibrated incorrectly. A mediocre region may clear the</w:t>
      </w:r>
      <w:r>
        <w:t xml:space="preserve"> </w:t>
      </w:r>
      <w:r>
        <w:t xml:space="preserve">threshold simply because scores are inflated.</w:t>
      </w:r>
    </w:p>
    <w:p>
      <w:pPr>
        <w:pStyle w:val="BodyText"/>
      </w:pPr>
      <w:r>
        <w:rPr>
          <w:bCs/>
          <w:b/>
        </w:rPr>
        <w:t xml:space="preserve">If weights sum to less than 1.0 (e.g., 0.90):</w:t>
      </w:r>
    </w:p>
    <w:p>
      <w:pPr>
        <w:pStyle w:val="BodyText"/>
      </w:pPr>
      <w:r>
        <w:t xml:space="preserve">All scores are uniformly compressed into [0, 0.90]. A region with all perfect components scores 0.90</w:t>
      </w:r>
      <w:r>
        <w:t xml:space="preserve"> </w:t>
      </w:r>
      <w:r>
        <w:t xml:space="preserve">instead of 1.0. A region that should score 0.67 now scores 0.60. Threshold gates calibrated against</w:t>
      </w:r>
      <w:r>
        <w:t xml:space="preserve"> </w:t>
      </w:r>
      <w:r>
        <w:t xml:space="preserve">[0, 1] now behave incorrectly in the other direction — some deployments are incorrectly blocked.</w:t>
      </w:r>
    </w:p>
    <w:p>
      <w:pPr>
        <w:pStyle w:val="BodyText"/>
      </w:pPr>
      <w:r>
        <w:t xml:space="preserve">Cross-policy comparisons also break: if one version had weights summing to 1.0 and the next has them</w:t>
      </w:r>
      <w:r>
        <w:t xml:space="preserve"> </w:t>
      </w:r>
      <w:r>
        <w:t xml:space="preserve">summing to 0.90, a score of 0.65 means something different under each version. Historical score</w:t>
      </w:r>
      <w:r>
        <w:t xml:space="preserve"> </w:t>
      </w:r>
      <w:r>
        <w:t xml:space="preserve">trend data becomes uninterpretable.</w:t>
      </w:r>
    </w:p>
    <w:bookmarkEnd w:id="89"/>
    <w:bookmarkStart w:id="90" w:name="tuning-the-weights-the-pie-rule"/>
    <w:p>
      <w:pPr>
        <w:pStyle w:val="Heading3"/>
      </w:pPr>
      <w:r>
        <w:t xml:space="preserve">6.4 Tuning the Weights — The Pie Rule</w:t>
      </w:r>
    </w:p>
    <w:p>
      <w:pPr>
        <w:pStyle w:val="FirstParagraph"/>
      </w:pPr>
      <w:r>
        <w:t xml:space="preserve">Think of the five weights as slices of a pie. The total pie is always exactly 100%. If one slice</w:t>
      </w:r>
      <w:r>
        <w:t xml:space="preserve"> </w:t>
      </w:r>
      <w:r>
        <w:t xml:space="preserve">grows, the others must shrink by the same total amount.</w:t>
      </w:r>
    </w:p>
    <w:p>
      <w:pPr>
        <w:pStyle w:val="BodyText"/>
      </w:pPr>
      <w:r>
        <w:rPr>
          <w:bCs/>
          <w:b/>
        </w:rPr>
        <w:t xml:space="preserve">Example — increasing headroom importance:</w:t>
      </w:r>
    </w:p>
    <w:p>
      <w:pPr>
        <w:pStyle w:val="SourceCode"/>
      </w:pPr>
      <w:r>
        <w:rPr>
          <w:rStyle w:val="VerbatimChar"/>
        </w:rPr>
        <w:t xml:space="preserve">Before: α=0.30, β=0.20, γ=0.25, δ=0.15, ε=0.10  → sum = 1.00 ✓</w:t>
      </w:r>
      <w:r>
        <w:br/>
      </w:r>
      <w:r>
        <w:rPr>
          <w:rStyle w:val="VerbatimChar"/>
        </w:rPr>
        <w:t xml:space="preserve">After:  α=0.40, β=0.15, γ=0.25, δ=0.10, ε=0.10  → sum = 1.00 ✓ (took 0.05 from β, 0.05 from δ)</w:t>
      </w:r>
      <w:r>
        <w:br/>
      </w:r>
      <w:r>
        <w:rPr>
          <w:rStyle w:val="VerbatimChar"/>
        </w:rPr>
        <w:t xml:space="preserve">Wrong:  α=0.40, β=0.20, γ=0.25, δ=0.15, ε=0.10  → sum = 1.10 ✗ (forgot to reduce)</w:t>
      </w:r>
    </w:p>
    <w:bookmarkEnd w:id="90"/>
    <w:bookmarkStart w:id="91" w:name="X3da3bddaac74590e2583a245330c6c3bc498c02"/>
    <w:p>
      <w:pPr>
        <w:pStyle w:val="Heading3"/>
      </w:pPr>
      <w:r>
        <w:t xml:space="preserve">6.5 Validation Requirement — The Policy Load Gate</w:t>
      </w:r>
    </w:p>
    <w:p>
      <w:pPr>
        <w:pStyle w:val="FirstParagraph"/>
      </w:pPr>
      <w:r>
        <w:t xml:space="preserve">The Config/Scope-File Service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validate the weight sum every time a new PlacementPolicy</w:t>
      </w:r>
      <w:r>
        <w:t xml:space="preserve"> </w:t>
      </w:r>
      <w:r>
        <w:t xml:space="preserve">version is loaded. This validation must occur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policy version is published to the</w:t>
      </w:r>
      <w:r>
        <w:t xml:space="preserve"> </w:t>
      </w:r>
      <w:r>
        <w:t xml:space="preserve">placement engine. A policy that fails this check must be rejected with a recorded configuration</w:t>
      </w:r>
      <w:r>
        <w:t xml:space="preserve"> </w:t>
      </w:r>
      <w:r>
        <w:t xml:space="preserve">error; the placement engine must never receive a policy with an invalid weight sum.</w:t>
      </w:r>
    </w:p>
    <w:p>
      <w:pPr>
        <w:pStyle w:val="BodyText"/>
      </w:pPr>
      <w:r>
        <w:t xml:space="preserve">See Section 6 of the Calculation Logic Reference and Section 8.2 of the Technical Design Document for the</w:t>
      </w:r>
      <w:r>
        <w:t xml:space="preserve"> </w:t>
      </w:r>
      <w:r>
        <w:t xml:space="preserve">formal validation rule specification.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how-the-three-domains-connect"/>
    <w:p>
      <w:pPr>
        <w:pStyle w:val="Heading2"/>
      </w:pPr>
      <w:r>
        <w:t xml:space="preserve">7. How the Three Domains Connect</w:t>
      </w:r>
    </w:p>
    <w:p>
      <w:pPr>
        <w:pStyle w:val="FirstParagraph"/>
      </w:pPr>
      <w:r>
        <w:t xml:space="preserve">The three domains are not independent. They feed into each other:</w:t>
      </w:r>
    </w:p>
    <w:p>
      <w:pPr>
        <w:pStyle w:val="SourceCode"/>
      </w:pPr>
      <w:r>
        <w:rPr>
          <w:rStyle w:val="VerbatimChar"/>
        </w:rPr>
        <w:t xml:space="preserve">Region Selection → Quota Management → Capacity Management</w:t>
      </w:r>
      <w:r>
        <w:br/>
      </w:r>
      <w:r>
        <w:rPr>
          <w:rStyle w:val="VerbatimChar"/>
        </w:rPr>
        <w:t xml:space="preserve">       ↑                  ↑                    ↑</w:t>
      </w:r>
      <w:r>
        <w:br/>
      </w:r>
      <w:r>
        <w:rPr>
          <w:rStyle w:val="VerbatimChar"/>
        </w:rPr>
        <w:t xml:space="preserve">  Uses quota scores   Uses CRG quantities   Uses placement output</w:t>
      </w:r>
      <w:r>
        <w:br/>
      </w:r>
      <w:r>
        <w:rPr>
          <w:rStyle w:val="VerbatimChar"/>
        </w:rPr>
        <w:t xml:space="preserve">  as β component      to size pool limit    to set CRG targets</w:t>
      </w:r>
    </w:p>
    <w:p>
      <w:pPr>
        <w:pStyle w:val="FirstParagraph"/>
      </w:pPr>
      <w:r>
        <w:rPr>
          <w:bCs/>
          <w:b/>
        </w:rPr>
        <w:t xml:space="preserve">Flow for a new customer deployment: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Region Selection</w:t>
      </w:r>
      <w:r>
        <w:t xml:space="preserve"> </w:t>
      </w:r>
      <w:r>
        <w:t xml:space="preserve">scores all candidate regions and picks the best Prod anchor. The quota</w:t>
      </w:r>
      <w:r>
        <w:t xml:space="preserve"> </w:t>
      </w:r>
      <w:r>
        <w:t xml:space="preserve">score (β component) uses current quota headroom from Domain 2. The capacity/headroom score</w:t>
      </w:r>
      <w:r>
        <w:t xml:space="preserve"> </w:t>
      </w:r>
      <w:r>
        <w:t xml:space="preserve">(α component) uses current CRG free slots from Domain 3.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Quota Management</w:t>
      </w:r>
      <w:r>
        <w:t xml:space="preserve"> </w:t>
      </w:r>
      <w:r>
        <w:t xml:space="preserve">checks that the subscription in the selected region has enough quota limit</w:t>
      </w:r>
      <w:r>
        <w:t xml:space="preserve"> </w:t>
      </w:r>
      <w:r>
        <w:t xml:space="preserve">to accept the new deployment (Scenario 19, gate 7). If not, the deployment is blocked with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 </w:t>
      </w:r>
      <w:r>
        <w:t xml:space="preserve">until a quota increase request to Microsoft is approved.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Capacity Management</w:t>
      </w:r>
      <w:r>
        <w:t xml:space="preserve"> </w:t>
      </w:r>
      <w:r>
        <w:t xml:space="preserve">checks that a Capacity Reservation exists and has enough quantity for</w:t>
      </w:r>
      <w:r>
        <w:t xml:space="preserve"> </w:t>
      </w:r>
      <w:r>
        <w:t xml:space="preserve">the deployment (Scenario 19, gate 6). If not, the deployment is blocked with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 </w:t>
      </w:r>
      <w:r>
        <w:t xml:space="preserve">until the CRG is expanded.</w:t>
      </w:r>
    </w:p>
    <w:p>
      <w:pPr>
        <w:pStyle w:val="FirstParagraph"/>
      </w:pPr>
      <w:r>
        <w:t xml:space="preserve">Only when all three domains return green does the readiness gate emit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 allow the</w:t>
      </w:r>
      <w:r>
        <w:t xml:space="preserve"> </w:t>
      </w:r>
      <w:r>
        <w:t xml:space="preserve">deployment to proceed.</w:t>
      </w:r>
    </w:p>
    <w:p>
      <w:pPr>
        <w:pStyle w:val="BodyText"/>
      </w:pPr>
      <w:r>
        <w:rPr>
          <w:bCs/>
          <w:b/>
        </w:rPr>
        <w:t xml:space="preserve">Flow for a DR event:</w:t>
      </w:r>
    </w:p>
    <w:p>
      <w:pPr>
        <w:numPr>
          <w:ilvl w:val="0"/>
          <w:numId w:val="1021"/>
        </w:numPr>
        <w:pStyle w:val="Compact"/>
      </w:pPr>
      <w:r>
        <w:t xml:space="preserve">The engine transitions 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The DR Orchestrator consults the SourceDestinationDRIndex to identify which standby VMs need</w:t>
      </w:r>
      <w:r>
        <w:t xml:space="preserve"> </w:t>
      </w:r>
      <w:r>
        <w:t xml:space="preserve">to be activated and where.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Capacity Management</w:t>
      </w:r>
      <w:r>
        <w:t xml:space="preserve"> </w:t>
      </w:r>
      <w:r>
        <w:t xml:space="preserve">begins staged activation (Scenario 18): bootstrap headroom first, then</w:t>
      </w:r>
      <w:r>
        <w:t xml:space="preserve"> </w:t>
      </w:r>
      <w:r>
        <w:t xml:space="preserve">CRG expansion if needed, then CVAL release, then quota draw.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Quota Management</w:t>
      </w:r>
      <w:r>
        <w:t xml:space="preserve"> </w:t>
      </w:r>
      <w:r>
        <w:t xml:space="preserve">confirms the shared pool has headroom for the DR draw (single-pool model:</w:t>
      </w:r>
      <w:r>
        <w:t xml:space="preserve"> </w:t>
      </w:r>
      <w:r>
        <w:t xml:space="preserve">no cross-group transfer needed — the DR earmark is already inside the pool).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Region Selection</w:t>
      </w:r>
      <w:r>
        <w:t xml:space="preserve"> </w:t>
      </w:r>
      <w:r>
        <w:t xml:space="preserve">is not re-run — the Customer Seed Record is authoritative. Failback</w:t>
      </w:r>
      <w:r>
        <w:t xml:space="preserve"> </w:t>
      </w:r>
      <w:r>
        <w:t xml:space="preserve">restores the original seed without re-derivation.</w:t>
      </w:r>
    </w:p>
    <w:p>
      <w:r>
        <w:pict>
          <v:rect style="width:0;height:1.5pt" o:hralign="center" o:hrstd="t" o:hr="t"/>
        </w:pict>
      </w:r>
    </w:p>
    <w:bookmarkEnd w:id="93"/>
    <w:bookmarkStart w:id="103" w:name="quick-reference-key-numbers"/>
    <w:p>
      <w:pPr>
        <w:pStyle w:val="Heading2"/>
      </w:pPr>
      <w:r>
        <w:t xml:space="preserve">8. Quick Reference — Key Numbers</w:t>
      </w:r>
    </w:p>
    <w:bookmarkStart w:id="101" w:name="configurable-parameters-reference"/>
    <w:p>
      <w:pPr>
        <w:pStyle w:val="Heading3"/>
      </w:pPr>
      <w:r>
        <w:t xml:space="preserve">8.1 Configurable Parameters Reference</w:t>
      </w:r>
    </w:p>
    <w:p>
      <w:pPr>
        <w:pStyle w:val="FirstParagraph"/>
      </w:pPr>
      <w:r>
        <w:t xml:space="preserve">ACRME is designed to be</w:t>
      </w:r>
      <w:r>
        <w:t xml:space="preserve"> </w:t>
      </w:r>
      <w:r>
        <w:rPr>
          <w:bCs/>
          <w:b/>
        </w:rPr>
        <w:t xml:space="preserve">configuration-driven</w:t>
      </w:r>
      <w:r>
        <w:t xml:space="preserve">. Most key values are</w:t>
      </w:r>
      <w:r>
        <w:t xml:space="preserve"> </w:t>
      </w:r>
      <w:r>
        <w:rPr>
          <w:bCs/>
          <w:b/>
        </w:rPr>
        <w:t xml:space="preserve">policy defaults stored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t xml:space="preserve">, not hardcoded constants. This table lists all tunable parameters, their</w:t>
      </w:r>
      <w:r>
        <w:t xml:space="preserve"> </w:t>
      </w:r>
      <w:r>
        <w:t xml:space="preserve">baseline defaults, and how they’re configured.</w:t>
      </w:r>
    </w:p>
    <w:bookmarkStart w:id="94" w:name="region-selection-scoring-weights"/>
    <w:p>
      <w:pPr>
        <w:pStyle w:val="Heading4"/>
      </w:pPr>
      <w:r>
        <w:t xml:space="preserve">Region Selection — Scoring Weights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(α) — Capacity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(β) —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</w:t>
            </w:r>
            <w:r>
              <w:t xml:space="preserve"> </w:t>
            </w:r>
            <w:r>
              <w:t xml:space="preserve">(γ) — 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</w:t>
            </w:r>
            <w:r>
              <w:t xml:space="preserve"> </w:t>
            </w:r>
            <w:r>
              <w:t xml:space="preserve">(δ) — 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epsilon</w:t>
            </w:r>
            <w:r>
              <w:t xml:space="preserve"> </w:t>
            </w:r>
            <w:r>
              <w:t xml:space="preserve">(ε) — 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sum to 1.0 (±0.001)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(invariant)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at policy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rounding allowance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Config/Scope-File Service validates at load time → if valid, policy is published. See Section 3.8 for tuning guidance.</w:t>
      </w:r>
    </w:p>
    <w:bookmarkEnd w:id="94"/>
    <w:bookmarkStart w:id="95" w:name="Xa77bf194eda09fc5c0bfc560bf2b14480ac8877"/>
    <w:p>
      <w:pPr>
        <w:pStyle w:val="Heading4"/>
      </w:pPr>
      <w:r>
        <w:t xml:space="preserve">Quota Management — Growth Buffers &amp; Headroom Floors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 above current Prod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 above current NonProd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emergency_transfer_pct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potential DR demand held as emergency transfer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absolute quota headroom floor for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min_nonprod_quota_headroom_vcpu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absolute quota headroom floor for NonProd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min_dr_headroom_vcpu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absolute quota headroom floor for DR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no validation gate required (arbitrary values permitted). Changes take effect on next policy load.</w:t>
      </w:r>
    </w:p>
    <w:bookmarkEnd w:id="95"/>
    <w:bookmarkStart w:id="96" w:name="X148e20b46f283beddd5f06cf6dc77580552f21e"/>
    <w:p>
      <w:pPr>
        <w:pStyle w:val="Heading4"/>
      </w:pPr>
      <w:r>
        <w:t xml:space="preserve">Capacity Management — Auto-Increase Thresholds &amp; Reconciliation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capacity increase when Prod headroom drops below 20% (80%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capacity increase when NonProd headroom drops below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capacity increase when DR headroom drops below 35% (65% utilized)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autoincrease_debounce_cooldown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region + CRG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time between auto-increase triggers for same region + CRG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reconciliation_interval_seconds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sec (6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the engine checks allocated vs reserved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configured_buffer</w:t>
            </w:r>
            <w:r>
              <w:t xml:space="preserve"> </w:t>
            </w:r>
            <w:r>
              <w:t xml:space="preserve">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(e.g., 1 slot)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floor buffer above allocated VMs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configured_buffer</w:t>
            </w:r>
            <w:r>
              <w:t xml:space="preserve"> </w:t>
            </w:r>
            <w:r>
              <w:t xml:space="preserve">(NonProd)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floor buffer above allocated VMs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configured_buffer</w:t>
            </w:r>
            <w:r>
              <w:t xml:space="preserve"> </w:t>
            </w:r>
            <w:r>
              <w:t xml:space="preserve">(DR)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product/region/env/SKU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floor buffer above allocated VMs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no validation gate required. Changes take effect on next policy load. See Section 5.4 for auto-increase threshold tuning guidance.</w:t>
      </w:r>
    </w:p>
    <w:bookmarkEnd w:id="96"/>
    <w:bookmarkStart w:id="97" w:name="capacity-management-forecast-alerts"/>
    <w:p>
      <w:pPr>
        <w:pStyle w:val="Heading4"/>
      </w:pPr>
      <w:r>
        <w:t xml:space="preserve">Capacity Management — Forecast &amp; Alerts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{30, 60, 90}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window for peak VM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forecast_quota_alert_threshold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utilization % that triggers ForecastApproachingQuotaLimit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forecast_quota_alert_lead_time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lead time for quota alert before predicted breach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or forecast service config → changes take effect on next policy load or forecast run.</w:t>
      </w:r>
    </w:p>
    <w:bookmarkEnd w:id="97"/>
    <w:bookmarkStart w:id="98" w:name="dr-management-bootstrap-targets"/>
    <w:p>
      <w:pPr>
        <w:pStyle w:val="Heading4"/>
      </w:pPr>
      <w:r>
        <w:t xml:space="preserve">DR Management — Bootstrap Targets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dr_bootstrap_target</w:t>
            </w:r>
            <w:r>
              <w:t xml:space="preserve"> </w:t>
            </w:r>
            <w:r>
              <w:t xml:space="preserve">(per workload)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(lean, ~5–20%)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workload/product/region/zone/VM family/subscription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DR capacity to pre-stage (ENV-005)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dr_coverage_target</w:t>
            </w:r>
            <w:r>
              <w:t xml:space="preserve"> </w:t>
            </w:r>
            <w:r>
              <w:t xml:space="preserve">(scoring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(varies per customer 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customer/product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target for the scoring δ component only — NOT a DR sizing ratio (sizing uses max-not-sum, A.6/DR-017; fixed</w:t>
            </w:r>
            <w:r>
              <w:t xml:space="preserve"> </w:t>
            </w:r>
            <w:r>
              <w:rPr>
                <w:rStyle w:val="VerbatimChar"/>
              </w:rPr>
              <w:t xml:space="preserve">dr_ratio_*</w:t>
            </w:r>
            <w:r>
              <w:t xml:space="preserve"> </w:t>
            </w:r>
            <w:r>
              <w:t xml:space="preserve">retired)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→ no validation gate required. DR bootstrap cannot be implicitly zero (ENV-006) — zero requires explicit approved policy exception.</w:t>
      </w:r>
    </w:p>
    <w:bookmarkEnd w:id="98"/>
    <w:bookmarkStart w:id="99" w:name="fixed-system-constants-not-configurable"/>
    <w:p>
      <w:pPr>
        <w:pStyle w:val="Heading4"/>
      </w:pPr>
      <w:r>
        <w:t xml:space="preserve">Fixed / System Constants (Not Configurable)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requirement for score normalization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floating-point precision 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clamp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requirement for weighted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 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[0.0, 1.0]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consequence of weight sum = 1.0 and clamp 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Debounce cooldown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safety to prevent request thrashing</w:t>
            </w:r>
          </w:p>
        </w:tc>
      </w:tr>
    </w:tbl>
    <w:bookmarkEnd w:id="99"/>
    <w:bookmarkStart w:id="100" w:name="configuration-change-process"/>
    <w:p>
      <w:pPr>
        <w:pStyle w:val="Heading4"/>
      </w:pPr>
      <w:r>
        <w:t xml:space="preserve">Configuration Change Process</w:t>
      </w:r>
    </w:p>
    <w:p>
      <w:pPr>
        <w:pStyle w:val="FirstParagraph"/>
      </w:pPr>
      <w:r>
        <w:rPr>
          <w:bCs/>
          <w:b/>
        </w:rPr>
        <w:t xml:space="preserve">All configurable parameters follow the same update process: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Update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 file</w:t>
      </w:r>
      <w:r>
        <w:t xml:space="preserve"> </w:t>
      </w:r>
      <w:r>
        <w:t xml:space="preserve">(JSON/YAML, stored in version control)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Config/Scope-File Service validates</w:t>
      </w:r>
      <w:r>
        <w:t xml:space="preserve"> </w:t>
      </w:r>
      <w:r>
        <w:t xml:space="preserve">(for weight-sum gate only; other params have no validation)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If valid, policy version is published</w:t>
      </w:r>
      <w:r>
        <w:t xml:space="preserve"> </w:t>
      </w:r>
      <w:r>
        <w:t xml:space="preserve">to the Placement Engine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Engine records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policy_version</w:t>
      </w:r>
      <w:r>
        <w:t xml:space="preserve"> </w:t>
      </w:r>
      <w:r>
        <w:t xml:space="preserve">in every placement decision (audit trail)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Changes take effect</w:t>
      </w:r>
      <w:r>
        <w:t xml:space="preserve"> </w:t>
      </w:r>
      <w:r>
        <w:t xml:space="preserve">on the next placement/reconciliation/forecast cycle</w:t>
      </w:r>
    </w:p>
    <w:p>
      <w:pPr>
        <w:pStyle w:val="FirstParagraph"/>
      </w:pPr>
      <w:r>
        <w:rPr>
          <w:bCs/>
          <w:b/>
        </w:rPr>
        <w:t xml:space="preserve">No code deployment is required</w:t>
      </w:r>
      <w:r>
        <w:t xml:space="preserve"> </w:t>
      </w:r>
      <w:r>
        <w:t xml:space="preserve">to change any configurable parameter. Only a policy configuration</w:t>
      </w:r>
      <w:r>
        <w:t xml:space="preserve"> </w:t>
      </w:r>
      <w:r>
        <w:t xml:space="preserve">file update and service restart/reload.</w:t>
      </w:r>
    </w:p>
    <w:p>
      <w:pPr>
        <w:pStyle w:val="BodyText"/>
      </w:pPr>
      <w:r>
        <w:rPr>
          <w:bCs/>
          <w:b/>
        </w:rPr>
        <w:t xml:space="preserve">Monitoring after change:</w:t>
      </w:r>
      <w:r>
        <w:t xml:space="preserve"> </w:t>
      </w:r>
      <w:r>
        <w:t xml:space="preserve">- Track the metrics in Section 3.8.6 (weight changes) or Section 5.4.1 (threshold changes)</w:t>
      </w:r>
      <w:r>
        <w:t xml:space="preserve"> </w:t>
      </w:r>
      <w:r>
        <w:t xml:space="preserve">- Compare placement/capacity decisions before and after the change</w:t>
      </w:r>
      <w:r>
        <w:t xml:space="preserve"> </w:t>
      </w:r>
      <w:r>
        <w:t xml:space="preserve">- Monitor auto-increase trigger frequency, capacity utilization, quota request rates</w:t>
      </w:r>
    </w:p>
    <w:p>
      <w:pPr>
        <w:pStyle w:val="BodyText"/>
      </w:pPr>
      <w:r>
        <w:rPr>
          <w:bCs/>
          <w:b/>
        </w:rPr>
        <w:t xml:space="preserve">Rollback:</w:t>
      </w:r>
      <w:r>
        <w:t xml:space="preserve"> </w:t>
      </w:r>
      <w:r>
        <w:t xml:space="preserve">Revert the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config file to the previous version and republish.</w:t>
      </w:r>
    </w:p>
    <w:bookmarkEnd w:id="100"/>
    <w:bookmarkEnd w:id="101"/>
    <w:bookmarkStart w:id="102" w:name="quick-reference-all-key-numbers"/>
    <w:p>
      <w:pPr>
        <w:pStyle w:val="Heading3"/>
      </w:pPr>
      <w:r>
        <w:t xml:space="preserve">8.2 Quick Reference — All Key Numbers</w:t>
      </w:r>
    </w:p>
    <w:p>
      <w:pPr>
        <w:pStyle w:val="FirstParagraph"/>
      </w:pPr>
      <w:r>
        <w:t xml:space="preserve">This table combines all key values (configurable and fixed) for quick lookup: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(headroom/capacity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(quota headroom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(distribution fairness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(DR readiness / overflow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(zone diversity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sum (must equal)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validation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growth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 growth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transfer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potential DR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Prod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NonProd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DR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headroom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Auto-increase debounce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per region + CRG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horizons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60 /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alert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 at 80% of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loop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minutes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Standard Capacity Regions (3-region)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·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·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Standard Capacity Regions (2-region)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 ·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 East (Asia Pacific)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business confirmation — not selectable until added to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DR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Cross-geo DR into a weighted-selected Europe Standard region (PLC-010b, DR-020, DEC-001 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CVAL + DR co-location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(PLC-010a) in EU/Australia/Asia Pacific 2-region geographies.</w:t>
            </w:r>
            <w:r>
              <w:t xml:space="preserve"> </w:t>
            </w: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bCs/>
                <w:b/>
              </w:rPr>
              <w:t xml:space="preserve">Middle East</w:t>
            </w:r>
            <w:r>
              <w:t xml:space="preserve">, CVAL co-locates with</w:t>
            </w:r>
            <w:r>
              <w:t xml:space="preserve"> </w:t>
            </w:r>
            <w:r>
              <w:rPr>
                <w:bCs/>
                <w:b/>
              </w:rPr>
              <w:t xml:space="preserve">Prod</w:t>
            </w:r>
            <w:r>
              <w:t xml:space="preserve"> </w:t>
            </w:r>
            <w:r>
              <w:t xml:space="preserve">locally and DR is cross-geo in Europe (PLC-010b)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&amp; versioned (REG-001) — geographies, regions, class, 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1.1 — reconciled to Requirements Baseline v2.4 (7 September 2026); originally 2 September 2026.</w:t>
      </w:r>
      <w:r>
        <w:t xml:space="preserve"> </w:t>
      </w:r>
      <w:r>
        <w:rPr>
          <w:iCs/>
          <w:i/>
        </w:rPr>
        <w:t xml:space="preserve">Source: ACRME Q&amp;A design walkthrough session, Calculation Logic Reference, Requirements</w:t>
      </w:r>
      <w:r>
        <w:rPr>
          <w:iCs/>
          <w:i/>
        </w:rPr>
        <w:t xml:space="preserve"> </w:t>
      </w:r>
      <w:r>
        <w:rPr>
          <w:iCs/>
          <w:i/>
        </w:rPr>
        <w:t xml:space="preserve">Baseline v2.4.</w:t>
      </w:r>
      <w:r>
        <w:t xml:space="preserve"> </w:t>
      </w:r>
      <w:r>
        <w:rPr>
          <w:iCs/>
          <w:i/>
        </w:rPr>
        <w:t xml:space="preserve">Next review: when Calculation Logic Reference is next revised or when POC-001/POC-011 results</w:t>
      </w:r>
      <w:r>
        <w:rPr>
          <w:iCs/>
          <w:i/>
        </w:rPr>
        <w:t xml:space="preserve"> </w:t>
      </w:r>
      <w:r>
        <w:rPr>
          <w:iCs/>
          <w:i/>
        </w:rPr>
        <w:t xml:space="preserve">are available.</w:t>
      </w:r>
    </w:p>
    <w:bookmarkEnd w:id="102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511009">
    <w:nsid w:val="A99511009"/>
    <w:multiLevelType w:val="multilevel"/>
    <w:lvl w:ilvl="0">
      <w:start w:val="1009"/>
      <w:numFmt w:val="lowerRoman"/>
      <w:lvlText w:val="%1."/>
      <w:lvlJc w:val="left"/>
      <w:pPr>
        <w:ind w:left="720" w:hanging="480"/>
      </w:pPr>
    </w:lvl>
    <w:lvl w:ilvl="1">
      <w:start w:val="1009"/>
      <w:numFmt w:val="lowerRoman"/>
      <w:lvlText w:val="%2."/>
      <w:lvlJc w:val="left"/>
      <w:pPr>
        <w:ind w:left="1440" w:hanging="480"/>
      </w:pPr>
    </w:lvl>
    <w:lvl w:ilvl="2">
      <w:start w:val="1009"/>
      <w:numFmt w:val="lowerRoman"/>
      <w:lvlText w:val="%3."/>
      <w:lvlJc w:val="left"/>
      <w:pPr>
        <w:ind w:left="2160" w:hanging="480"/>
      </w:pPr>
    </w:lvl>
    <w:lvl w:ilvl="3">
      <w:start w:val="1009"/>
      <w:numFmt w:val="lowerRoman"/>
      <w:lvlText w:val="%4."/>
      <w:lvlJc w:val="left"/>
      <w:pPr>
        <w:ind w:left="2880" w:hanging="480"/>
      </w:pPr>
    </w:lvl>
    <w:lvl w:ilvl="4">
      <w:start w:val="1009"/>
      <w:numFmt w:val="lowerRoman"/>
      <w:lvlText w:val="%5."/>
      <w:lvlJc w:val="left"/>
      <w:pPr>
        <w:ind w:left="3600" w:hanging="480"/>
      </w:pPr>
    </w:lvl>
    <w:lvl w:ilvl="5">
      <w:start w:val="1009"/>
      <w:numFmt w:val="lowerRoman"/>
      <w:lvlText w:val="%6."/>
      <w:lvlJc w:val="left"/>
      <w:pPr>
        <w:ind w:left="4320" w:hanging="480"/>
      </w:pPr>
    </w:lvl>
    <w:lvl w:ilvl="6">
      <w:start w:val="1009"/>
      <w:numFmt w:val="lowerRoman"/>
      <w:lvlText w:val="%7."/>
      <w:lvlJc w:val="left"/>
      <w:pPr>
        <w:ind w:left="5040" w:hanging="480"/>
      </w:pPr>
    </w:lvl>
    <w:lvl w:ilvl="7">
      <w:start w:val="1009"/>
      <w:numFmt w:val="lowerRoman"/>
      <w:lvlText w:val="%8."/>
      <w:lvlJc w:val="left"/>
      <w:pPr>
        <w:ind w:left="5760" w:hanging="480"/>
      </w:pPr>
    </w:lvl>
    <w:lvl w:ilvl="8">
      <w:start w:val="1009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511009"/>
    <w:lvlOverride w:ilvl="0">
      <w:startOverride w:val="1009"/>
    </w:lvlOverride>
    <w:lvlOverride w:ilvl="1">
      <w:startOverride w:val="1009"/>
    </w:lvlOverride>
    <w:lvlOverride w:ilvl="2">
      <w:startOverride w:val="1009"/>
    </w:lvlOverride>
    <w:lvlOverride w:ilvl="3">
      <w:startOverride w:val="1009"/>
    </w:lvlOverride>
    <w:lvlOverride w:ilvl="4">
      <w:startOverride w:val="1009"/>
    </w:lvlOverride>
    <w:lvlOverride w:ilvl="5">
      <w:startOverride w:val="1009"/>
    </w:lvlOverride>
    <w:lvlOverride w:ilvl="6">
      <w:startOverride w:val="1009"/>
    </w:lvlOverride>
    <w:lvlOverride w:ilvl="7">
      <w:startOverride w:val="1009"/>
    </w:lvlOverride>
    <w:lvlOverride w:ilvl="8">
      <w:startOverride w:val="1009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2026-10-06T13:15:06Z</dcterms:created>
  <dcterms:modified xsi:type="dcterms:W3CDTF">2026-10-06T13:15:06Z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