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ebabb2b22d6850947af5a63d14250f65f32323"/>
    <w:p>
      <w:pPr>
        <w:pStyle w:val="Heading1"/>
      </w:pPr>
      <w:r>
        <w:t xml:space="preserve">PS_Prod α Component Design Rationale — Why NonProd Headroom Drives Prod Placement</w:t>
      </w:r>
    </w:p>
    <w:p>
      <w:pPr>
        <w:pStyle w:val="FirstParagraph"/>
      </w:pPr>
      <w:r>
        <w:rPr>
          <w:bCs/>
          <w:b/>
        </w:rPr>
        <w:t xml:space="preserve">Document Type:</w:t>
      </w:r>
      <w:r>
        <w:t xml:space="preserve"> </w:t>
      </w:r>
      <w:r>
        <w:t xml:space="preserve">Design Rationale / Technical Reference</w:t>
      </w:r>
      <w:r>
        <w:br/>
      </w:r>
      <w:r>
        <w:rPr>
          <w:bCs/>
          <w:b/>
        </w:rPr>
        <w:t xml:space="preserve">Baseline Version:</w:t>
      </w:r>
      <w:r>
        <w:t xml:space="preserve"> </w:t>
      </w:r>
      <w:r>
        <w:t xml:space="preserve">v2.4</w:t>
      </w:r>
      <w:r>
        <w:br/>
      </w:r>
      <w:r>
        <w:rPr>
          <w:bCs/>
          <w:b/>
        </w:rPr>
        <w:t xml:space="preserve">Related Requirements:</w:t>
      </w:r>
      <w:r>
        <w:t xml:space="preserve"> </w:t>
      </w:r>
      <w:r>
        <w:t xml:space="preserve">PLC-001, PLC-002, CAP-013, QUA-004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Design-of-Record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Production Placement Score (</w:t>
      </w:r>
      <w:r>
        <w:rPr>
          <w:rStyle w:val="VerbatimChar"/>
        </w:rPr>
        <w:t xml:space="preserve">PS_Prod</w:t>
      </w:r>
      <w:r>
        <w:t xml:space="preserve">) uses</w:t>
      </w:r>
      <w:r>
        <w:t xml:space="preserve"> </w:t>
      </w:r>
      <w:r>
        <w:rPr>
          <w:bCs/>
          <w:b/>
        </w:rPr>
        <w:t xml:space="preserve">NonProd CRG headroom</w:t>
      </w:r>
      <w:r>
        <w:t xml:space="preserve"> </w:t>
      </w:r>
      <w:r>
        <w:t xml:space="preserve">in its α (availability fit) component, not Prod CRG headroom. This is a deliberate, forward-looking design choice that makes Prod placement a</w:t>
      </w:r>
      <w:r>
        <w:t xml:space="preserve"> </w:t>
      </w:r>
      <w:r>
        <w:rPr>
          <w:bCs/>
          <w:b/>
        </w:rPr>
        <w:t xml:space="preserve">multi-dimensional regional health check</w:t>
      </w:r>
      <w:r>
        <w:t xml:space="preserve">, not just a</w:t>
      </w:r>
      <w:r>
        <w:t xml:space="preserve"> </w:t>
      </w:r>
      <w:r>
        <w:t xml:space="preserve">“</w:t>
      </w:r>
      <w:r>
        <w:t xml:space="preserve">does this region have Prod capacity right now?</w:t>
      </w:r>
      <w:r>
        <w:t xml:space="preserve">”</w:t>
      </w:r>
      <w:r>
        <w:t xml:space="preserve"> </w:t>
      </w:r>
      <w:r>
        <w:t xml:space="preserve">gate.</w:t>
      </w:r>
    </w:p>
    <w:p>
      <w:pPr>
        <w:pStyle w:val="BodyText"/>
      </w:pPr>
      <w:r>
        <w:rPr>
          <w:bCs/>
          <w:b/>
        </w:rPr>
        <w:t xml:space="preserve">The Formula:</w:t>
      </w:r>
    </w:p>
    <w:p>
      <w:pPr>
        <w:pStyle w:val="SourceCode"/>
      </w:pPr>
      <w:r>
        <w:rPr>
          <w:rStyle w:val="VerbatimChar"/>
        </w:rPr>
        <w:t xml:space="preserve">PS_Prod(r) α component = 0.30 × Clamp(nonprod_crg.effective_free / prod_crg.quantity)</w:t>
      </w:r>
      <w:r>
        <w:br/>
      </w:r>
      <w:r>
        <w:rPr>
          <w:rStyle w:val="VerbatimChar"/>
        </w:rPr>
        <w:t xml:space="preserve">                                      ↑                              ↑</w:t>
      </w:r>
      <w:r>
        <w:br/>
      </w:r>
      <w:r>
        <w:rPr>
          <w:rStyle w:val="VerbatimChar"/>
        </w:rPr>
        <w:t xml:space="preserve">                                   NonProd FREE              Prod REQUIREMENT</w:t>
      </w:r>
    </w:p>
    <w:p>
      <w:pPr>
        <w:pStyle w:val="FirstParagraph"/>
      </w:pPr>
      <w:r>
        <w:rPr>
          <w:bCs/>
          <w:b/>
        </w:rPr>
        <w:t xml:space="preserve">NOT:</w:t>
      </w:r>
    </w:p>
    <w:p>
      <w:pPr>
        <w:pStyle w:val="SourceCode"/>
      </w:pPr>
      <w:r>
        <w:rPr>
          <w:rStyle w:val="VerbatimChar"/>
        </w:rPr>
        <w:t xml:space="preserve">❌ 0.30 × Clamp(prod_crg.effective_free / prod_crg.quantity)  ← This would be self-referential</w:t>
      </w:r>
    </w:p>
    <w:p>
      <w:pPr>
        <w:pStyle w:val="FirstParagraph"/>
      </w:pPr>
      <w:r>
        <w:t xml:space="preserve">This document explains the five strategic reasons behind this design.</w:t>
      </w:r>
    </w:p>
    <w:p>
      <w:r>
        <w:pict>
          <v:rect style="width:0;height:1.5pt" o:hralign="center" o:hrstd="t" o:hr="t"/>
        </w:pict>
      </w:r>
    </w:p>
    <w:bookmarkEnd w:id="20"/>
    <w:bookmarkStart w:id="27" w:name="five-strategic-reasons"/>
    <w:p>
      <w:pPr>
        <w:pStyle w:val="Heading2"/>
      </w:pPr>
      <w:r>
        <w:t xml:space="preserve">Five Strategic Reasons</w:t>
      </w:r>
    </w:p>
    <w:bookmarkStart w:id="21" w:name="avoid-circular-self-reference"/>
    <w:p>
      <w:pPr>
        <w:pStyle w:val="Heading3"/>
      </w:pPr>
      <w:r>
        <w:t xml:space="preserve">1. Avoid Circular Self-Reference</w:t>
      </w:r>
    </w:p>
    <w:p>
      <w:pPr>
        <w:pStyle w:val="FirstParagraph"/>
      </w:pPr>
      <w:r>
        <w:rPr>
          <w:bCs/>
          <w:b/>
        </w:rPr>
        <w:t xml:space="preserve">If α used Prod headroom:</w:t>
      </w:r>
    </w:p>
    <w:p>
      <w:pPr>
        <w:numPr>
          <w:ilvl w:val="0"/>
          <w:numId w:val="1001"/>
        </w:numPr>
      </w:pPr>
      <w:r>
        <w:t xml:space="preserve">You’d be evaluating</w:t>
      </w:r>
      <w:r>
        <w:t xml:space="preserve"> </w:t>
      </w:r>
      <w:r>
        <w:t xml:space="preserve">“</w:t>
      </w:r>
      <w:r>
        <w:t xml:space="preserve">How much Prod capacity does this region have to accommodate this Prod workload?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This is</w:t>
      </w:r>
      <w:r>
        <w:t xml:space="preserve"> </w:t>
      </w:r>
      <w:r>
        <w:rPr>
          <w:bCs/>
          <w:b/>
        </w:rPr>
        <w:t xml:space="preserve">self-referential</w:t>
      </w:r>
      <w:r>
        <w:t xml:space="preserve"> </w:t>
      </w:r>
      <w:r>
        <w:t xml:space="preserve">— you’re measuring the thing you’re about to allocate against itself</w:t>
      </w:r>
    </w:p>
    <w:p>
      <w:pPr>
        <w:numPr>
          <w:ilvl w:val="0"/>
          <w:numId w:val="1001"/>
        </w:numPr>
      </w:pPr>
      <w:r>
        <w:t xml:space="preserve">Creates a feedback loop where Prod placement depends on Prod capacity, which changes after Prod placement</w:t>
      </w:r>
    </w:p>
    <w:p>
      <w:pPr>
        <w:pStyle w:val="FirstParagraph"/>
      </w:pPr>
      <w:r>
        <w:rPr>
          <w:bCs/>
          <w:b/>
        </w:rPr>
        <w:t xml:space="preserve">With NonProd headroom:</w:t>
      </w:r>
    </w:p>
    <w:p>
      <w:pPr>
        <w:numPr>
          <w:ilvl w:val="0"/>
          <w:numId w:val="1002"/>
        </w:numPr>
      </w:pPr>
      <w:r>
        <w:t xml:space="preserve">You’re measuring an</w:t>
      </w:r>
      <w:r>
        <w:t xml:space="preserve"> </w:t>
      </w:r>
      <w:r>
        <w:rPr>
          <w:bCs/>
          <w:b/>
        </w:rPr>
        <w:t xml:space="preserve">independent signal</w:t>
      </w:r>
      <w:r>
        <w:t xml:space="preserve"> </w:t>
      </w:r>
      <w:r>
        <w:t xml:space="preserve">— NonProd capacity health is not directly affected by this Prod allocation</w:t>
      </w:r>
    </w:p>
    <w:p>
      <w:pPr>
        <w:numPr>
          <w:ilvl w:val="0"/>
          <w:numId w:val="1002"/>
        </w:numPr>
      </w:pPr>
      <w:r>
        <w:t xml:space="preserve">Provides a forward-looking indicator of the region’s overall capacity health</w:t>
      </w:r>
    </w:p>
    <w:p>
      <w:r>
        <w:pict>
          <v:rect style="width:0;height:1.5pt" o:hralign="center" o:hrstd="t" o:hr="t"/>
        </w:pict>
      </w:r>
    </w:p>
    <w:bookmarkEnd w:id="21"/>
    <w:bookmarkStart w:id="23" w:name="Xf075b7dee773283f263335dcdf944e54acaec5f"/>
    <w:p>
      <w:pPr>
        <w:pStyle w:val="Heading3"/>
      </w:pPr>
      <w:r>
        <w:t xml:space="preserve">2. Future CVAL Co-Location Readiness (2-Region Model)</w:t>
      </w:r>
    </w:p>
    <w:p>
      <w:pPr>
        <w:pStyle w:val="FirstParagraph"/>
      </w:pPr>
      <w:r>
        <w:t xml:space="preserve">In a 2-region model (e.g., EU: West Europe + North Europe):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Prod</w:t>
      </w:r>
      <w:r>
        <w:t xml:space="preserve"> </w:t>
      </w:r>
      <w:r>
        <w:t xml:space="preserve">goes to Region A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CVAL + DR</w:t>
      </w:r>
      <w:r>
        <w:t xml:space="preserve"> </w:t>
      </w:r>
      <w:r>
        <w:t xml:space="preserve">co-locate in Region B (the other region)</w:t>
      </w:r>
    </w:p>
    <w:p>
      <w:pPr>
        <w:pStyle w:val="FirstParagraph"/>
      </w:pPr>
      <w:r>
        <w:rPr>
          <w:bCs/>
          <w:b/>
        </w:rPr>
        <w:t xml:space="preserve">The scoring logic anticipates this:</w:t>
      </w:r>
    </w:p>
    <w:p>
      <w:pPr>
        <w:numPr>
          <w:ilvl w:val="0"/>
          <w:numId w:val="1004"/>
        </w:numPr>
      </w:pPr>
      <w:r>
        <w:t xml:space="preserve">If Prod goes to a region with good NonProd headroom, it signals that region can also support future NonProd (CVAL) growth in the same region if needed</w:t>
      </w:r>
    </w:p>
    <w:p>
      <w:pPr>
        <w:numPr>
          <w:ilvl w:val="0"/>
          <w:numId w:val="1004"/>
        </w:numPr>
      </w:pPr>
      <w:r>
        <w:t xml:space="preserve">Even though CVAL typically goes to the OTHER region, having NonProd headroom where Prod lives provides overflow capacity and regional balance</w:t>
      </w:r>
    </w:p>
    <w:bookmarkStart w:id="22" w:name="example-eu-2-region-model"/>
    <w:p>
      <w:pPr>
        <w:pStyle w:val="Heading4"/>
      </w:pPr>
      <w:r>
        <w:t xml:space="preserve">Example — EU 2-Region Model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A (Prod Candidate)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B (CVAL/DR Candidate)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Free = 8000</w:t>
            </w:r>
            <w:r>
              <w:t xml:space="preserve">NonProd Free = 500 (tiny)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Free = 2000</w:t>
            </w:r>
            <w:r>
              <w:t xml:space="preserve">NonProd Free = 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Free = 5000</w:t>
            </w:r>
            <w:r>
              <w:t xml:space="preserve">NonProd Free = 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Free = 5000</w:t>
            </w:r>
            <w:r>
              <w:t xml:space="preserve">NonProd Free = 6000</w:t>
            </w:r>
          </w:p>
        </w:tc>
      </w:tr>
    </w:tbl>
    <w:p>
      <w:pPr>
        <w:pStyle w:val="BodyText"/>
      </w:pPr>
      <w:r>
        <w:rPr>
          <w:bCs/>
          <w:b/>
        </w:rPr>
        <w:t xml:space="preserve">If α used Prod Free:</w:t>
      </w:r>
    </w:p>
    <w:p>
      <w:pPr>
        <w:numPr>
          <w:ilvl w:val="0"/>
          <w:numId w:val="1005"/>
        </w:numPr>
      </w:pPr>
      <w:r>
        <w:t xml:space="preserve">Region A would score higher (8000 &gt; 5000)</w:t>
      </w:r>
    </w:p>
    <w:p>
      <w:pPr>
        <w:numPr>
          <w:ilvl w:val="0"/>
          <w:numId w:val="1005"/>
        </w:numPr>
      </w:pPr>
      <w:r>
        <w:t xml:space="preserve">But it’s a</w:t>
      </w:r>
      <w:r>
        <w:t xml:space="preserve"> </w:t>
      </w:r>
      <w:r>
        <w:rPr>
          <w:bCs/>
          <w:b/>
        </w:rPr>
        <w:t xml:space="preserve">capacity trap</w:t>
      </w:r>
      <w:r>
        <w:t xml:space="preserve"> </w:t>
      </w:r>
      <w:r>
        <w:t xml:space="preserve">— Region A has almost no NonProd headroom; if any NonProd workload needs to overflow there, it fails</w:t>
      </w:r>
    </w:p>
    <w:p>
      <w:pPr>
        <w:pStyle w:val="FirstParagraph"/>
      </w:pPr>
      <w:r>
        <w:rPr>
          <w:bCs/>
          <w:b/>
        </w:rPr>
        <w:t xml:space="preserve">With NonProd Free:</w:t>
      </w:r>
    </w:p>
    <w:p>
      <w:pPr>
        <w:numPr>
          <w:ilvl w:val="0"/>
          <w:numId w:val="1006"/>
        </w:numPr>
      </w:pPr>
      <w:r>
        <w:t xml:space="preserve">Balanced region scores higher (6000 vs 500)</w:t>
      </w:r>
    </w:p>
    <w:p>
      <w:pPr>
        <w:numPr>
          <w:ilvl w:val="0"/>
          <w:numId w:val="1006"/>
        </w:numPr>
      </w:pPr>
      <w:r>
        <w:t xml:space="preserve">Prod placement favors regions with</w:t>
      </w:r>
      <w:r>
        <w:t xml:space="preserve"> </w:t>
      </w:r>
      <w:r>
        <w:rPr>
          <w:bCs/>
          <w:b/>
        </w:rPr>
        <w:t xml:space="preserve">holistic capacity health</w:t>
      </w:r>
      <w:r>
        <w:t xml:space="preserve">, not just Prod-specific capacity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gional-capacity-health-indicator"/>
    <w:p>
      <w:pPr>
        <w:pStyle w:val="Heading3"/>
      </w:pPr>
      <w:r>
        <w:t xml:space="preserve">3. Regional Capacity Health Indicator</w:t>
      </w:r>
    </w:p>
    <w:p>
      <w:pPr>
        <w:pStyle w:val="FirstParagraph"/>
      </w:pPr>
      <w:r>
        <w:t xml:space="preserve">NonProd headroom is a</w:t>
      </w:r>
      <w:r>
        <w:t xml:space="preserve"> </w:t>
      </w:r>
      <w:r>
        <w:rPr>
          <w:bCs/>
          <w:b/>
        </w:rPr>
        <w:t xml:space="preserve">proxy for overall regional health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A region with ample NonProd headroom likely has:</w:t>
      </w:r>
    </w:p>
    <w:p>
      <w:pPr>
        <w:numPr>
          <w:ilvl w:val="0"/>
          <w:numId w:val="1007"/>
        </w:numPr>
      </w:pPr>
      <w:r>
        <w:t xml:space="preserve">Good overall capacity management</w:t>
      </w:r>
    </w:p>
    <w:p>
      <w:pPr>
        <w:numPr>
          <w:ilvl w:val="0"/>
          <w:numId w:val="1007"/>
        </w:numPr>
      </w:pPr>
      <w:r>
        <w:t xml:space="preserve">Room for future growth across all environments</w:t>
      </w:r>
    </w:p>
    <w:p>
      <w:pPr>
        <w:numPr>
          <w:ilvl w:val="0"/>
          <w:numId w:val="1007"/>
        </w:numPr>
      </w:pPr>
      <w:r>
        <w:t xml:space="preserve">Lower contention for resources</w:t>
      </w:r>
    </w:p>
    <w:p>
      <w:pPr>
        <w:pStyle w:val="FirstParagraph"/>
      </w:pPr>
      <w:r>
        <w:rPr>
          <w:bCs/>
          <w:b/>
        </w:rPr>
        <w:t xml:space="preserve">A region with depleted NonProd headroom signals:</w:t>
      </w:r>
    </w:p>
    <w:p>
      <w:pPr>
        <w:numPr>
          <w:ilvl w:val="0"/>
          <w:numId w:val="1008"/>
        </w:numPr>
      </w:pPr>
      <w:r>
        <w:t xml:space="preserve">Capacity strain</w:t>
      </w:r>
    </w:p>
    <w:p>
      <w:pPr>
        <w:numPr>
          <w:ilvl w:val="0"/>
          <w:numId w:val="1008"/>
        </w:numPr>
      </w:pPr>
      <w:r>
        <w:t xml:space="preserve">Higher risk of quota exhaustion</w:t>
      </w:r>
    </w:p>
    <w:p>
      <w:pPr>
        <w:numPr>
          <w:ilvl w:val="0"/>
          <w:numId w:val="1008"/>
        </w:numPr>
      </w:pPr>
      <w:r>
        <w:t xml:space="preserve">Less flexibility for future deployments</w:t>
      </w:r>
    </w:p>
    <w:p>
      <w:pPr>
        <w:pStyle w:val="FirstParagraph"/>
      </w:pPr>
      <w:r>
        <w:t xml:space="preserve">Placing Prod in a region with good NonProd headroom ensures the Prod workload lands in a</w:t>
      </w:r>
      <w:r>
        <w:t xml:space="preserve"> </w:t>
      </w:r>
      <w:r>
        <w:rPr>
          <w:bCs/>
          <w:b/>
        </w:rPr>
        <w:t xml:space="preserve">healthy, well-provisioned region</w:t>
      </w:r>
      <w:r>
        <w:t xml:space="preserve">, not just one that happens to have Prod capacity today.</w:t>
      </w:r>
    </w:p>
    <w:p>
      <w:r>
        <w:pict>
          <v:rect style="width:0;height:1.5pt" o:hralign="center" o:hrstd="t" o:hr="t"/>
        </w:pict>
      </w:r>
    </w:p>
    <w:bookmarkEnd w:id="24"/>
    <w:bookmarkStart w:id="25" w:name="overflow-and-failover-capacity"/>
    <w:p>
      <w:pPr>
        <w:pStyle w:val="Heading3"/>
      </w:pPr>
      <w:r>
        <w:t xml:space="preserve">4. Overflow and Failover Capacity</w:t>
      </w:r>
    </w:p>
    <w:p>
      <w:pPr>
        <w:pStyle w:val="FirstParagraph"/>
      </w:pPr>
      <w:r>
        <w:t xml:space="preserve">In some scenarios, NonProd capacity can serve as overflow for Prod: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Burst capacity:</w:t>
      </w:r>
      <w:r>
        <w:t xml:space="preserve"> </w:t>
      </w:r>
      <w:r>
        <w:t xml:space="preserve">During a Prod spike, NonProd CRG might temporarily absorb overflow (subject to governance)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Emergency failover:</w:t>
      </w:r>
      <w:r>
        <w:t xml:space="preserve"> </w:t>
      </w:r>
      <w:r>
        <w:t xml:space="preserve">If Prod capacity is exhausted, NonProd headroom provides a safety margin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Multi-environment flexibility:</w:t>
      </w:r>
      <w:r>
        <w:t xml:space="preserve"> </w:t>
      </w:r>
      <w:r>
        <w:t xml:space="preserve">A region with balanced Prod + NonProd capacity can handle diverse workload mixes</w:t>
      </w:r>
    </w:p>
    <w:p>
      <w:pPr>
        <w:pStyle w:val="FirstParagraph"/>
      </w:pPr>
      <w:r>
        <w:t xml:space="preserve">By favoring regions with NonProd headroom, the model ensures Prod lands where there’s</w:t>
      </w:r>
      <w:r>
        <w:t xml:space="preserve"> </w:t>
      </w:r>
      <w:r>
        <w:rPr>
          <w:bCs/>
          <w:b/>
        </w:rPr>
        <w:t xml:space="preserve">operational flexibility</w:t>
      </w:r>
      <w:r>
        <w:t xml:space="preserve">, not just Prod-specific capacity.</w:t>
      </w:r>
    </w:p>
    <w:p>
      <w:r>
        <w:pict>
          <v:rect style="width:0;height:1.5pt" o:hralign="center" o:hrstd="t" o:hr="t"/>
        </w:pict>
      </w:r>
    </w:p>
    <w:bookmarkEnd w:id="25"/>
    <w:bookmarkStart w:id="26" w:name="X1bac1b3e167552e8720f4a614c98de2a97115d2"/>
    <w:p>
      <w:pPr>
        <w:pStyle w:val="Heading3"/>
      </w:pPr>
      <w:r>
        <w:t xml:space="preserve">5. Cross-Signal Validation (β Component Covers Prod Directly)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formula already has a</w:t>
      </w:r>
      <w:r>
        <w:t xml:space="preserve"> </w:t>
      </w:r>
      <w:r>
        <w:rPr>
          <w:bCs/>
          <w:b/>
        </w:rPr>
        <w:t xml:space="preserve">Prod-specific signal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β component = 0.20 × Clamp(prod_crg.quota_headroom / prod_crg.quota_limit)</w:t>
      </w:r>
      <w:r>
        <w:br/>
      </w:r>
      <w:r>
        <w:rPr>
          <w:rStyle w:val="VerbatimChar"/>
        </w:rPr>
        <w:t xml:space="preserve">                             ↑</w:t>
      </w:r>
      <w:r>
        <w:br/>
      </w:r>
      <w:r>
        <w:rPr>
          <w:rStyle w:val="VerbatimChar"/>
        </w:rPr>
        <w:t xml:space="preserve">                        Prod QUOTA headroom (direct Prod signal)</w:t>
      </w:r>
    </w:p>
    <w:p>
      <w:pPr>
        <w:pStyle w:val="FirstParagraph"/>
      </w:pPr>
      <w:r>
        <w:rPr>
          <w:bCs/>
          <w:b/>
        </w:rPr>
        <w:t xml:space="preserve">Division of labor: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α (NonProd headroom):</w:t>
      </w:r>
      <w:r>
        <w:t xml:space="preserve"> </w:t>
      </w:r>
      <w:r>
        <w:t xml:space="preserve">Forward-looking regional health + overflow capacity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β (Prod quota headroom):</w:t>
      </w:r>
      <w:r>
        <w:t xml:space="preserve"> </w:t>
      </w:r>
      <w:r>
        <w:t xml:space="preserve">Direct Prod capacity readiness</w:t>
      </w:r>
    </w:p>
    <w:p>
      <w:pPr>
        <w:pStyle w:val="FirstParagraph"/>
      </w:pPr>
      <w:r>
        <w:rPr>
          <w:bCs/>
          <w:b/>
        </w:rPr>
        <w:t xml:space="preserve">If α also used Prod headroom:</w:t>
      </w:r>
    </w:p>
    <w:p>
      <w:pPr>
        <w:numPr>
          <w:ilvl w:val="0"/>
          <w:numId w:val="1011"/>
        </w:numPr>
      </w:pPr>
      <w:r>
        <w:t xml:space="preserve">α and β would be highly correlated (both measuring Prod capacity)</w:t>
      </w:r>
    </w:p>
    <w:p>
      <w:pPr>
        <w:numPr>
          <w:ilvl w:val="0"/>
          <w:numId w:val="1011"/>
        </w:numPr>
      </w:pPr>
      <w:r>
        <w:t xml:space="preserve">Combined weight = 0.30 + 0.20 = 0.50 (half the total score) dominated by Prod-only signals</w:t>
      </w:r>
    </w:p>
    <w:p>
      <w:pPr>
        <w:numPr>
          <w:ilvl w:val="0"/>
          <w:numId w:val="1011"/>
        </w:numPr>
      </w:pPr>
      <w:r>
        <w:t xml:space="preserve">Other dimensions (distribution fairness, DR coverage, zone diversity) would be under-weighted</w:t>
      </w:r>
    </w:p>
    <w:p>
      <w:pPr>
        <w:pStyle w:val="FirstParagraph"/>
      </w:pPr>
      <w:r>
        <w:rPr>
          <w:bCs/>
          <w:b/>
        </w:rPr>
        <w:t xml:space="preserve">With α on NonProd headroom:</w:t>
      </w:r>
    </w:p>
    <w:p>
      <w:pPr>
        <w:numPr>
          <w:ilvl w:val="0"/>
          <w:numId w:val="1012"/>
        </w:numPr>
      </w:pPr>
      <w:r>
        <w:t xml:space="preserve">α and β measure</w:t>
      </w:r>
      <w:r>
        <w:t xml:space="preserve"> </w:t>
      </w:r>
      <w:r>
        <w:rPr>
          <w:bCs/>
          <w:b/>
        </w:rPr>
        <w:t xml:space="preserve">different dimensions</w:t>
      </w:r>
      <w:r>
        <w:t xml:space="preserve"> </w:t>
      </w:r>
      <w:r>
        <w:t xml:space="preserve">of capacity health</w:t>
      </w:r>
    </w:p>
    <w:p>
      <w:pPr>
        <w:numPr>
          <w:ilvl w:val="0"/>
          <w:numId w:val="1012"/>
        </w:numPr>
      </w:pPr>
      <w:r>
        <w:t xml:space="preserve">The formula is balanced across multiple signals, not dominated by a single capacity type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3d8cc56f09b5367537d8581f6e754b11f6e9988"/>
    <w:p>
      <w:pPr>
        <w:pStyle w:val="Heading2"/>
      </w:pPr>
      <w:r>
        <w:t xml:space="preserve">Comparison: What Changes If α Used Prod Headroom?</w:t>
      </w:r>
    </w:p>
    <w:bookmarkStart w:id="28" w:name="current-formula-design-of-record"/>
    <w:p>
      <w:pPr>
        <w:pStyle w:val="Heading3"/>
      </w:pPr>
      <w:r>
        <w:t xml:space="preserve">Current Formula (Design-of-Record)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nonprod_crg.effective_free / prod_crg.quantity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NonProd health + overflow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prod_crg.quota_headroom / prod_crg.quota_limit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Prod quota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prod_customer_count / total_customers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fairness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dr_crg.coverage_ratio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diversity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SPEC GAP (GAP-γ):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term in the γ component is undefined in Requirements Baseline v2.5. Its source, scope, and data type are not specified. See</w:t>
      </w:r>
      <w:r>
        <w:t xml:space="preserve"> </w:t>
      </w:r>
      <w:r>
        <w:rPr>
          <w:rStyle w:val="VerbatimChar"/>
        </w:rPr>
        <w:t xml:space="preserve">acrme_calculation_logic_comprehensive_walkthrough.md</w:t>
      </w:r>
      <w:r>
        <w:t xml:space="preserve"> </w:t>
      </w:r>
      <w:r>
        <w:t xml:space="preserve">OPEN ISSUE section for details and proposed resolution options.</w:t>
      </w:r>
    </w:p>
    <w:p>
      <w:pPr>
        <w:pStyle w:val="FirstParagraph"/>
      </w:pPr>
      <w:r>
        <w:rPr>
          <w:bCs/>
          <w:b/>
        </w:rPr>
        <w:t xml:space="preserve">Result:</w:t>
      </w:r>
      <w:r>
        <w:t xml:space="preserve"> </w:t>
      </w:r>
      <w:r>
        <w:t xml:space="preserve">Multi-dimensional scoring across 5 independent signals.</w:t>
      </w:r>
    </w:p>
    <w:p>
      <w:r>
        <w:pict>
          <v:rect style="width:0;height:1.5pt" o:hralign="center" o:hrstd="t" o:hr="t"/>
        </w:pict>
      </w:r>
    </w:p>
    <w:bookmarkEnd w:id="28"/>
    <w:bookmarkStart w:id="29" w:name="X953045a1cc83c94c84703275ab6ea35e69ed4d1"/>
    <w:p>
      <w:pPr>
        <w:pStyle w:val="Heading3"/>
      </w:pPr>
      <w:r>
        <w:t xml:space="preserve">Hypothetical Alternative (α Uses Prod Headroom)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prod_crg.effective_free / prod_crg.quantity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Prod capacity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prod_crg.quota_headroom / prod_crg.quota_limit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Prod quota 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1 - prod_customer_count / total_customers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fairness ⚠️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dr_crg.coverage_ratio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az_count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 diversity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SPEC GAP (GAP-γ):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term is undefined (see note above).</w:t>
      </w:r>
    </w:p>
    <w:p>
      <w:pPr>
        <w:pStyle w:val="FirstParagraph"/>
      </w:pPr>
      <w:r>
        <w:rPr>
          <w:bCs/>
          <w:b/>
        </w:rPr>
        <w:t xml:space="preserve">Problems:</w:t>
      </w:r>
    </w:p>
    <w:p>
      <w:pPr>
        <w:numPr>
          <w:ilvl w:val="0"/>
          <w:numId w:val="1013"/>
        </w:numPr>
      </w:pPr>
      <w:r>
        <w:t xml:space="preserve">α and β are</w:t>
      </w:r>
      <w:r>
        <w:t xml:space="preserve"> </w:t>
      </w:r>
      <w:r>
        <w:rPr>
          <w:bCs/>
          <w:b/>
        </w:rPr>
        <w:t xml:space="preserve">highly correlated</w:t>
      </w:r>
      <w:r>
        <w:t xml:space="preserve"> </w:t>
      </w:r>
      <w:r>
        <w:t xml:space="preserve">— both measure Prod capacity (combined 0.50 weight)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No NonProd signal</w:t>
      </w:r>
      <w:r>
        <w:t xml:space="preserve"> </w:t>
      </w:r>
      <w:r>
        <w:t xml:space="preserve">— regional capacity health is one-dimensional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Risk of imbalance</w:t>
      </w:r>
      <w:r>
        <w:t xml:space="preserve"> </w:t>
      </w:r>
      <w:r>
        <w:t xml:space="preserve">— Prod could land in a region with great Prod capacity but terrible NonProd capacity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worked-example-why-it-matters"/>
    <w:p>
      <w:pPr>
        <w:pStyle w:val="Heading2"/>
      </w:pPr>
      <w:r>
        <w:t xml:space="preserve">Worked Example — Why It Matters</w:t>
      </w:r>
    </w:p>
    <w:bookmarkStart w:id="31" w:name="scenario-us-3-region-model"/>
    <w:p>
      <w:pPr>
        <w:pStyle w:val="Heading3"/>
      </w:pPr>
      <w:r>
        <w:t xml:space="preserve">Scenario: US 3-Region Model</w:t>
      </w:r>
    </w:p>
    <w:p>
      <w:pPr>
        <w:pStyle w:val="FirstParagraph"/>
      </w:pPr>
      <w:r>
        <w:rPr>
          <w:bCs/>
          <w:b/>
        </w:rPr>
        <w:t xml:space="preserve">Request:</w:t>
      </w:r>
      <w:r>
        <w:t xml:space="preserve"> </w:t>
      </w:r>
      <w:r>
        <w:t xml:space="preserve">Deploy Prod workload requiring 10,000 vCPU (64-core line item)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(Current)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(If 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PS_Prod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Clamp(12000/10000)=</w:t>
            </w: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Clamp(8000/10000)=</w:t>
            </w: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formulas rank this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Clamp(500/10000)=</w:t>
            </w:r>
            <w:r>
              <w:rPr>
                <w:bCs/>
                <w:b/>
              </w:rP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Clamp(9000/10000)=</w:t>
            </w: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DIVERGENCE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Clamp(8000/10000)=</w:t>
            </w:r>
            <w:r>
              <w:rPr>
                <w:bCs/>
                <w:b/>
              </w:rP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Clamp(3000/10000)=</w:t>
            </w:r>
            <w:r>
              <w:rPr>
                <w:bCs/>
                <w:b/>
              </w:rP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DIVERGENCE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current-formula-α-on-nonprod"/>
    <w:p>
      <w:pPr>
        <w:pStyle w:val="Heading3"/>
      </w:pPr>
      <w:r>
        <w:t xml:space="preserve">Current Formula (α on NonProd):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West US 3</w:t>
      </w:r>
      <w:r>
        <w:t xml:space="preserve"> </w:t>
      </w:r>
      <w:r>
        <w:t xml:space="preserve">scores highest (α=1.0, β=0.85)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Canada Central</w:t>
      </w:r>
      <w:r>
        <w:t xml:space="preserve"> </w:t>
      </w:r>
      <w:r>
        <w:t xml:space="preserve">scores 2nd (α=0.80, β=0.60)</w:t>
      </w:r>
    </w:p>
    <w:p>
      <w:pPr>
        <w:numPr>
          <w:ilvl w:val="0"/>
          <w:numId w:val="1014"/>
        </w:numPr>
      </w:pPr>
      <w:r>
        <w:rPr>
          <w:bCs/>
          <w:b/>
        </w:rPr>
        <w:t xml:space="preserve">Central US</w:t>
      </w:r>
      <w:r>
        <w:t xml:space="preserve"> </w:t>
      </w:r>
      <w:r>
        <w:t xml:space="preserve">scores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(α=0.05) — despite high Prod capacity, its depleted NonProd headroom signals capacity strain</w:t>
      </w:r>
    </w:p>
    <w:p>
      <w:r>
        <w:pict>
          <v:rect style="width:0;height:1.5pt" o:hralign="center" o:hrstd="t" o:hr="t"/>
        </w:pict>
      </w:r>
    </w:p>
    <w:bookmarkEnd w:id="32"/>
    <w:bookmarkStart w:id="33" w:name="if-α-used-prod"/>
    <w:p>
      <w:pPr>
        <w:pStyle w:val="Heading3"/>
      </w:pPr>
      <w:r>
        <w:t xml:space="preserve">If α Used Prod: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West US 3</w:t>
      </w:r>
      <w:r>
        <w:t xml:space="preserve"> </w:t>
      </w:r>
      <w:r>
        <w:t xml:space="preserve">still scores highest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Central US</w:t>
      </w:r>
      <w:r>
        <w:t xml:space="preserve"> </w:t>
      </w:r>
      <w:r>
        <w:t xml:space="preserve">jumps to 2nd (α=1.0, β=0.90) — looks great on Prod-only metrics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Canada Central</w:t>
      </w:r>
      <w:r>
        <w:t xml:space="preserve"> </w:t>
      </w:r>
      <w:r>
        <w:t xml:space="preserve">drops (α=0.30) — penalized for lower Prod capacity</w:t>
      </w:r>
    </w:p>
    <w:p>
      <w:r>
        <w:pict>
          <v:rect style="width:0;height:1.5pt" o:hralign="center" o:hrstd="t" o:hr="t"/>
        </w:pict>
      </w:r>
    </w:p>
    <w:bookmarkEnd w:id="33"/>
    <w:bookmarkStart w:id="34" w:name="outcome"/>
    <w:p>
      <w:pPr>
        <w:pStyle w:val="Heading3"/>
      </w:pPr>
      <w:r>
        <w:t xml:space="preserve">Outcome: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Current formula:</w:t>
      </w:r>
      <w:r>
        <w:t xml:space="preserve"> </w:t>
      </w:r>
      <w:r>
        <w:t xml:space="preserve">Prod lands in a</w:t>
      </w:r>
      <w:r>
        <w:t xml:space="preserve"> </w:t>
      </w:r>
      <w:r>
        <w:rPr>
          <w:bCs/>
          <w:b/>
        </w:rPr>
        <w:t xml:space="preserve">balanced, healthy region</w:t>
      </w:r>
      <w:r>
        <w:t xml:space="preserve"> </w:t>
      </w:r>
      <w:r>
        <w:t xml:space="preserve">(West US 3 or Canada Central)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Alternative formula:</w:t>
      </w:r>
      <w:r>
        <w:t xml:space="preserve"> </w:t>
      </w:r>
      <w:r>
        <w:t xml:space="preserve">Prod might land in</w:t>
      </w:r>
      <w:r>
        <w:t xml:space="preserve"> </w:t>
      </w:r>
      <w:r>
        <w:rPr>
          <w:bCs/>
          <w:b/>
        </w:rPr>
        <w:t xml:space="preserve">Central US</w:t>
      </w:r>
      <w:r>
        <w:t xml:space="preserve"> </w:t>
      </w:r>
      <w:r>
        <w:t xml:space="preserve">— a region with Prod capacity but</w:t>
      </w:r>
      <w:r>
        <w:t xml:space="preserve"> </w:t>
      </w:r>
      <w:r>
        <w:rPr>
          <w:bCs/>
          <w:b/>
        </w:rPr>
        <w:t xml:space="preserve">starved NonProd capacity</w:t>
      </w:r>
      <w:r>
        <w:t xml:space="preserve">, risking future contention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-design-rationale-table"/>
    <w:p>
      <w:pPr>
        <w:pStyle w:val="Heading2"/>
      </w:pPr>
      <w:r>
        <w:t xml:space="preserve">Summary — Design Rationale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Avoid self-reference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signal, not circular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Future co-location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Anticipates CVAL placement needs (2-region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Regional health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Favors holistic capacity health, not just Prod-specific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Overflow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can serve as safety margin for Prod spikes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Multi-dimensional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and β measure different dimensions (not correlated)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bCs/>
          <w:b/>
        </w:rPr>
        <w:t xml:space="preserve">NonProd headroom in α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PS_Prod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forward-looking, multi-dimensional health check</w:t>
      </w:r>
      <w:r>
        <w:t xml:space="preserve">, not just a</w:t>
      </w:r>
      <w:r>
        <w:t xml:space="preserve"> </w:t>
      </w:r>
      <w:r>
        <w:t xml:space="preserve">“</w:t>
      </w:r>
      <w:r>
        <w:t xml:space="preserve">does this region have Prod capacity right now?</w:t>
      </w:r>
      <w:r>
        <w:t xml:space="preserve">”</w:t>
      </w:r>
      <w:r>
        <w:t xml:space="preserve"> </w:t>
      </w:r>
      <w:r>
        <w:t xml:space="preserve">binary gate.</w:t>
      </w:r>
    </w:p>
    <w:p>
      <w:pPr>
        <w:pStyle w:val="BodyText"/>
      </w:pPr>
      <w:r>
        <w:t xml:space="preserve">It ensures Prod workloads land in regions with</w:t>
      </w:r>
      <w:r>
        <w:t xml:space="preserve"> </w:t>
      </w:r>
      <w:r>
        <w:rPr>
          <w:bCs/>
          <w:b/>
        </w:rPr>
        <w:t xml:space="preserve">overall capacity resilience</w:t>
      </w:r>
      <w:r>
        <w:t xml:space="preserve">, not just Prod-specific headroom — anticipating future growth, overflow needs, and regional balance across all environments.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Design rationale for PS_Prod α component — ACRME Capacity Reservation baseline v2.4 · documented 28 Sep 2026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2026-10-06T13:14:43Z</dcterms:created>
  <dcterms:modified xsi:type="dcterms:W3CDTF">2026-10-06T13:14:43Z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