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937e25643a6a79e1e318fcfbde4f5f174396b5"/>
    <w:p>
      <w:pPr>
        <w:pStyle w:val="Heading1"/>
      </w:pPr>
      <w:r>
        <w:t xml:space="preserve">ACRME UML Class Diagrams — Design-First Summary</w:t>
      </w:r>
    </w:p>
    <w:p>
      <w:pPr>
        <w:pStyle w:val="FirstParagraph"/>
      </w:pPr>
      <w:r>
        <w:rPr>
          <w:bCs/>
          <w:b/>
        </w:rPr>
        <w:t xml:space="preserve">Author:</w:t>
      </w:r>
      <w:r>
        <w:t xml:space="preserve"> </w:t>
      </w:r>
      <w:r>
        <w:t xml:space="preserve">Vishnuvardhan Reddy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22,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Design-first tool (70% complete) — identifies gaps for focused design sessions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Visual domain model, operation tracking, service architecture, and state machines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This summary is reconciled to Requirements Baseline v2.2 and the updated ADRs: the quota model is a</w:t>
      </w:r>
      <w:r>
        <w:t xml:space="preserve"> </w:t>
      </w:r>
      <w:r>
        <w:rPr>
          <w:bCs/>
          <w:b/>
        </w:rPr>
        <w:t xml:space="preserve">single governed pool</w:t>
      </w:r>
      <w:r>
        <w:t xml:space="preserve"> </w:t>
      </w:r>
      <w:r>
        <w:t xml:space="preserve">with logical earmarks (two-group only as an exception topology, QUA-004/ADR-002); three domain entities are added 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; the readiness verdict is the machine-readable enum</w:t>
      </w:r>
      <w:r>
        <w:t xml:space="preserve"> </w:t>
      </w:r>
      <w:r>
        <w:rPr>
          <w:rStyle w:val="VerbatimChar"/>
        </w:rPr>
        <w:t xml:space="preserve">READY | READY_WITH_RISK | QUOTA_DEFICIT | RESERVATION_DEFICIT | CAPACITY_UNAVAILABLE | STALE_STATE | POLICY_BLOCKED | VALIDATION_REQUIRED</w:t>
      </w:r>
      <w:r>
        <w:t xml:space="preserve"> </w:t>
      </w:r>
      <w:r>
        <w:t xml:space="preserve">(RDY-002); the engine mode machine is five-state (</w:t>
      </w:r>
      <w:r>
        <w:rPr>
          <w:rStyle w:val="VerbatimChar"/>
        </w:rPr>
        <w:t xml:space="preserve">STEADY_STATE → DR_DECLARATION_PENDING → DR_EVENT_ACTIVE → FAILBACK_PENDING → STEADY_STATE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INCIDENT_HOLD</w:t>
      </w:r>
      <w:r>
        <w:t xml:space="preserve">). Authoritative schemas live in the FDD (</w:t>
      </w:r>
      <w:r>
        <w:rPr>
          <w:rStyle w:val="VerbatimChar"/>
        </w:rPr>
        <w:t xml:space="preserve">acrme_functional_design_document.md</w:t>
      </w:r>
      <w:r>
        <w:t xml:space="preserve">) and TDD (</w:t>
      </w:r>
      <w:r>
        <w:rPr>
          <w:rStyle w:val="VerbatimChar"/>
        </w:rPr>
        <w:t xml:space="preserve">acrme_technical_design_document.md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v2.4 reconciliation note (7 Sep 2026).</w:t>
      </w:r>
      <w:r>
        <w:t xml:space="preserve"> </w:t>
      </w:r>
      <w:r>
        <w:t xml:space="preserve">This summary is further reconciled to Requirements Baseline</w:t>
      </w:r>
      <w:r>
        <w:t xml:space="preserve"> </w:t>
      </w:r>
      <w:r>
        <w:rPr>
          <w:bCs/>
          <w:b/>
        </w:rPr>
        <w:t xml:space="preserve">v2.4</w:t>
      </w:r>
      <w:r>
        <w:t xml:space="preserve"> </w:t>
      </w:r>
      <w:r>
        <w:t xml:space="preserve">and the core domain model (</w:t>
      </w:r>
      <w:r>
        <w:rPr>
          <w:rStyle w:val="VerbatimChar"/>
        </w:rPr>
        <w:t xml:space="preserve">uml_01_core_domain_model.md</w:t>
      </w:r>
      <w:r>
        <w:t xml:space="preserve">). No entity is removed; the following v2.4 additions are folded into Diagram 1: (a)</w:t>
      </w:r>
      <w:r>
        <w:t xml:space="preserve"> </w:t>
      </w:r>
      <w:r>
        <w:rPr>
          <w:bCs/>
          <w:b/>
        </w:rPr>
        <w:t xml:space="preserve">per-AZ + regional CRG structure</w:t>
      </w:r>
      <w:r>
        <w:t xml:space="preserve"> </w:t>
      </w:r>
      <w:r>
        <w:t xml:space="preserve">— the earlier</w:t>
      </w:r>
      <w:r>
        <w:t xml:space="preserve"> </w:t>
      </w:r>
      <w:r>
        <w:t xml:space="preserve">“</w:t>
      </w:r>
      <w:r>
        <w:t xml:space="preserve">three-CRG (Prod/NonProd/DR) per region</w:t>
      </w:r>
      <w:r>
        <w:t xml:space="preserve">”</w:t>
      </w:r>
      <w:r>
        <w:t xml:space="preserve"> </w:t>
      </w:r>
      <w:r>
        <w:t xml:space="preserve">model is extended by</w:t>
      </w:r>
      <w:r>
        <w:t xml:space="preserve"> </w:t>
      </w:r>
      <w:r>
        <w:rPr>
          <w:bCs/>
          <w:b/>
        </w:rPr>
        <w:t xml:space="preserve">CAP-023</w:t>
      </w:r>
      <w:r>
        <w:t xml:space="preserve"> </w:t>
      </w:r>
      <w:r>
        <w:t xml:space="preserve">so each environment carries one</w:t>
      </w:r>
      <w:r>
        <w:t xml:space="preserve"> </w:t>
      </w:r>
      <w:r>
        <w:rPr>
          <w:bCs/>
          <w:b/>
        </w:rPr>
        <w:t xml:space="preserve">regional</w:t>
      </w:r>
      <w:r>
        <w:t xml:space="preserve"> </w:t>
      </w:r>
      <w:r>
        <w:t xml:space="preserve">CRG (</w:t>
      </w:r>
      <w:r>
        <w:rPr>
          <w:rStyle w:val="VerbatimChar"/>
        </w:rPr>
        <w:t xml:space="preserve">crg-&lt;env&gt;-&lt;region&gt;-reg</w:t>
      </w:r>
      <w:r>
        <w:t xml:space="preserve">) plus one CRG</w:t>
      </w:r>
      <w:r>
        <w:t xml:space="preserve"> </w:t>
      </w:r>
      <w:r>
        <w:rPr>
          <w:bCs/>
          <w:b/>
        </w:rPr>
        <w:t xml:space="preserve">per AZ</w:t>
      </w:r>
      <w:r>
        <w:t xml:space="preserve"> </w:t>
      </w:r>
      <w:r>
        <w:t xml:space="preserve">(</w:t>
      </w:r>
      <w:r>
        <w:rPr>
          <w:rStyle w:val="VerbatimChar"/>
        </w:rPr>
        <w:t xml:space="preserve">az1/az2/az3</w:t>
      </w:r>
      <w:r>
        <w:t xml:space="preserve">);</w:t>
      </w:r>
      <w:r>
        <w:t xml:space="preserve"> </w:t>
      </w:r>
      <w:r>
        <w:rPr>
          <w:rStyle w:val="VerbatimChar"/>
        </w:rPr>
        <w:t xml:space="preserve">CapacityReservationGroup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REGIONAL | ZONAL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isZonal()</w:t>
      </w:r>
      <w:r>
        <w:t xml:space="preserve"> </w:t>
      </w:r>
      <w:r>
        <w:t xml:space="preserve">accessor; (b)</w:t>
      </w:r>
      <w:r>
        <w:t xml:space="preserve"> </w:t>
      </w:r>
      <w:r>
        <w:rPr>
          <w:bCs/>
          <w:b/>
        </w:rPr>
        <w:t xml:space="preserve">seed-at-0 governance</w:t>
      </w:r>
      <w:r>
        <w:t xml:space="preserve"> </w:t>
      </w:r>
      <w:r>
        <w:t xml:space="preserve">— new entity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(</w:t>
      </w:r>
      <w:r>
        <w:rPr>
          <w:bCs/>
          <w:b/>
        </w:rPr>
        <w:t xml:space="preserve">CAP-022</w:t>
      </w:r>
      <w:r>
        <w:t xml:space="preserve">, extends CAP-009) records the product-team-governed seed matrix initialised at 0, and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| ACTIVE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isSeed()</w:t>
      </w:r>
      <w:r>
        <w:t xml:space="preserve">; (c)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— new entity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(</w:t>
      </w:r>
      <w:r>
        <w:rPr>
          <w:bCs/>
          <w:b/>
        </w:rPr>
        <w:t xml:space="preserve">CAP-020/CAP-021</w:t>
      </w:r>
      <w:r>
        <w:t xml:space="preserve">) captures Availability-Set-VM ineligibility (CAP-020) and the deallocate/redeploy-to-AZ onboarding precondition (CAP-021), and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placementType</w:t>
      </w:r>
      <w:r>
        <w:t xml:space="preserve">; (d)</w:t>
      </w:r>
      <w:r>
        <w:t xml:space="preserve"> </w:t>
      </w:r>
      <w:r>
        <w:rPr>
          <w:bCs/>
          <w:b/>
        </w:rPr>
        <w:t xml:space="preserve">reactive discovery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CAP-024</w:t>
      </w:r>
      <w:r>
        <w:t xml:space="preserve"> </w:t>
      </w:r>
      <w:r>
        <w:t xml:space="preserve">auto-creates missing SKU/AZ reservations against the seed matrix and raises a scope-file governance item (reconciles CAP-019); (e)</w:t>
      </w:r>
      <w:r>
        <w:t xml:space="preserve"> </w:t>
      </w:r>
      <w:r>
        <w:rPr>
          <w:bCs/>
          <w:b/>
        </w:rPr>
        <w:t xml:space="preserve">even zone distribution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PLC-011</w:t>
      </w:r>
      <w:r>
        <w:t xml:space="preserve"> </w:t>
      </w:r>
      <w:r>
        <w:t xml:space="preserve">even ≈</w:t>
      </w:r>
      <w:r>
        <w:rPr>
          <w:rStyle w:val="VerbatimChar"/>
        </w:rPr>
        <w:t xml:space="preserve">1/zone_count</w:t>
      </w:r>
      <w:r>
        <w:t xml:space="preserve"> </w:t>
      </w:r>
      <w:r>
        <w:t xml:space="preserve">distribution + rebalancing (tolerance C-13, formula Appendix A.9). Enumerations added: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GovernanceStatus</w:t>
      </w:r>
      <w:r>
        <w:t xml:space="preserve">. The</w:t>
      </w:r>
      <w:r>
        <w:t xml:space="preserve"> </w:t>
      </w:r>
      <w:r>
        <w:rPr>
          <w:bCs/>
          <w:b/>
        </w:rPr>
        <w:t xml:space="preserve">region model is geography-aware</w:t>
      </w:r>
      <w:r>
        <w:t xml:space="preserve"> </w:t>
      </w:r>
      <w:r>
        <w:t xml:space="preserve">(US three-region Prod/CVAL/DR distinct; EU/Australia/Asia Pacific two-region with CVAL+DR co-located per PLC-010a;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Middle East cross-geo DR — Prod+CVAL co-located in a weighted-selected Middle East region, DR placed cross-geo in a weighted-selected Europe region per PLC-010b/DR-020, DEC-001 RESOLVED) — see ADR-001 v2.4. Authoritative schemas remain in the FDD and TDD.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presents</w:t>
      </w:r>
      <w:r>
        <w:t xml:space="preserve"> </w:t>
      </w:r>
      <w:r>
        <w:rPr>
          <w:bCs/>
          <w:b/>
        </w:rPr>
        <w:t xml:space="preserve">four comprehensive UML diagram sets</w:t>
      </w:r>
      <w:r>
        <w:t xml:space="preserve"> </w:t>
      </w:r>
      <w:r>
        <w:t xml:space="preserve">for the Azure Capacity Reservation Management Engine (ACRME). These diagrams serve as a</w:t>
      </w:r>
      <w:r>
        <w:t xml:space="preserve"> </w:t>
      </w:r>
      <w:r>
        <w:rPr>
          <w:bCs/>
          <w:b/>
        </w:rPr>
        <w:t xml:space="preserve">design-first tool</w:t>
      </w:r>
      <w:r>
        <w:t xml:space="preserve"> </w:t>
      </w:r>
      <w:r>
        <w:t xml:space="preserve">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Visualize the domain model</w:t>
      </w:r>
      <w:r>
        <w:t xml:space="preserve"> </w:t>
      </w:r>
      <w:r>
        <w:t xml:space="preserve">— core entities, relationships, and business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 operation tracking</w:t>
      </w:r>
      <w:r>
        <w:t xml:space="preserve"> </w:t>
      </w:r>
      <w:r>
        <w:t xml:space="preserve">— saga patterns, compensation chains, and audit trails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Define service boundaries</w:t>
      </w:r>
      <w:r>
        <w:t xml:space="preserve"> </w:t>
      </w:r>
      <w:r>
        <w:t xml:space="preserve">— interfaces, dependencies, and responsibilities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state machines</w:t>
      </w:r>
      <w:r>
        <w:t xml:space="preserve"> </w:t>
      </w:r>
      <w:r>
        <w:t xml:space="preserve">— engine mode, capacity increase requests, and emergency transfers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These diagrams are ~70% complete by design. They intentionally</w:t>
      </w:r>
      <w:r>
        <w:t xml:space="preserve"> </w:t>
      </w:r>
      <w:r>
        <w:rPr>
          <w:bCs/>
          <w:b/>
        </w:rPr>
        <w:t xml:space="preserve">surface gaps and unresolved design questions</w:t>
      </w:r>
      <w:r>
        <w:t xml:space="preserve"> </w:t>
      </w:r>
      <w:r>
        <w:t xml:space="preserve">that must be closed before implementation begins. Known gaps are explicitly called out in each diagram.</w:t>
      </w:r>
    </w:p>
    <w:p>
      <w:r>
        <w:pict>
          <v:rect style="width:0;height:1.5pt" o:hralign="center" o:hrstd="t" o:hr="t"/>
        </w:pict>
      </w:r>
    </w:p>
    <w:bookmarkEnd w:id="20"/>
    <w:bookmarkStart w:id="21" w:name="diagram-inventory"/>
    <w:p>
      <w:pPr>
        <w:pStyle w:val="Heading2"/>
      </w:pPr>
      <w:r>
        <w:t xml:space="preserve">Diagram Inventory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Domain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entities (CRG, Assignment, Policy, QuotaGroup, Snapshot, Increase, 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entity outlines complete; property types &amp; Cosmos schemas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Tracking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Saga, OperationRecord, compensation chains, VM_ImpactRecord, audit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saga pattern defined; compensation lambda structure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PlacementEngine, Reconciliation, Transfer, Quota, Sharing, Zone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— service boundaries clear; FastAPI contracts &amp; DTOs TBD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engine_mode, IncreaseRequest lifecycle, Transfer workflow (Tier 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— high-level states defined; transition guards &amp; recovery TBD (G-15/B-3 blocker)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Completeness:</w:t>
      </w:r>
      <w:r>
        <w:t xml:space="preserve"> </w:t>
      </w:r>
      <w:r>
        <w:t xml:space="preserve">68%</w:t>
      </w:r>
      <w:r>
        <w:br/>
      </w:r>
      <w:r>
        <w:rPr>
          <w:bCs/>
          <w:b/>
        </w:rPr>
        <w:t xml:space="preserve">Path to 100%:</w:t>
      </w:r>
      <w:r>
        <w:t xml:space="preserve"> </w:t>
      </w:r>
      <w:r>
        <w:t xml:space="preserve">Resolve design gaps (see below), define Cosmos schemas, build FastAPI contracts, close G-14/G-15 blockers</w:t>
      </w:r>
    </w:p>
    <w:p>
      <w:r>
        <w:pict>
          <v:rect style="width:0;height:1.5pt" o:hralign="center" o:hrstd="t" o:hr="t"/>
        </w:pict>
      </w:r>
    </w:p>
    <w:bookmarkEnd w:id="21"/>
    <w:bookmarkStart w:id="26" w:name="key-design-decisions-captured"/>
    <w:p>
      <w:pPr>
        <w:pStyle w:val="Heading2"/>
      </w:pPr>
      <w:r>
        <w:t xml:space="preserve">Key Design Decisions Captured</w:t>
      </w:r>
    </w:p>
    <w:bookmarkStart w:id="22" w:name="from-diagram-1-core-domain-model"/>
    <w:p>
      <w:pPr>
        <w:pStyle w:val="Heading3"/>
      </w:pPr>
      <w:r>
        <w:t xml:space="preserve">From Diagram 1 (Core Domain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Per-environment CRG structure — regional + per-AZ (v2.4, CAP-023)</w:t>
      </w:r>
      <w:r>
        <w:t xml:space="preserve"> </w:t>
      </w:r>
      <w:r>
        <w:t xml:space="preserve">— each environment (Prod, NonProd, DR) carries one</w:t>
      </w:r>
      <w:r>
        <w:t xml:space="preserve"> </w:t>
      </w:r>
      <w:r>
        <w:rPr>
          <w:bCs/>
          <w:b/>
        </w:rPr>
        <w:t xml:space="preserve">regional</w:t>
      </w:r>
      <w:r>
        <w:t xml:space="preserve"> </w:t>
      </w:r>
      <w:r>
        <w:t xml:space="preserve">CRG (</w:t>
      </w:r>
      <w:r>
        <w:rPr>
          <w:rStyle w:val="VerbatimChar"/>
        </w:rPr>
        <w:t xml:space="preserve">crg-&lt;env&gt;-&lt;region&gt;-reg</w:t>
      </w:r>
      <w:r>
        <w:t xml:space="preserve">) plus one CRG</w:t>
      </w:r>
      <w:r>
        <w:t xml:space="preserve"> </w:t>
      </w:r>
      <w:r>
        <w:rPr>
          <w:bCs/>
          <w:b/>
        </w:rPr>
        <w:t xml:space="preserve">per availability zone</w:t>
      </w:r>
      <w:r>
        <w:t xml:space="preserve"> </w:t>
      </w:r>
      <w:r>
        <w:t xml:space="preserve">(</w:t>
      </w:r>
      <w:r>
        <w:rPr>
          <w:rStyle w:val="VerbatimChar"/>
        </w:rPr>
        <w:t xml:space="preserve">az1/az2/az3</w:t>
      </w:r>
      <w:r>
        <w:t xml:space="preserve">), extending the earlier three-CRG (Prod/NonProd/DR) model.</w:t>
      </w:r>
      <w:r>
        <w:t xml:space="preserve"> </w:t>
      </w:r>
      <w:r>
        <w:rPr>
          <w:rStyle w:val="VerbatimChar"/>
        </w:rPr>
        <w:t xml:space="preserve">CapacityReservationGroup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crgScope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REGIONAL | ZONAL</w:t>
      </w:r>
      <w:r>
        <w:t xml:space="preserve">).</w:t>
      </w:r>
      <w:r>
        <w:t xml:space="preserve"> </w:t>
      </w:r>
      <w:r>
        <w:rPr>
          <w:rStyle w:val="VerbatimChar"/>
        </w:rPr>
        <w:t xml:space="preserve">CustomerRegionAssignment</w:t>
      </w:r>
      <w:r>
        <w:t xml:space="preserve"> </w:t>
      </w:r>
      <w:r>
        <w:t xml:space="preserve">continues to target the three environments; each environment now resolves to its regional + zonal CRG set. Naming is deterministic per OPS-006/C-12.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Single governed quota pool per region/quota family (v2.2, QUA-004)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QuotaPoolState</w:t>
      </w:r>
      <w:r>
        <w:t xml:space="preserve"> </w:t>
      </w:r>
      <w:r>
        <w:t xml:space="preserve">covers Prod + NonProd/CVAL + DR together;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), not physical group separation. The earlier</w:t>
      </w:r>
      <w:r>
        <w:t xml:space="preserve"> </w:t>
      </w:r>
      <w:r>
        <w:rPr>
          <w:rStyle w:val="VerbatimChar"/>
        </w:rPr>
        <w:t xml:space="preserve">QuotaGroupType.PROD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QuotaGroupType.NONPROD_DR_SHARED</w:t>
      </w:r>
      <w:r>
        <w:t xml:space="preserve"> </w:t>
      </w:r>
      <w:r>
        <w:rPr>
          <w:bCs/>
          <w:b/>
        </w:rPr>
        <w:t xml:space="preserve">two-group</w:t>
      </w:r>
      <w:r>
        <w:t xml:space="preserve"> </w:t>
      </w:r>
      <w:r>
        <w:t xml:space="preserve">model is retained only as a narrow Azure-limit / Prod-isolation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(ADR-002 v2.2).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v2.2 domain entities 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(PLC-003, first-placement authority),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(DR-018, reverse-of-seed driving max-not-sum sizing and standby activation),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(PLC-010, prevents CVAL/DR double-count). See the FDD Section 6 and TDD Section 6/Section 18 (diagram T5, T14) for full schemas.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v2.4 domain entities added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SeedMatrixEntry</w:t>
      </w:r>
      <w:r>
        <w:t xml:space="preserve"> </w:t>
      </w:r>
      <w:r>
        <w:t xml:space="preserve">(CAP-022, product-team-governed seed matrix initialised at 0, extends CAP-009) and</w:t>
      </w:r>
      <w:r>
        <w:t xml:space="preserve"> </w:t>
      </w:r>
      <w:r>
        <w:rPr>
          <w:rStyle w:val="VerbatimChar"/>
        </w:rPr>
        <w:t xml:space="preserve">ReservationEligibility</w:t>
      </w:r>
      <w:r>
        <w:t xml:space="preserve"> </w:t>
      </w:r>
      <w:r>
        <w:t xml:space="preserve">(CAP-020/CAP-021, Availability-Set-VM ineligibility + deallocate/redeploy-to-AZ onboarding precondition).</w:t>
      </w:r>
      <w:r>
        <w:t xml:space="preserve"> </w:t>
      </w:r>
      <w:r>
        <w:rPr>
          <w:rStyle w:val="VerbatimChar"/>
        </w:rPr>
        <w:t xml:space="preserve">CapacityReservation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reservationType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| 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isSeed()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placementType</w:t>
      </w:r>
      <w:r>
        <w:t xml:space="preserve">; reactive SKU/AZ discovery (CAP-024) auto-creates missing reservations against the seed matrix and raises a scope-file governance item. Even ≈</w:t>
      </w:r>
      <w:r>
        <w:rPr>
          <w:rStyle w:val="VerbatimChar"/>
        </w:rPr>
        <w:t xml:space="preserve">1/zone_count</w:t>
      </w:r>
      <w:r>
        <w:t xml:space="preserve"> </w:t>
      </w:r>
      <w:r>
        <w:t xml:space="preserve">zone distribution + rebalancing (PLC-011, tolerance C-13, formula Appendix A.9). See</w:t>
      </w:r>
      <w:r>
        <w:t xml:space="preserve"> </w:t>
      </w:r>
      <w:r>
        <w:rPr>
          <w:rStyle w:val="VerbatimChar"/>
        </w:rPr>
        <w:t xml:space="preserve">uml_01_core_domain_model.md</w:t>
      </w:r>
      <w:r>
        <w:t xml:space="preserve"> </w:t>
      </w:r>
      <w:r>
        <w:t xml:space="preserve">and TDD Section 6 for full schemas.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Placement scoring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contains weights (alpha, beta, gamma, delta, epsilon) for deterministic placement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Regional snapshot caching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with 5-min TTL, cached in Redis, persisted to Cosmos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Sharing relationships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SharingRelationship</w:t>
      </w:r>
      <w:r>
        <w:t xml:space="preserve"> </w:t>
      </w:r>
      <w:r>
        <w:t xml:space="preserve">tracks provider-consumer pairs; 100-consumer hard limit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ZoneMappingRecord</w:t>
      </w:r>
      <w:r>
        <w:t xml:space="preserve"> </w:t>
      </w:r>
      <w:r>
        <w:t xml:space="preserve">required for cross-subscription CRG sharing</w:t>
      </w:r>
    </w:p>
    <w:bookmarkEnd w:id="22"/>
    <w:bookmarkStart w:id="23" w:name="from-diagram-2-operation-tracking-model"/>
    <w:p>
      <w:pPr>
        <w:pStyle w:val="Heading3"/>
      </w:pPr>
      <w:r>
        <w:t xml:space="preserve">From Diagram 2 (Operation Tracking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Saga pattern for all mutations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compensation chain for rollback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impact audit trail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VM_ImpactRecord</w:t>
      </w:r>
      <w:r>
        <w:t xml:space="preserve"> </w:t>
      </w:r>
      <w:r>
        <w:t xml:space="preserve">created for every Tier 3 VM state change (immutable)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Incident-driven transfers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IncidentRecord</w:t>
      </w:r>
      <w:r>
        <w:t xml:space="preserve"> </w:t>
      </w:r>
      <w:r>
        <w:t xml:space="preserve">required to enable emergency capacity transfers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Append-only audit events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 </w:t>
      </w:r>
      <w:r>
        <w:t xml:space="preserve">for every state change, approval, mutation</w:t>
      </w:r>
    </w:p>
    <w:bookmarkEnd w:id="23"/>
    <w:bookmarkStart w:id="24" w:name="from-diagram-3-service-layer-model"/>
    <w:p>
      <w:pPr>
        <w:pStyle w:val="Heading3"/>
      </w:pPr>
      <w:r>
        <w:t xml:space="preserve">From Diagram 3 (Service Layer Model):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Placement engine</w:t>
      </w:r>
      <w:r>
        <w:t xml:space="preserve"> </w:t>
      </w:r>
      <w:r>
        <w:t xml:space="preserve">— Applies HC-1..HC-7 hard constraints, then weighted scoring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Reconciliation loop</w:t>
      </w:r>
      <w:r>
        <w:t xml:space="preserve"> </w:t>
      </w:r>
      <w:r>
        <w:t xml:space="preserve">— 6-min target interval (configurable, CAP-006); debounce guard (30-min cooldown) for auto-increase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Capacity transfer service</w:t>
      </w:r>
      <w:r>
        <w:t xml:space="preserve"> </w:t>
      </w:r>
      <w:r>
        <w:t xml:space="preserve">— ONLY callable when</w:t>
      </w:r>
      <w:r>
        <w:t xml:space="preserve"> </w:t>
      </w:r>
      <w:r>
        <w:rPr>
          <w:rStyle w:val="VerbatimChar"/>
        </w:rPr>
        <w:t xml:space="preserve">engine_mode == DR_EVENT_ACTIVE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Quota validation</w:t>
      </w:r>
      <w:r>
        <w:t xml:space="preserve"> </w:t>
      </w:r>
      <w:r>
        <w:t xml:space="preserve">— Pre-validates every mutating operation; enforces quota group floors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VM disassociation service</w:t>
      </w:r>
      <w:r>
        <w:t xml:space="preserve"> </w:t>
      </w:r>
      <w:r>
        <w:t xml:space="preserve">— Path B (default, VM keeps running) vs. Path A (deallocate, requires restart)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Zone mapping service</w:t>
      </w:r>
      <w:r>
        <w:t xml:space="preserve"> </w:t>
      </w:r>
      <w:r>
        <w:t xml:space="preserve">— Translates logical zones for cross-subscription deployments</w:t>
      </w:r>
    </w:p>
    <w:bookmarkEnd w:id="24"/>
    <w:bookmarkStart w:id="25" w:name="from-diagram-4-state-machines"/>
    <w:p>
      <w:pPr>
        <w:pStyle w:val="Heading3"/>
      </w:pPr>
      <w:r>
        <w:t xml:space="preserve">From Diagram 4 (State Machines):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Engine mode states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STEADY_STATE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FAILBACK_PENDING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MAINTENANCE_MODE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Increase request phases</w:t>
      </w:r>
      <w:r>
        <w:t xml:space="preserve"> </w:t>
      </w:r>
      <w:r>
        <w:t xml:space="preserve">— Phase A (approval-gated), Phase B (auto-approve with headroom check)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Transfer tiers</w:t>
      </w:r>
      <w:r>
        <w:t xml:space="preserve"> </w:t>
      </w:r>
      <w:r>
        <w:t xml:space="preserve">— Tier 1 (additive), Tier 2 (quota-neutral), Tier 3 (destructive, dual-approval)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Compensation on failure</w:t>
      </w:r>
      <w:r>
        <w:t xml:space="preserve"> </w:t>
      </w:r>
      <w:r>
        <w:t xml:space="preserve">— Every transfer state has defined compensation path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c038907ae0a0a4ca94a4e505855ecefaff56536"/>
    <w:p>
      <w:pPr>
        <w:pStyle w:val="Heading2"/>
      </w:pPr>
      <w:r>
        <w:t xml:space="preserve">Critical Gaps Identified (Must Resolve Before Implementation)</w:t>
      </w:r>
    </w:p>
    <w:bookmarkStart w:id="27" w:name="X6ba53fa08d0fb991c322a2b0e9f0a028e969f79"/>
    <w:p>
      <w:pPr>
        <w:pStyle w:val="Heading3"/>
      </w:pPr>
      <w:r>
        <w:t xml:space="preserve">Production Blockers (Cannot Deploy Until Resolved)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credential model 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VM disassociation cannot execute without write access to consumer VMs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Select UAMI vs. Service Principal; test in consumer subscription; security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G-15 / 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mode state machine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implement</w:t>
            </w:r>
            <w:r>
              <w:t xml:space="preserve"> </w:t>
            </w:r>
            <w:r>
              <w:rPr>
                <w:rStyle w:val="VerbatimChar"/>
              </w:rPr>
              <w:t xml:space="preserve">engine_mode</w:t>
            </w:r>
            <w:r>
              <w:t xml:space="preserve"> </w:t>
            </w:r>
            <w:r>
              <w:t xml:space="preserve">transitions without authoritative guards, concurrency controls, recovery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session: Define transition table, operator API contracts, crash recovery, audit trail</w:t>
            </w:r>
          </w:p>
        </w:tc>
      </w:tr>
    </w:tbl>
    <w:bookmarkEnd w:id="27"/>
    <w:bookmarkStart w:id="28" w:name="X862ddf75f19075323545be3857b1245d1a345d2"/>
    <w:p>
      <w:pPr>
        <w:pStyle w:val="Heading3"/>
      </w:pPr>
      <w:r>
        <w:t xml:space="preserve">High-Priority Design Gaps (Block Full Implementation)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 Schemas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Cosmos DB schemas (partition keys, indexes, TTL)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entity: define PK, partition key, secondary indexes, TTL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Compensation Lambdas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structure of compensation functions TBD (Python callable? Azure Function?)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compensation action signature, retry semantics, idempotency guarantees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FastAPI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signatures, DTOs, auth/RBAC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service: define request/response models, validation rules, RBAC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Placement Hard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HC-1..HC-7 exact predicate logic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each constraint as testable predicate; validate against POC workbook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Quota Formula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of double-counting (R-39); exact Azure Quota API semantics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against live Azure quota API; document exact formula per SKU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Dual Approval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2/3 require dual approval; exact mechanism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 integration? Inline API? Approval timeout policy?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Escalation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Tier 1 failure auto-escalate to Tier 2?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decision tree; operator-gated vs. auto-escalate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VMSS Phase 1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detect and reject VMSS for Tier 3?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type check; error message; Phase 2 roadmap</w:t>
            </w:r>
          </w:p>
        </w:tc>
      </w:tr>
    </w:tbl>
    <w:bookmarkEnd w:id="28"/>
    <w:bookmarkStart w:id="29" w:name="X8d4cce03736bd32a7ea6e59717aa0324bc5e7f0"/>
    <w:p>
      <w:pPr>
        <w:pStyle w:val="Heading3"/>
      </w:pPr>
      <w:r>
        <w:t xml:space="preserve">Medium-Priority Design Questions (Refinement Needed)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Concurrent placement race (B-7):</w:t>
      </w:r>
      <w:r>
        <w:t xml:space="preserve"> </w:t>
      </w:r>
      <w:r>
        <w:t xml:space="preserve">How to prevent two placements from selecting same region before either commits?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Snapshot staleness:</w:t>
      </w:r>
      <w:r>
        <w:t xml:space="preserve"> </w:t>
      </w:r>
      <w:r>
        <w:t xml:space="preserve">ARG can be minutes behind ARM; acceptable staleness threshold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Reconciliation drift policy:</w:t>
      </w:r>
      <w:r>
        <w:t xml:space="preserve"> </w:t>
      </w:r>
      <w:r>
        <w:t xml:space="preserve">When drift detected, auto-revert? Alert-only? Maintenance mode?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Retry strategy:</w:t>
      </w:r>
      <w:r>
        <w:t xml:space="preserve"> </w:t>
      </w:r>
      <w:r>
        <w:t xml:space="preserve">Max retries, backoff algorithm, dead-letter handling for failed operations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Compensation rollback:</w:t>
      </w:r>
      <w:r>
        <w:t xml:space="preserve"> </w:t>
      </w:r>
      <w:r>
        <w:t xml:space="preserve">If compensation itself fails, manual SOP TBD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Auto-increase Phase A → B:</w:t>
      </w:r>
      <w:r>
        <w:t xml:space="preserve"> </w:t>
      </w:r>
      <w:r>
        <w:t xml:space="preserve">Exact criteria for auto-approve vs. approval-gated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how-to-use-these-diagrams"/>
    <w:p>
      <w:pPr>
        <w:pStyle w:val="Heading2"/>
      </w:pPr>
      <w:r>
        <w:t xml:space="preserve">How to Use These Diagrams</w:t>
      </w:r>
    </w:p>
    <w:bookmarkStart w:id="31" w:name="as-a-design-review-tool"/>
    <w:p>
      <w:pPr>
        <w:pStyle w:val="Heading3"/>
      </w:pPr>
      <w:r>
        <w:t xml:space="preserve">1. As a Design Review Tool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stakeholders:</w:t>
      </w:r>
      <w:r>
        <w:t xml:space="preserve"> </w:t>
      </w:r>
      <w:r>
        <w:t xml:space="preserve">Visual overview of system architecture and data flows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architects:</w:t>
      </w:r>
      <w:r>
        <w:t xml:space="preserve"> </w:t>
      </w:r>
      <w:r>
        <w:t xml:space="preserve">Identifies relationships, dependencies, and design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For engineers:</w:t>
      </w:r>
      <w:r>
        <w:t xml:space="preserve"> </w:t>
      </w:r>
      <w:r>
        <w:t xml:space="preserve">Surfaces exact questions that must be answered before coding</w:t>
      </w:r>
    </w:p>
    <w:bookmarkEnd w:id="31"/>
    <w:bookmarkStart w:id="32" w:name="as-a-gap-driven-design-session-roadmap"/>
    <w:p>
      <w:pPr>
        <w:pStyle w:val="Heading3"/>
      </w:pPr>
      <w:r>
        <w:t xml:space="preserve">2. As a Gap-Driven Design Session Roadmap</w:t>
      </w:r>
    </w:p>
    <w:p>
      <w:pPr>
        <w:pStyle w:val="FirstParagraph"/>
      </w:pPr>
      <w:r>
        <w:t xml:space="preserve">Each diagram explicitly calls out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Known Gaps</w:t>
      </w:r>
      <w:r>
        <w:rPr>
          <w:bCs/>
          <w:b/>
        </w:rPr>
        <w:t xml:space="preserve">”</w:t>
      </w:r>
      <w:r>
        <w:t xml:space="preserve"> </w:t>
      </w:r>
      <w:r>
        <w:t xml:space="preserve">sections. Use these to drive focused design sessions:</w:t>
      </w:r>
    </w:p>
    <w:p>
      <w:pPr>
        <w:pStyle w:val="BodyText"/>
      </w:pPr>
      <w:r>
        <w:rPr>
          <w:bCs/>
          <w:b/>
        </w:rPr>
        <w:t xml:space="preserve">Session 1: G-15/B-3 Engine Mode State Machine</w:t>
      </w:r>
      <w:r>
        <w:t xml:space="preserve"> </w:t>
      </w:r>
      <w:r>
        <w:t xml:space="preserve">- Input: Diagram 4, Section 4.1</w:t>
      </w:r>
      <w:r>
        <w:t xml:space="preserve"> </w:t>
      </w:r>
      <w:r>
        <w:t xml:space="preserve">- Output: Authoritative transition table, operator API contracts, concurrency controls</w:t>
      </w:r>
      <w:r>
        <w:t xml:space="preserve"> </w:t>
      </w:r>
      <w:r>
        <w:t xml:space="preserve">- Acceptance: POC-46 unblocked, B-3 resolved</w:t>
      </w:r>
    </w:p>
    <w:p>
      <w:pPr>
        <w:pStyle w:val="BodyText"/>
      </w:pPr>
      <w:r>
        <w:rPr>
          <w:bCs/>
          <w:b/>
        </w:rPr>
        <w:t xml:space="preserve">Session 2: G-14 Consumer Credential Model</w:t>
      </w:r>
      <w:r>
        <w:t xml:space="preserve"> </w:t>
      </w:r>
      <w:r>
        <w:t xml:space="preserve">- Input: Diagram 2 (VM_ImpactRecord), Diagram 3 (VMDisassociationService)</w:t>
      </w:r>
      <w:r>
        <w:t xml:space="preserve"> </w:t>
      </w:r>
      <w:r>
        <w:t xml:space="preserve">- Output: Selected credential model (UAMI vs. SP), custom RBAC role, customer consent workflow</w:t>
      </w:r>
      <w:r>
        <w:t xml:space="preserve"> </w:t>
      </w:r>
      <w:r>
        <w:t xml:space="preserve">- Acceptance: POC-50 Tier 3 steps unblocked, security approval granted</w:t>
      </w:r>
    </w:p>
    <w:p>
      <w:pPr>
        <w:pStyle w:val="BodyText"/>
      </w:pPr>
      <w:r>
        <w:rPr>
          <w:bCs/>
          <w:b/>
        </w:rPr>
        <w:t xml:space="preserve">Session 3: Entity Schemas &amp; Cosmos DB Design</w:t>
      </w:r>
      <w:r>
        <w:t xml:space="preserve"> </w:t>
      </w:r>
      <w:r>
        <w:t xml:space="preserve">- Input: Diagram 1 (all entities)</w:t>
      </w:r>
      <w:r>
        <w:t xml:space="preserve"> </w:t>
      </w:r>
      <w:r>
        <w:t xml:space="preserve">- Output: Complete Cosmos schemas with partition keys, indexes, TTL</w:t>
      </w:r>
      <w:r>
        <w:t xml:space="preserve"> </w:t>
      </w:r>
      <w:r>
        <w:t xml:space="preserve">- Acceptance: Can provision Cosmos containers; schema versioning strategy defined</w:t>
      </w:r>
    </w:p>
    <w:p>
      <w:pPr>
        <w:pStyle w:val="BodyText"/>
      </w:pPr>
      <w:r>
        <w:rPr>
          <w:bCs/>
          <w:b/>
        </w:rPr>
        <w:t xml:space="preserve">Session 4: Service Contracts &amp; FastAPI Routes</w:t>
      </w:r>
      <w:r>
        <w:t xml:space="preserve"> </w:t>
      </w:r>
      <w:r>
        <w:t xml:space="preserve">- Input: Diagram 3 (all services)</w:t>
      </w:r>
      <w:r>
        <w:t xml:space="preserve"> </w:t>
      </w:r>
      <w:r>
        <w:t xml:space="preserve">- Output: Request/response DTOs, endpoint signatures, RBAC roles</w:t>
      </w:r>
      <w:r>
        <w:t xml:space="preserve"> </w:t>
      </w:r>
      <w:r>
        <w:t xml:space="preserve">- Acceptance: OpenAPI spec generated; can build API stubs</w:t>
      </w:r>
    </w:p>
    <w:bookmarkEnd w:id="32"/>
    <w:bookmarkStart w:id="33" w:name="as-a-living-design-document"/>
    <w:p>
      <w:pPr>
        <w:pStyle w:val="Heading3"/>
      </w:pPr>
      <w:r>
        <w:t xml:space="preserve">3. As a Living Design Document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 as decisions are made:</w:t>
      </w:r>
      <w:r>
        <w:t xml:space="preserve"> </w:t>
      </w:r>
      <w:r>
        <w:t xml:space="preserve">When G-14 resolved, update Diagram 2/3 with selected credential model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Refine property types:</w:t>
      </w:r>
      <w:r>
        <w:t xml:space="preserve"> </w:t>
      </w:r>
      <w:r>
        <w:t xml:space="preserve">As Cosmos schemas finalized, update Diagram 1 with exact types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Commit diagrams to Git; review in PRs before implementation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lationships-to-other-artifacts"/>
    <w:p>
      <w:pPr>
        <w:pStyle w:val="Heading2"/>
      </w:pPr>
      <w:r>
        <w:t xml:space="preserve">Relationships to Other Artifacts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Readiness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Identifies gaps G-14, G-15, B-3, B-7; UML diagrams visualize these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POC Test Workbook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entities map to POC test scenarios (e.g.,</w:t>
            </w:r>
            <w:r>
              <w:t xml:space="preserve"> </w:t>
            </w:r>
            <w:r>
              <w:rPr>
                <w:rStyle w:val="VerbatimChar"/>
              </w:rPr>
              <w:t xml:space="preserve">CustomerRegionAssignment</w:t>
            </w:r>
            <w:r>
              <w:t xml:space="preserve"> </w:t>
            </w:r>
            <w:r>
              <w:t xml:space="preserve">→ POC-34..41)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 Diagrams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High-level visual flows; UML provides detailed class/service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Automation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services map to test groups (e.g.,</w:t>
            </w:r>
            <w:r>
              <w:t xml:space="preserve"> </w:t>
            </w:r>
            <w:r>
              <w:rPr>
                <w:rStyle w:val="VerbatimChar"/>
              </w:rPr>
              <w:t xml:space="preserve">SharingManagementService</w:t>
            </w:r>
            <w:r>
              <w:t xml:space="preserve"> </w:t>
            </w:r>
            <w:r>
              <w:t xml:space="preserve">→ G2 tests)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diagram-source-files"/>
    <w:p>
      <w:pPr>
        <w:pStyle w:val="Heading2"/>
      </w:pPr>
      <w:r>
        <w:t xml:space="preserve">Diagram Source Files</w:t>
      </w:r>
    </w:p>
    <w:p>
      <w:pPr>
        <w:pStyle w:val="FirstParagraph"/>
      </w:pPr>
      <w:r>
        <w:t xml:space="preserve">All diagrams are stored in</w:t>
      </w:r>
      <w:r>
        <w:t xml:space="preserve"> </w:t>
      </w:r>
      <w:r>
        <w:rPr>
          <w:rStyle w:val="VerbatimChar"/>
        </w:rPr>
        <w:t xml:space="preserve">/Design/</w:t>
      </w:r>
      <w:r>
        <w:t xml:space="preserve"> </w:t>
      </w:r>
      <w:r>
        <w:t xml:space="preserve">as Markdown + Mermaid: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uml_01_core_domain_model.md</w:t>
      </w:r>
      <w:r>
        <w:t xml:space="preserve"> </w:t>
      </w:r>
      <w:r>
        <w:t xml:space="preserve">— Entities, relationships, enumerations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uml_02_operation_tracking_model.md</w:t>
      </w:r>
      <w:r>
        <w:t xml:space="preserve"> </w:t>
      </w:r>
      <w:r>
        <w:t xml:space="preserve">— Saga, compensation, audit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uml_03_service_layer_model.md</w:t>
      </w:r>
      <w:r>
        <w:t xml:space="preserve"> </w:t>
      </w:r>
      <w:r>
        <w:t xml:space="preserve">— Services, interfaces, dependencies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uml_04_state_machines.md</w:t>
      </w:r>
      <w:r>
        <w:t xml:space="preserve"> </w:t>
      </w:r>
      <w:r>
        <w:t xml:space="preserve">— Engine mode, IncreaseRequest, Transfer workflows</w:t>
      </w:r>
    </w:p>
    <w:p>
      <w:pPr>
        <w:pStyle w:val="FirstParagraph"/>
      </w:pPr>
      <w:r>
        <w:rPr>
          <w:bCs/>
          <w:b/>
        </w:rPr>
        <w:t xml:space="preserve">Rendering:</w:t>
      </w:r>
      <w:r>
        <w:t xml:space="preserve"> </w:t>
      </w:r>
      <w:r>
        <w:t xml:space="preserve">GitHub renders Mermaid natively in Markdown preview. For presentation, convert to PNG/SVG via</w:t>
      </w:r>
      <w:r>
        <w:t xml:space="preserve"> </w:t>
      </w:r>
      <w:r>
        <w:rPr>
          <w:rStyle w:val="VerbatimChar"/>
        </w:rPr>
        <w:t xml:space="preserve">mmdc</w:t>
      </w:r>
      <w:r>
        <w:t xml:space="preserve"> </w:t>
      </w:r>
      <w:r>
        <w:t xml:space="preserve">CLI or Mermaid Live Editor.</w:t>
      </w:r>
    </w:p>
    <w:p>
      <w:r>
        <w:pict>
          <v:rect style="width:0;height:1.5pt" o:hralign="center" o:hrstd="t" o:hr="t"/>
        </w:pict>
      </w:r>
    </w:p>
    <w:bookmarkEnd w:id="36"/>
    <w:bookmarkStart w:id="41" w:name="next-steps"/>
    <w:p>
      <w:pPr>
        <w:pStyle w:val="Heading2"/>
      </w:pPr>
      <w:r>
        <w:t xml:space="preserve">Next Steps</w:t>
      </w:r>
    </w:p>
    <w:bookmarkStart w:id="37" w:name="immediate-week-1"/>
    <w:p>
      <w:pPr>
        <w:pStyle w:val="Heading3"/>
      </w:pPr>
      <w:r>
        <w:t xml:space="preserve">Immediate (Week 1):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G-15/B-3 Design Session</w:t>
      </w:r>
      <w:r>
        <w:t xml:space="preserve"> </w:t>
      </w:r>
      <w:r>
        <w:t xml:space="preserve">— Resolve engine mode state machine (unblocks POC-46, resolves B-3)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G-14 Design Session</w:t>
      </w:r>
      <w:r>
        <w:t xml:space="preserve"> </w:t>
      </w:r>
      <w:r>
        <w:t xml:space="preserve">— Select credential model for Tier 3 VM disassociation (unblocks POC-50)</w:t>
      </w:r>
    </w:p>
    <w:bookmarkEnd w:id="37"/>
    <w:bookmarkStart w:id="38" w:name="short-term-week-2-3"/>
    <w:p>
      <w:pPr>
        <w:pStyle w:val="Heading3"/>
      </w:pPr>
      <w:r>
        <w:t xml:space="preserve">Short-Term (Week 2-3):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Entity Schema Definition</w:t>
      </w:r>
      <w:r>
        <w:t xml:space="preserve"> </w:t>
      </w:r>
      <w:r>
        <w:t xml:space="preserve">— Complete Cosmos DB schemas for all Diagram 1 entities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Contract Definition</w:t>
      </w:r>
      <w:r>
        <w:t xml:space="preserve"> </w:t>
      </w:r>
      <w:r>
        <w:t xml:space="preserve">— FastAPI DTOs, endpoint signatures, RBAC roles for all Diagram 3 services</w:t>
      </w:r>
    </w:p>
    <w:bookmarkEnd w:id="38"/>
    <w:bookmarkStart w:id="39" w:name="medium-term-week-4-6"/>
    <w:p>
      <w:pPr>
        <w:pStyle w:val="Heading3"/>
      </w:pPr>
      <w:r>
        <w:t xml:space="preserve">Medium-Term (Week 4-6):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Compensation Lambda Implementation</w:t>
      </w:r>
      <w:r>
        <w:t xml:space="preserve"> </w:t>
      </w:r>
      <w:r>
        <w:t xml:space="preserve">— Build saga framework with retry, idempotency, dead-letter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Machine Implementation</w:t>
      </w:r>
      <w:r>
        <w:t xml:space="preserve"> </w:t>
      </w:r>
      <w:r>
        <w:t xml:space="preserve">— Code engine mode, IncreaseRequest, Transfer workflows with tests</w:t>
      </w:r>
    </w:p>
    <w:bookmarkEnd w:id="39"/>
    <w:bookmarkStart w:id="40" w:name="long-term-post-mvp"/>
    <w:p>
      <w:pPr>
        <w:pStyle w:val="Heading3"/>
      </w:pPr>
      <w:r>
        <w:t xml:space="preserve">Long-Term (Post-MVP):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VMSS Phase 2 Support</w:t>
      </w:r>
      <w:r>
        <w:t xml:space="preserve"> </w:t>
      </w:r>
      <w:r>
        <w:t xml:space="preserve">— Extend VM disassociation to handle VMSS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Auto-Increase Phase B</w:t>
      </w:r>
      <w:r>
        <w:t xml:space="preserve"> </w:t>
      </w:r>
      <w:r>
        <w:t xml:space="preserve">— Implement self-managed auto-approve logic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Multi-SKU Placement</w:t>
      </w:r>
      <w:r>
        <w:t xml:space="preserve"> </w:t>
      </w:r>
      <w:r>
        <w:t xml:space="preserve">— Extend placement formulas for SKU-dimensional demand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Before marking diagrams as</w:t>
      </w:r>
      <w:r>
        <w:t xml:space="preserve"> </w:t>
      </w:r>
      <w:r>
        <w:t xml:space="preserve">“</w:t>
      </w:r>
      <w:r>
        <w:t xml:space="preserve">implementation-ready</w:t>
      </w:r>
      <w:r>
        <w:t xml:space="preserve">”</w:t>
      </w:r>
      <w:r>
        <w:t xml:space="preserve"> </w:t>
      </w:r>
      <w:r>
        <w:t xml:space="preserve">(100% complete):</w:t>
      </w:r>
    </w:p>
    <w:p>
      <w:pPr>
        <w:numPr>
          <w:ilvl w:val="0"/>
          <w:numId w:val="1010"/>
        </w:numPr>
        <w:pStyle w:val="Compact"/>
      </w:pPr>
      <w:r>
        <w:t xml:space="preserve">☐ All entity properties have exact types (String, Int, DateTime, etc.)</w:t>
      </w:r>
    </w:p>
    <w:p>
      <w:pPr>
        <w:numPr>
          <w:ilvl w:val="0"/>
          <w:numId w:val="1010"/>
        </w:numPr>
        <w:pStyle w:val="Compact"/>
      </w:pPr>
      <w:r>
        <w:t xml:space="preserve">☐ All Cosmos DB partition keys, indexes, TTL policies defined</w:t>
      </w:r>
    </w:p>
    <w:p>
      <w:pPr>
        <w:numPr>
          <w:ilvl w:val="0"/>
          <w:numId w:val="1010"/>
        </w:numPr>
        <w:pStyle w:val="Compact"/>
      </w:pPr>
      <w:r>
        <w:t xml:space="preserve">☐ All service methods have FastAPI DTOs (request/response models)</w:t>
      </w:r>
    </w:p>
    <w:p>
      <w:pPr>
        <w:numPr>
          <w:ilvl w:val="0"/>
          <w:numId w:val="1010"/>
        </w:numPr>
        <w:pStyle w:val="Compact"/>
      </w:pPr>
      <w:r>
        <w:t xml:space="preserve">☐ All state machine transitions have guards, events, approver requirements</w:t>
      </w:r>
    </w:p>
    <w:p>
      <w:pPr>
        <w:numPr>
          <w:ilvl w:val="0"/>
          <w:numId w:val="1010"/>
        </w:numPr>
        <w:pStyle w:val="Compact"/>
      </w:pPr>
      <w:r>
        <w:t xml:space="preserve">☐ All compensation actions have idempotent lambda signatures</w:t>
      </w:r>
    </w:p>
    <w:p>
      <w:pPr>
        <w:numPr>
          <w:ilvl w:val="0"/>
          <w:numId w:val="1010"/>
        </w:numPr>
        <w:pStyle w:val="Compact"/>
      </w:pPr>
      <w:r>
        <w:t xml:space="preserve">☐ G-14 and G-15/B-3 production blockers resolved</w:t>
      </w:r>
    </w:p>
    <w:p>
      <w:pPr>
        <w:numPr>
          <w:ilvl w:val="0"/>
          <w:numId w:val="1010"/>
        </w:numPr>
        <w:pStyle w:val="Compact"/>
      </w:pPr>
      <w:r>
        <w:t xml:space="preserve">☐ All</w:t>
      </w:r>
      <w:r>
        <w:t xml:space="preserve"> </w:t>
      </w:r>
      <w:r>
        <w:t xml:space="preserve">“</w:t>
      </w:r>
      <w:r>
        <w:t xml:space="preserve">TBD</w:t>
      </w:r>
      <w:r>
        <w:t xml:space="preserve">”</w:t>
      </w:r>
      <w:r>
        <w:t xml:space="preserve"> </w:t>
      </w:r>
      <w:r>
        <w:t xml:space="preserve">markers in diagrams replaced with concrete decisions</w:t>
      </w:r>
    </w:p>
    <w:p>
      <w:pPr>
        <w:numPr>
          <w:ilvl w:val="0"/>
          <w:numId w:val="1010"/>
        </w:numPr>
        <w:pStyle w:val="Compact"/>
      </w:pPr>
      <w:r>
        <w:t xml:space="preserve">☐ Diagrams reviewed and approved by architecture council</w:t>
      </w:r>
    </w:p>
    <w:p>
      <w:r>
        <w:pict>
          <v:rect style="width:0;height:1.5pt" o:hralign="center" o:hrstd="t" o:hr="t"/>
        </w:pict>
      </w:r>
    </w:p>
    <w:bookmarkEnd w:id="42"/>
    <w:bookmarkStart w:id="4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These UML class diagrams provide a</w:t>
      </w:r>
      <w:r>
        <w:t xml:space="preserve"> </w:t>
      </w:r>
      <w:r>
        <w:rPr>
          <w:bCs/>
          <w:b/>
        </w:rPr>
        <w:t xml:space="preserve">solid 70% foundation</w:t>
      </w:r>
      <w:r>
        <w:t xml:space="preserve"> </w:t>
      </w:r>
      <w:r>
        <w:t xml:space="preserve">for ACRME implementation. They capture known design decisions, visualize relationships, and — most importantly —</w:t>
      </w:r>
      <w:r>
        <w:t xml:space="preserve"> </w:t>
      </w:r>
      <w:r>
        <w:rPr>
          <w:bCs/>
          <w:b/>
        </w:rPr>
        <w:t xml:space="preserve">explicitly surface the 30% of design work still required</w:t>
      </w:r>
      <w:r>
        <w:t xml:space="preserve">.</w:t>
      </w:r>
    </w:p>
    <w:p>
      <w:pPr>
        <w:pStyle w:val="BodyText"/>
      </w:pPr>
      <w:r>
        <w:t xml:space="preserve">The path to 100% is clear:</w:t>
      </w:r>
      <w:r>
        <w:t xml:space="preserve"> </w:t>
      </w:r>
      <w:r>
        <w:t xml:space="preserve">1. Resolve production blockers (G-14, G-15/B-3)</w:t>
      </w:r>
      <w:r>
        <w:t xml:space="preserve"> </w:t>
      </w:r>
      <w:r>
        <w:t xml:space="preserve">2. Define complete schemas and contracts</w:t>
      </w:r>
      <w:r>
        <w:t xml:space="preserve"> </w:t>
      </w:r>
      <w:r>
        <w:t xml:space="preserve">3. Build saga framework and state machines</w:t>
      </w:r>
      <w:r>
        <w:t xml:space="preserve"> </w:t>
      </w:r>
      <w:r>
        <w:t xml:space="preserve">4. Validate against POC workbook</w:t>
      </w:r>
    </w:p>
    <w:p>
      <w:pPr>
        <w:pStyle w:val="BodyText"/>
      </w:pPr>
      <w:r>
        <w:rPr>
          <w:bCs/>
          <w:b/>
        </w:rPr>
        <w:t xml:space="preserve">Use these diagrams as living design tools, not static documentation.</w:t>
      </w:r>
      <w:r>
        <w:t xml:space="preserve"> </w:t>
      </w:r>
      <w:r>
        <w:t xml:space="preserve">Update them as decisions are made, and they will remain the authoritative source of truth for ACRME’s domain model and architecture.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2026-09-17T16:11:57Z</dcterms:created>
  <dcterms:modified xsi:type="dcterms:W3CDTF">2026-09-17T16:11:57Z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