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— this is one of four standalone ADRs split from the consolidated ADR set.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single significant architectural decision, the context that forced it, the options considered, the choice made, and its consequences. ADRs are immutable once accepted — a superseding decision is recorded as a new ADR rather than editing the original.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(see Appendix).</w:t>
      </w:r>
    </w:p>
    <w:p>
      <w:r>
        <w:pict>
          <v:rect style="width:0;height:1.5pt" o:hralign="center" o:hrstd="t" o:hr="t"/>
        </w:pict>
      </w:r>
    </w:p>
    <w:bookmarkStart w:id="31" w:name="Xb03910cb3c9a0c0ecb9b813c5fa342521392efc"/>
    <w:p>
      <w:pPr>
        <w:pStyle w:val="Heading1"/>
      </w:pPr>
      <w:r>
        <w:t xml:space="preserve">ADR-003 — Capacity Management during Disaster Recovery (DR)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DR Owner, Platform Engineering, Security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D8, D10, D11; HC-1, HC-4, HC-6; G-14, G-15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§Emergency Capacity Transfer;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§29</w:t>
      </w:r>
    </w:p>
    <w:bookmarkStart w:id="2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When a primary region fails, customers must recover in their DR region within a committed RTO. Pre-positioning a full 1:1 DR reserve is prohibitively expensive, yet under-provisioning risks a failed failover. During a crisis, waiting on Azure quota-increase approvals (hours) is unacceptable. The engine must also strictly separate</w:t>
      </w:r>
      <w:r>
        <w:t xml:space="preserve"> </w:t>
      </w:r>
      <w:r>
        <w:rPr>
          <w:bCs/>
          <w:b/>
        </w:rPr>
        <w:t xml:space="preserve">routine growth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destructive crisis operations</w:t>
      </w:r>
      <w:r>
        <w:t xml:space="preserve"> </w:t>
      </w:r>
      <w:r>
        <w:t xml:space="preserve">so that reconciliation can never accidentally trigger VM disruption.</w:t>
      </w:r>
    </w:p>
    <w:p>
      <w:pPr>
        <w:pStyle w:val="BodyText"/>
      </w:pPr>
      <w:r>
        <w:t xml:space="preserve">Two capabilities are needed:</w:t>
      </w:r>
      <w:r>
        <w:t xml:space="preserve"> </w:t>
      </w:r>
      <w:r>
        <w:t xml:space="preserve">- A way to reuse otherwise-idle NonProd capacity as DR overflow.</w:t>
      </w:r>
      <w:r>
        <w:t xml:space="preserve"> </w:t>
      </w:r>
      <w:r>
        <w:t xml:space="preserve">- A safe, tiered escalation model for expanding DR capacity during a declared event.</w:t>
      </w:r>
    </w:p>
    <w:bookmarkEnd w:id="20"/>
    <w:bookmarkStart w:id="2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bCs/>
          <w:b/>
        </w:rPr>
        <w:t xml:space="preserve">NonProd/DR co-location with a coverage floor</w:t>
      </w:r>
      <w:r>
        <w:t xml:space="preserve">, a</w:t>
      </w:r>
      <w:r>
        <w:t xml:space="preserve"> </w:t>
      </w:r>
      <w:r>
        <w:rPr>
          <w:bCs/>
          <w:b/>
        </w:rPr>
        <w:t xml:space="preserve">formal two-mode engine state</w:t>
      </w:r>
      <w:r>
        <w:t xml:space="preserve">, and a</w:t>
      </w:r>
      <w:r>
        <w:t xml:space="preserve"> </w:t>
      </w:r>
      <w:r>
        <w:rPr>
          <w:bCs/>
          <w:b/>
        </w:rPr>
        <w:t xml:space="preserve">three-tier emergency transfer model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NonProd and DR may share a region (HC-1 constraint removed).</w:t>
      </w:r>
      <w:r>
        <w:t xml:space="preserve"> </w:t>
      </w:r>
      <w:r>
        <w:t xml:space="preserve">This lets the NonProd CRG’s</w:t>
      </w:r>
      <w:r>
        <w:t xml:space="preserve"> </w:t>
      </w:r>
      <w:r>
        <w:rPr>
          <w:rStyle w:val="VerbatimChar"/>
        </w:rPr>
        <w:t xml:space="preserve">effective_free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) count as DR overflow headroom.</w:t>
      </w:r>
      <w:r>
        <w:t xml:space="preserve"> </w:t>
      </w:r>
      <w:r>
        <w:rPr>
          <w:rStyle w:val="VerbatimChar"/>
        </w:rPr>
        <w:t xml:space="preserve">[Decided — D8]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HC-6 DR_COVERAGE_FLOOR</w:t>
      </w:r>
      <w:r>
        <w:t xml:space="preserve"> </w:t>
      </w:r>
      <w:r>
        <w:t xml:space="preserve">guarantees the combined pool can absorb demand before DR placement is accepted: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dr_crg_free_slots(R) + nonprod_crg_effective_free(R) ≥ prod_vm_count × dr_ratio_max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HC-4 DR_SEPARATION_CLASS</w:t>
      </w:r>
      <w:r>
        <w:t xml:space="preserve"> </w:t>
      </w:r>
      <w:r>
        <w:t xml:space="preserve">still guarantees Prod and DR sit in non-correlated failure domains (HIGH separation for non-paired regions).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Two separate operating systems gated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engine_mode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[Decided — D10]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  <w:bCs/>
          <w:b/>
        </w:rPr>
        <w:t xml:space="preserve">STEADY_STATE</w:t>
      </w:r>
      <w:r>
        <w:t xml:space="preserve"> </w:t>
      </w:r>
      <w:r>
        <w:t xml:space="preserve">— organic growth via the reconciliation loop and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(ADR-004). Emergency Transfer is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in this mode.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  <w:bCs/>
          <w:b/>
        </w:rPr>
        <w:t xml:space="preserve">DR_EVENT_ACTIVE</w:t>
      </w:r>
      <w:r>
        <w:t xml:space="preserve"> </w:t>
      </w:r>
      <w:r>
        <w:t xml:space="preserve">— crisis operations only. The auto-increase trigger is</w:t>
      </w:r>
      <w:r>
        <w:t xml:space="preserve"> </w:t>
      </w:r>
      <w:r>
        <w:rPr>
          <w:bCs/>
          <w:b/>
        </w:rPr>
        <w:t xml:space="preserve">suppressed</w:t>
      </w:r>
      <w:r>
        <w:t xml:space="preserve"> </w:t>
      </w:r>
      <w:r>
        <w:t xml:space="preserve">in this mode. Mode transitions are operator-gated with dual approval (state machine</w:t>
      </w:r>
      <w:r>
        <w:t xml:space="preserve"> </w:t>
      </w:r>
      <w:r>
        <w:rPr>
          <w:rStyle w:val="VerbatimChar"/>
        </w:rPr>
        <w:t xml:space="preserve">EngineModeState</w:t>
      </w:r>
      <w:r>
        <w:t xml:space="preserve">, PRR §29), never automatic.</w:t>
      </w:r>
      <w:r>
        <w:t xml:space="preserve"> </w:t>
      </w:r>
      <w:r>
        <w:rPr>
          <w:rStyle w:val="VerbatimChar"/>
        </w:rPr>
        <w:t xml:space="preserve">[Decided — D10]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Three-tier Emergency Capacity Transfer escalation:</w:t>
      </w:r>
      <w:r>
        <w:t xml:space="preserve"> </w:t>
      </w:r>
      <w:r>
        <w:rPr>
          <w:rStyle w:val="VerbatimChar"/>
        </w:rPr>
        <w:t xml:space="preserve">[Decided — D11]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Tier 1 — DirectExpansion (automated):</w:t>
      </w:r>
      <w:r>
        <w:t xml:space="preserve"> </w:t>
      </w:r>
      <w:r>
        <w:t xml:space="preserve">expand DR CR quantity using free headroom in the DR group. No approval beyond DR-event declaration.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Tier 2 — QuotaNeutralTransfer (policy-gated):</w:t>
      </w:r>
      <w:r>
        <w:t xml:space="preserve"> </w:t>
      </w:r>
      <w:r>
        <w:t xml:space="preserve">reduce a NonProd CR (releasing quota to the shared NonProd+DR group pool) and expand the DR CR from that same pool. Net group headroom change ≈ 0 —</w:t>
      </w:r>
      <w:r>
        <w:t xml:space="preserve"> </w:t>
      </w:r>
      <w:r>
        <w:rPr>
          <w:bCs/>
          <w:b/>
        </w:rPr>
        <w:t xml:space="preserve">quota-neutral, no VM execution-state change</w:t>
      </w:r>
      <w:r>
        <w:t xml:space="preserve"> </w:t>
      </w:r>
      <w:r>
        <w:t xml:space="preserve">(only NonProd SLA is removed). This is possible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because of the two-group model (ADR-002).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Tier 3 — DestructiveTransfer (dual approval + elevated RBAC):</w:t>
      </w:r>
      <w:r>
        <w:t xml:space="preserve"> </w:t>
      </w:r>
      <w:r>
        <w:t xml:space="preserve">the only tier that modifies VM-to-CRG associations. The operator supplies an explicit</w:t>
      </w:r>
      <w:r>
        <w:t xml:space="preserve"> </w:t>
      </w:r>
      <w:r>
        <w:rPr>
          <w:rStyle w:val="VerbatimChar"/>
        </w:rPr>
        <w:t xml:space="preserve">vm_disassociation_list</w:t>
      </w:r>
      <w:r>
        <w:t xml:space="preserve"> </w:t>
      </w:r>
      <w:r>
        <w:t xml:space="preserve">(no automated VM selection in Phase 1); executed via 6-step Path B with Path A fallback per VM. VMSS entries are rejected in Phase 1.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Quota-neutral math (Tier 2):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NonProd CR reduction  → releases quota to shared NonProd+DR GROUP pool</w:t>
      </w:r>
      <w:r>
        <w:br/>
      </w:r>
      <w:r>
        <w:rPr>
          <w:rStyle w:val="VerbatimChar"/>
        </w:rPr>
        <w:t xml:space="preserve">DR CR expansion       → consumes from the SAME pool</w:t>
      </w:r>
      <w:r>
        <w:br/>
      </w:r>
      <w:r>
        <w:rPr>
          <w:rStyle w:val="VerbatimChar"/>
        </w:rPr>
        <w:t xml:space="preserve">⇒ net group headroom change ≈ 0  (ARM operations only; no Azure quota approval)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DR reserve sizing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30–40%</w:t>
      </w:r>
      <w:r>
        <w:t xml:space="preserve"> </w:t>
      </w:r>
      <w:r>
        <w:t xml:space="preserve">of Prod (</w:t>
      </w:r>
      <w:r>
        <w:rPr>
          <w:rStyle w:val="VerbatimChar"/>
        </w:rPr>
        <w:t xml:space="preserve">dr_ratio_min=0.30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dr_ratio_max=0.40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dr_ratio_target=0.35</w:t>
      </w:r>
      <w:r>
        <w:t xml:space="preserve">); the protected floor uses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(ADR-002/D7).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Phase-1 safety posture:</w:t>
      </w:r>
      <w:r>
        <w:t xml:space="preserve"> </w:t>
      </w:r>
      <w:r>
        <w:t xml:space="preserve">Tier 2 is approval-gated;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pending the G-14 consumer-credential model and G-15 engine-mode state machine. No invented SLA — propagation/approval times are measured and reported as unknown until observed.</w:t>
      </w:r>
    </w:p>
    <w:bookmarkStart w:id="21" w:name="full-engine-state-machine-normative"/>
    <w:p>
      <w:pPr>
        <w:pStyle w:val="Heading4"/>
      </w:pPr>
      <w:r>
        <w:t xml:space="preserve">Full Engine State Machine (normative)</w:t>
      </w:r>
    </w:p>
    <w:p>
      <w:pPr>
        <w:pStyle w:val="FirstParagraph"/>
      </w:pPr>
      <w:r>
        <w:rPr>
          <w:rStyle w:val="VerbatimChar"/>
        </w:rPr>
        <w:t xml:space="preserve">engine_mode</w:t>
      </w:r>
      <w:r>
        <w:t xml:space="preserve"> </w:t>
      </w:r>
      <w:r>
        <w:t xml:space="preserve">is not a two-value flag but a</w:t>
      </w:r>
      <w:r>
        <w:t xml:space="preserve"> </w:t>
      </w:r>
      <w:r>
        <w:rPr>
          <w:bCs/>
          <w:b/>
        </w:rPr>
        <w:t xml:space="preserve">five-state machine</w:t>
      </w:r>
      <w:r>
        <w:t xml:space="preserve"> </w:t>
      </w:r>
      <w:r>
        <w:t xml:space="preserve">persisted in Cosmos DB with conditional writes, transition guards, and recovery tests — a production blocker until implemented (G-15):</w:t>
      </w:r>
      <w:r>
        <w:t xml:space="preserve"> </w:t>
      </w:r>
      <w:r>
        <w:rPr>
          <w:rStyle w:val="VerbatimChar"/>
        </w:rPr>
        <w:t xml:space="preserve">[Documented — §29]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STEADY_STATE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Organic growth only; Emergency Transfer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DR_DECLARATION_PENDING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DR_DECLARATION_PENDING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requested, awaiting dual approval +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DR_EVENT_ACTIVE (approved) · → STEADY_STATE (rejected/expired)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DR_EVENT_ACTIVE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operations only; auto-increase suppressed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FAILBACK_PENDING · → INCIDENT_HOLD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FAILBACK_PENDING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Failback requested, being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STEADY_STATE (completed) · → DR_EVENT_ACTIVE (validation failed) · → INCIDENT_HOLD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INCIDENT_HOLD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conflict / critical failure — safe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DR_EVENT_ACTIVE · → FAILBACK_PENDING (on recovery approval)</w:t>
            </w:r>
          </w:p>
        </w:tc>
      </w:tr>
    </w:tbl>
    <w:p>
      <w:pPr>
        <w:pStyle w:val="BodyText"/>
      </w:pPr>
      <w:r>
        <w:t xml:space="preserve">All transitions are</w:t>
      </w:r>
      <w:r>
        <w:t xml:space="preserve"> </w:t>
      </w:r>
      <w:r>
        <w:rPr>
          <w:bCs/>
          <w:b/>
        </w:rPr>
        <w:t xml:space="preserve">operator-gated with dual approval</w:t>
      </w:r>
      <w:r>
        <w:t xml:space="preserve"> </w:t>
      </w:r>
      <w:r>
        <w:t xml:space="preserve">— never automatic.</w:t>
      </w:r>
    </w:p>
    <w:bookmarkEnd w:id="21"/>
    <w:bookmarkStart w:id="22" w:name="enginemodestate-entity"/>
    <w:p>
      <w:pPr>
        <w:pStyle w:val="Heading4"/>
      </w:pPr>
      <w:r>
        <w:rPr>
          <w:rStyle w:val="VerbatimChar"/>
        </w:rPr>
        <w:t xml:space="preserve">EngineModeState</w:t>
      </w:r>
      <w:r>
        <w:t xml:space="preserve"> </w:t>
      </w:r>
      <w:r>
        <w:t xml:space="preserve">Entity</w:t>
      </w:r>
    </w:p>
    <w:p>
      <w:pPr>
        <w:pStyle w:val="FirstParagraph"/>
      </w:pPr>
      <w:r>
        <w:t xml:space="preserve">Must carry: environment/control-plane scope · current mode · state version · incident ID · requested-by · approved-by · transition timestamp · transition reason · active operation IDs · lease owner + expiry · recovery checkpoint.</w:t>
      </w:r>
      <w:r>
        <w:t xml:space="preserve"> </w:t>
      </w:r>
      <w:r>
        <w:rPr>
          <w:rStyle w:val="VerbatimChar"/>
        </w:rPr>
        <w:t xml:space="preserve">[Documented — §29]</w:t>
      </w:r>
    </w:p>
    <w:bookmarkEnd w:id="22"/>
    <w:bookmarkStart w:id="23" w:name="dr-activation-semantics"/>
    <w:p>
      <w:pPr>
        <w:pStyle w:val="Heading4"/>
      </w:pPr>
      <w:r>
        <w:t xml:space="preserve">DR Activation Semantics</w:t>
      </w:r>
    </w:p>
    <w:p>
      <w:pPr>
        <w:pStyle w:val="FirstParagraph"/>
      </w:pPr>
      <w:r>
        <w:t xml:space="preserve">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rPr>
          <w:bCs/>
          <w:b/>
        </w:rPr>
        <w:t xml:space="preserve">only establishes the operating mode</w:t>
      </w:r>
      <w:r>
        <w:t xml:space="preserve"> </w:t>
      </w:r>
      <w:r>
        <w:t xml:space="preserve">in which separately-governed emergency operations may be evaluated —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authorize Tier 2 or Tier 3. Each tier is independently gated. The DR orchestrator validates group+subscription quota and CR/sharing state before starting any approved failover deployment, and records active-or-incident-hold state back to the state service.</w:t>
      </w:r>
      <w:r>
        <w:t xml:space="preserve"> </w:t>
      </w:r>
      <w:r>
        <w:rPr>
          <w:rStyle w:val="VerbatimChar"/>
        </w:rPr>
        <w:t xml:space="preserve">[Documented — §31]</w:t>
      </w:r>
    </w:p>
    <w:bookmarkEnd w:id="23"/>
    <w:bookmarkEnd w:id="24"/>
    <w:bookmarkStart w:id="25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Idle NonProd capacity doubles as DR overflow, cutting the cost of pre-positioned DR reserve while HC-6 guarantees sufficiency.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gate makes it structurally impossible for routine reconciliation to trigger destructive VM operations.</w:t>
      </w:r>
      <w:r>
        <w:t xml:space="preserve"> </w:t>
      </w:r>
      <w:r>
        <w:t xml:space="preserve">- Tier 2 delivers meaningful crisis capacity</w:t>
      </w:r>
      <w:r>
        <w:t xml:space="preserve"> </w:t>
      </w:r>
      <w:r>
        <w:rPr>
          <w:bCs/>
          <w:b/>
        </w:rPr>
        <w:t xml:space="preserve">with zero VM disruption and zero Azure quota wait</w:t>
      </w:r>
      <w:r>
        <w:t xml:space="preserve"> </w:t>
      </w:r>
      <w:r>
        <w:t xml:space="preserve">— the common escalation path avoids Tier 3 entirely.</w:t>
      </w:r>
      <w:r>
        <w:t xml:space="preserve"> </w:t>
      </w:r>
      <w:r>
        <w:t xml:space="preserve">- Every operation is tagged with its operating mode for a clean audit trail.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Co-location adds risk that NonProd over-consumption erodes DR overflow; mitigated by HC-6,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, and floor alerting.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must be a formal Cosmos DB state propagated to every reconciliation cycle, with operator-gated, dual-approval transitions.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until G-14 (Managed Identity vs cross-tenant SP credential model) and G-15 (state machine) are resolved — a known Phase-1 limitation.</w:t>
      </w:r>
      <w:r>
        <w:t xml:space="preserve"> </w:t>
      </w:r>
      <w:r>
        <w:t xml:space="preserve">- Tier 3 requires a rare, audited break-glass role (</w:t>
      </w:r>
      <w:r>
        <w:rPr>
          <w:rStyle w:val="VerbatimChar"/>
        </w:rPr>
        <w:t xml:space="preserve">ACRME.SuperAdmin</w:t>
      </w:r>
      <w:r>
        <w:t xml:space="preserve">) for single-approver override.</w:t>
      </w:r>
      <w:r>
        <w:t xml:space="preserve"> </w:t>
      </w:r>
      <w:r>
        <w:t xml:space="preserve">- Requires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to evaluate HC-6.</w:t>
      </w:r>
    </w:p>
    <w:bookmarkEnd w:id="25"/>
    <w:bookmarkStart w:id="26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DR_region ≠ NonProd_region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using NonProd as DR overflow — the whole point of co-location.</w:t>
            </w:r>
            <w:r>
              <w:t xml:space="preserve"> </w:t>
            </w:r>
            <w:r>
              <w:rPr>
                <w:rStyle w:val="VerbatimChar"/>
              </w:rPr>
              <w:t xml:space="preserve">[D8]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 separation with no compensating 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Risks NonProd over-consumption leaving no DR headroom.</w:t>
            </w:r>
            <w:r>
              <w:t xml:space="preserve"> </w:t>
            </w:r>
            <w:r>
              <w:rPr>
                <w:rStyle w:val="VerbatimChar"/>
              </w:rPr>
              <w:t xml:space="preserve">[D8]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Unified capacity engine with mode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flags create complex conditionals and risk triggering VM disassociation during routine reconciliation.</w:t>
            </w:r>
            <w:r>
              <w:t xml:space="preserve"> </w:t>
            </w:r>
            <w:r>
              <w:rPr>
                <w:rStyle w:val="VerbatimChar"/>
              </w:rPr>
              <w:t xml:space="preserve">[D10]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as an extension of auto-increase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Conflates policy-driven growth with operator-gated crisis response; could run destructive ops without a DR declaration.</w:t>
            </w:r>
            <w:r>
              <w:t xml:space="preserve"> </w:t>
            </w:r>
            <w:r>
              <w:rPr>
                <w:rStyle w:val="VerbatimChar"/>
              </w:rPr>
              <w:t xml:space="preserve">[D10]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tiers only (automated + destructive)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Loses the quota-neutral Tier 2 — the critical low-risk intermediate that avoids Tier 3 in most crises.</w:t>
            </w:r>
            <w:r>
              <w:t xml:space="preserve"> </w:t>
            </w:r>
            <w:r>
              <w:rPr>
                <w:rStyle w:val="VerbatimChar"/>
              </w:rPr>
              <w:t xml:space="preserve">[D11]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Four tiers (separate VMSS 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VMSS disassociation deferred as a Phase-1 limitation rather than a distinct tier.</w:t>
            </w:r>
            <w:r>
              <w:t xml:space="preserve"> </w:t>
            </w:r>
            <w:r>
              <w:rPr>
                <w:rStyle w:val="VerbatimChar"/>
              </w:rPr>
              <w:t xml:space="preserve">[D11]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appendix-decision-log-cross-reference"/>
    <w:p>
      <w:pPr>
        <w:pStyle w:val="Heading2"/>
      </w:pPr>
      <w:r>
        <w:t xml:space="preserve">Appendix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Gaps/Blockers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 Capacity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D8, D10,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G-14 (credential), G-15 (engine mode), B-2 (POC-31)</w:t>
            </w:r>
          </w:p>
        </w:tc>
      </w:tr>
    </w:tbl>
    <w:bookmarkEnd w:id="27"/>
    <w:bookmarkStart w:id="28" w:name="appendix-status-legend"/>
    <w:p>
      <w:pPr>
        <w:pStyle w:val="Heading2"/>
      </w:pPr>
      <w:r>
        <w:t xml:space="preserve">Appendix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 (referenced explicitly)</w:t>
            </w:r>
          </w:p>
        </w:tc>
      </w:tr>
    </w:tbl>
    <w:bookmarkEnd w:id="28"/>
    <w:bookmarkStart w:id="29" w:name="appendix-evidence-tag-taxonomy"/>
    <w:p>
      <w:pPr>
        <w:pStyle w:val="Heading2"/>
      </w:pPr>
      <w:r>
        <w:t xml:space="preserve">Appendix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documentation or a formal FR/NFR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design choice in the Decision Log (D1–D11)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POC validation</w:t>
            </w:r>
          </w:p>
        </w:tc>
      </w:tr>
    </w:tbl>
    <w:bookmarkEnd w:id="29"/>
    <w:bookmarkStart w:id="30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ADR-001 — Region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acrme_adr_001_region_selection.md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ADR-002 — Quota and Capacity Management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acrme_adr_002_quota_and_capacity_management.md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ADR-004 — Forecast and Increase of Capacity and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acrme_adr_004_forecast_and_increase_of_capacity_and_quota.md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(Quota Groups GA) and POC-31 (quota release latency), and on resolution of G-14 / G-15.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2026-08-27T07:21:13Z</dcterms:created>
  <dcterms:modified xsi:type="dcterms:W3CDTF">2026-08-27T07:21:13Z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