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Part of:</w:t>
      </w:r>
      <w:r>
        <w:t xml:space="preserve"> </w:t>
      </w:r>
      <w:r>
        <w:t xml:space="preserve">ACRME Architecture Decision Records — this is one of four standalone ADRs split from the consolidated ADR set.</w:t>
      </w:r>
    </w:p>
    <w:p>
      <w:pPr>
        <w:pStyle w:val="BlockText"/>
      </w:pPr>
      <w:r>
        <w:rPr>
          <w:bCs/>
          <w:b/>
        </w:rPr>
        <w:t xml:space="preserve">About ADRs.</w:t>
      </w:r>
      <w:r>
        <w:t xml:space="preserve"> </w:t>
      </w:r>
      <w:r>
        <w:t xml:space="preserve">An Architecture Decision Record captures a single significant architectural decision, the context that forced it, the options considered, the choice made, and its consequences. ADRs are immutable once accepted — a superseding decision is recorded as a new ADR rather than editing the original. Evidence tags: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(see Appendix).</w:t>
      </w:r>
    </w:p>
    <w:p>
      <w:r>
        <w:pict>
          <v:rect style="width:0;height:1.5pt" o:hralign="center" o:hrstd="t" o:hr="t"/>
        </w:pict>
      </w:r>
    </w:p>
    <w:bookmarkStart w:id="31" w:name="X26bb2dd1e6ed50cfaa8bfd7d8d9521ec21700a3"/>
    <w:p>
      <w:pPr>
        <w:pStyle w:val="Heading1"/>
      </w:pPr>
      <w:r>
        <w:t xml:space="preserve">ADR-004 — Forecast and Increase of Capacity and Quota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FinOps, Capacity Planning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D10; FR-7, FR-4.4; G-24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azure_cr_management_engine_design.md</w:t>
      </w:r>
      <w:r>
        <w:t xml:space="preserve"> </w:t>
      </w:r>
      <w:r>
        <w:t xml:space="preserve">FR-7;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§Forecast/§30</w:t>
      </w:r>
    </w:p>
    <w:bookmarkStart w:id="20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Reserved capacity must grow ahead of demand — but Azure quota increases take time to approve, and over-reservation wastes money. The engine needs to forecast demand, recommend right-sized capacity, and drive quota/CR increases with enough lead time,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ever autonomously performing material or destructive changes in Phase 1. This growth path must be architecturally distinct from crisis operations (ADR-003).</w:t>
      </w:r>
    </w:p>
    <w:bookmarkEnd w:id="20"/>
    <w:bookmarkStart w:id="24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bCs/>
          <w:b/>
        </w:rPr>
        <w:t xml:space="preserve">forecast-driven, approval-gated capacity growth</w:t>
      </w:r>
      <w:r>
        <w:t xml:space="preserve"> </w:t>
      </w:r>
      <w:r>
        <w:t xml:space="preserve">operating exclusively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Forecasting</w:t>
      </w:r>
      <w:r>
        <w:t xml:space="preserve"> </w:t>
      </w:r>
      <w:r>
        <w:t xml:space="preserve">analyses historical CR allocation and projects demand over a configurable window (default 30/60/90 days), exposing raw time series and derived recommendations via API.</w:t>
      </w:r>
      <w:r>
        <w:t xml:space="preserve"> </w:t>
      </w:r>
      <w:r>
        <w:rPr>
          <w:rStyle w:val="VerbatimChar"/>
        </w:rPr>
        <w:t xml:space="preserve">[Documented — FR-7.1/7.6]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Capacity sizing formula:</w:t>
      </w:r>
      <w:r>
        <w:t xml:space="preserve"> </w:t>
      </w:r>
      <w:r>
        <w:rPr>
          <w:rStyle w:val="VerbatimChar"/>
        </w:rPr>
        <w:t xml:space="preserve">[Documented — FR-7.3]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Forecast_Quantity = ceil(Forecast_Peak × (1 + Growth_Buffer) + DR_Buffer)</w:t>
      </w:r>
    </w:p>
    <w:p>
      <w:pPr>
        <w:numPr>
          <w:ilvl w:val="0"/>
          <w:numId w:val="1000"/>
        </w:numPr>
      </w:pPr>
      <w:r>
        <w:t xml:space="preserve">Increase when forecast demand exceeds current reserved quantity within the window; right-size down when demand is consistently below current, honouring a configurable buffer.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approaches a quota limit (default</w:t>
      </w:r>
      <w:r>
        <w:t xml:space="preserve"> </w:t>
      </w:r>
      <w:r>
        <w:rPr>
          <w:bCs/>
          <w:b/>
        </w:rPr>
        <w:t xml:space="preserve">80%</w:t>
      </w:r>
      <w:r>
        <w:t xml:space="preserve">), emit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a</w:t>
      </w:r>
      <w:r>
        <w:t xml:space="preserve"> </w:t>
      </w:r>
      <w:r>
        <w:rPr>
          <w:bCs/>
          <w:b/>
        </w:rPr>
        <w:t xml:space="preserve">14-day lead time</w:t>
      </w:r>
      <w:r>
        <w:t xml:space="preserve"> </w:t>
      </w:r>
      <w:r>
        <w:t xml:space="preserve">— enough for quota-increase processing.</w:t>
      </w:r>
      <w:r>
        <w:t xml:space="preserve"> </w:t>
      </w:r>
      <w:r>
        <w:rPr>
          <w:rStyle w:val="VerbatimChar"/>
        </w:rPr>
        <w:t xml:space="preserve">[Documented — FR-7.4]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Auto-increase is approval-gated in Phase 1.</w:t>
      </w:r>
      <w:r>
        <w:t xml:space="preserve"> </w:t>
      </w:r>
      <w:r>
        <w:t xml:space="preserve">The trigger uses utilisation thresholds with</w:t>
      </w:r>
      <w:r>
        <w:t xml:space="preserve"> </w:t>
      </w:r>
      <w:r>
        <w:rPr>
          <w:bCs/>
          <w:b/>
        </w:rPr>
        <w:t xml:space="preserve">debounce/cooldown</w:t>
      </w:r>
      <w:r>
        <w:t xml:space="preserve"> </w:t>
      </w:r>
      <w:r>
        <w:t xml:space="preserve">to avoid thrashing; a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entity carries the full lifecycle (create → approve → execute → retry → cancel), and Phase 1 requires</w:t>
      </w:r>
      <w:r>
        <w:t xml:space="preserve"> </w:t>
      </w:r>
      <w:r>
        <w:rPr>
          <w:bCs/>
          <w:b/>
        </w:rPr>
        <w:t xml:space="preserve">operator approval</w:t>
      </w:r>
      <w:r>
        <w:t xml:space="preserve"> </w:t>
      </w:r>
      <w:r>
        <w:t xml:space="preserve">before execution.</w:t>
      </w:r>
      <w:r>
        <w:t xml:space="preserve"> </w:t>
      </w:r>
      <w:r>
        <w:rPr>
          <w:rStyle w:val="VerbatimChar"/>
        </w:rPr>
        <w:t xml:space="preserve">[Decided — D10; Derived — §30, G-24]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Quota increases</w:t>
      </w:r>
      <w:r>
        <w:t xml:space="preserve"> </w:t>
      </w:r>
      <w:r>
        <w:t xml:space="preserve">are initiated via the Azure Support REST API (</w:t>
      </w:r>
      <w:r>
        <w:rPr>
          <w:rStyle w:val="VerbatimChar"/>
        </w:rPr>
        <w:t xml:space="preserve">Microsoft.Capacity/.../serviceLimits</w:t>
      </w:r>
      <w:r>
        <w:t xml:space="preserve">) — at group level where Quota Groups apply (ADR-002) — subject to the same operator-approval gate.</w:t>
      </w:r>
      <w:r>
        <w:t xml:space="preserve"> </w:t>
      </w:r>
      <w:r>
        <w:rPr>
          <w:rStyle w:val="VerbatimChar"/>
        </w:rPr>
        <w:t xml:space="preserve">[Documented — FR-4.4]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Mode isolation.</w:t>
      </w:r>
      <w:r>
        <w:t xml:space="preserve"> </w:t>
      </w:r>
      <w:r>
        <w:t xml:space="preserve">Auto-increase 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suppressed during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DR_EVENT_ACTIVE</w:t>
      </w:r>
      <w:r>
        <w:t xml:space="preserve">, keeping organic growth strictly separate from crisis transfer (ADR-003).</w:t>
      </w:r>
      <w:r>
        <w:t xml:space="preserve"> </w:t>
      </w:r>
      <w:r>
        <w:rPr>
          <w:rStyle w:val="VerbatimChar"/>
        </w:rPr>
        <w:t xml:space="preserve">[Decided — D10]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Non-destructive guarantee.</w:t>
      </w:r>
      <w:r>
        <w:t xml:space="preserve"> </w:t>
      </w:r>
      <w:r>
        <w:t xml:space="preserve">Increases only ever raise CR quantity or request more quota; guarded reduction (right-sizing) never drops a CR below its allocated count (platform floor, FR-1.6) and is itself approval-gated.</w:t>
      </w:r>
    </w:p>
    <w:bookmarkStart w:id="21" w:name="Xf1426b79a09c525d9ee2bfb22640520d79a16bd"/>
    <w:p>
      <w:pPr>
        <w:pStyle w:val="Heading4"/>
      </w:pPr>
      <w:r>
        <w:t xml:space="preserve">Steady-State Capacity Lifecycle (normative 10-step policy)</w:t>
      </w:r>
    </w:p>
    <w:p>
      <w:pPr>
        <w:pStyle w:val="FirstParagraph"/>
      </w:pPr>
      <w:r>
        <w:t xml:space="preserve">The steady-state increase runs strictly separate from DR crisis operations and follows a fixed sequence, with</w:t>
      </w:r>
      <w:r>
        <w:t xml:space="preserve"> </w:t>
      </w:r>
      <w:r>
        <w:rPr>
          <w:bCs/>
          <w:b/>
        </w:rPr>
        <w:t xml:space="preserve">no assumed quota-propagation SLA</w:t>
      </w:r>
      <w:r>
        <w:t xml:space="preserve">:</w:t>
      </w:r>
      <w:r>
        <w:t xml:space="preserve"> </w:t>
      </w:r>
      <w:r>
        <w:rPr>
          <w:rStyle w:val="VerbatimChar"/>
        </w:rPr>
        <w:t xml:space="preserve">[Documented — §30]</w:t>
      </w:r>
    </w:p>
    <w:p>
      <w:pPr>
        <w:numPr>
          <w:ilvl w:val="0"/>
          <w:numId w:val="1002"/>
        </w:numPr>
        <w:pStyle w:val="Compact"/>
      </w:pPr>
      <w:r>
        <w:t xml:space="preserve">Detect threshold crossing.</w:t>
      </w:r>
    </w:p>
    <w:p>
      <w:pPr>
        <w:numPr>
          <w:ilvl w:val="0"/>
          <w:numId w:val="1002"/>
        </w:numPr>
        <w:pStyle w:val="Compact"/>
      </w:pPr>
      <w:r>
        <w:t xml:space="preserve">Re-read current CR, quota, sharing, and assignment state.</w:t>
      </w:r>
    </w:p>
    <w:p>
      <w:pPr>
        <w:numPr>
          <w:ilvl w:val="0"/>
          <w:numId w:val="1002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Calculate target quantity (</w:t>
      </w:r>
      <w:r>
        <w:rPr>
          <w:rStyle w:val="VerbatimChar"/>
        </w:rPr>
        <w:t xml:space="preserve">Forecast_Quantity</w:t>
      </w:r>
      <w:r>
        <w:t xml:space="preserve"> </w:t>
      </w:r>
      <w:r>
        <w:t xml:space="preserve">formula above).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Require operator approval (Phase 1).</w:t>
      </w:r>
    </w:p>
    <w:p>
      <w:pPr>
        <w:numPr>
          <w:ilvl w:val="0"/>
          <w:numId w:val="1002"/>
        </w:numPr>
        <w:pStyle w:val="Compact"/>
      </w:pPr>
      <w:r>
        <w:t xml:space="preserve">Submit the quota action only if validated as required.</w:t>
      </w:r>
    </w:p>
    <w:p>
      <w:pPr>
        <w:numPr>
          <w:ilvl w:val="0"/>
          <w:numId w:val="1002"/>
        </w:numPr>
        <w:pStyle w:val="Compact"/>
      </w:pPr>
      <w:r>
        <w:t xml:space="preserve">Wait for confirmed quota state</w:t>
      </w:r>
      <w:r>
        <w:t xml:space="preserve"> </w:t>
      </w:r>
      <w:r>
        <w:rPr>
          <w:bCs/>
          <w:b/>
        </w:rPr>
        <w:t xml:space="preserve">without assuming a propagation SLA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Update CR quantity.</w:t>
      </w:r>
    </w:p>
    <w:p>
      <w:pPr>
        <w:numPr>
          <w:ilvl w:val="0"/>
          <w:numId w:val="1002"/>
        </w:numPr>
        <w:pStyle w:val="Compact"/>
      </w:pPr>
      <w:r>
        <w:t xml:space="preserve">Confirm the actual quantity.</w:t>
      </w:r>
    </w:p>
    <w:p>
      <w:pPr>
        <w:numPr>
          <w:ilvl w:val="0"/>
          <w:numId w:val="1002"/>
        </w:numPr>
        <w:pStyle w:val="Compact"/>
      </w:pPr>
      <w:r>
        <w:t xml:space="preserve">Refresh the snapshot and close the request.</w:t>
      </w:r>
    </w:p>
    <w:bookmarkEnd w:id="21"/>
    <w:bookmarkStart w:id="22" w:name="auto-decrease-exclusion"/>
    <w:p>
      <w:pPr>
        <w:pStyle w:val="Heading4"/>
      </w:pPr>
      <w:r>
        <w:t xml:space="preserve">Auto-Decrease Exclusion</w:t>
      </w:r>
    </w:p>
    <w:p>
      <w:pPr>
        <w:pStyle w:val="FirstParagraph"/>
      </w:pPr>
      <w:r>
        <w:t xml:space="preserve">Auto-decrease is</w:t>
      </w:r>
      <w:r>
        <w:t xml:space="preserve"> </w:t>
      </w:r>
      <w:r>
        <w:rPr>
          <w:bCs/>
          <w:b/>
        </w:rPr>
        <w:t xml:space="preserve">excluded from Phase 1</w:t>
      </w:r>
      <w:r>
        <w:t xml:space="preserve">: it can remove future capacity and interact with running VMs. Right-sizing down remains operator-driven and guarded by the platform floor (never below allocated count).</w:t>
      </w:r>
      <w:r>
        <w:t xml:space="preserve"> </w:t>
      </w:r>
      <w:r>
        <w:rPr>
          <w:rStyle w:val="VerbatimChar"/>
        </w:rPr>
        <w:t xml:space="preserve">[Documented — §30]</w:t>
      </w:r>
    </w:p>
    <w:bookmarkEnd w:id="22"/>
    <w:bookmarkStart w:id="23" w:name="forecast-advisory-posture"/>
    <w:p>
      <w:pPr>
        <w:pStyle w:val="Heading4"/>
      </w:pPr>
      <w:r>
        <w:t xml:space="preserve">Forecast Advisory Posture</w:t>
      </w:r>
    </w:p>
    <w:p>
      <w:pPr>
        <w:pStyle w:val="FirstParagraph"/>
      </w:pPr>
      <w:r>
        <w:t xml:space="preserve">Forecast recommendations stay</w:t>
      </w:r>
      <w:r>
        <w:t xml:space="preserve"> </w:t>
      </w:r>
      <w:r>
        <w:rPr>
          <w:bCs/>
          <w:b/>
        </w:rPr>
        <w:t xml:space="preserve">advisory until model accuracy and false-positive rates are measured</w:t>
      </w:r>
      <w:r>
        <w:t xml:space="preserve">; the horizon is 30/60/90 days and</w:t>
      </w:r>
      <w:r>
        <w:t xml:space="preserve"> </w:t>
      </w:r>
      <w:r>
        <w:rPr>
          <w:rStyle w:val="VerbatimChar"/>
        </w:rPr>
        <w:t xml:space="preserve">Growth_Buffer</w:t>
      </w:r>
      <w:r>
        <w:t xml:space="preserve">/</w:t>
      </w:r>
      <w:r>
        <w:rPr>
          <w:rStyle w:val="VerbatimChar"/>
        </w:rPr>
        <w:t xml:space="preserve">DR_Buffer</w:t>
      </w:r>
      <w:r>
        <w:t xml:space="preserve"> </w:t>
      </w:r>
      <w:r>
        <w:t xml:space="preserve">are policy percentages, not fixed constants.</w:t>
      </w:r>
      <w:r>
        <w:t xml:space="preserve"> </w:t>
      </w:r>
      <w:r>
        <w:rPr>
          <w:rStyle w:val="VerbatimChar"/>
        </w:rPr>
        <w:t xml:space="preserve">[Documented — §28]</w:t>
      </w:r>
    </w:p>
    <w:bookmarkEnd w:id="23"/>
    <w:bookmarkEnd w:id="24"/>
    <w:bookmarkStart w:id="25" w:name="consequences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Capacity grows ahead of demand with sufficient lead time for quota approvals — reducing capacity-exhaustion incidents.</w:t>
      </w:r>
      <w:r>
        <w:t xml:space="preserve"> </w:t>
      </w:r>
      <w:r>
        <w:t xml:space="preserve">- The debounce/cooldown and approval gate prevent runaway or thrashing increases.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gives a fully auditable, retryable, cancellable growth workflow.</w:t>
      </w:r>
      <w:r>
        <w:t xml:space="preserve"> </w:t>
      </w:r>
      <w:r>
        <w:t xml:space="preserve">- Right-sizing recovers cost from over-reserved CRs without risking allocated VMs.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Approval-gated in Phase 1 means growth is not instantaneous — acceptable because Emergency Transfer (ADR-003) covers crisis speed.</w:t>
      </w:r>
      <w:r>
        <w:t xml:space="preserve"> </w:t>
      </w:r>
      <w:r>
        <w:t xml:space="preserve">- Forecast accuracy depends on history; workload-tagged per-workload forecasts (FR-7.5) are only partially covered (gap G-16).</w:t>
      </w:r>
      <w:r>
        <w:t xml:space="preserve"> </w:t>
      </w:r>
      <w:r>
        <w:t xml:space="preserve">- Threshold, buffer, and cooldown values are empirical and require tuning during the pilot; SLA/propagation times are measured, not invented.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lifecycle (entity, approval, retry, cancellation) is still a backlog item (G-24) requiring an end-to-end approved-increase test.</w:t>
      </w:r>
    </w:p>
    <w:bookmarkEnd w:id="25"/>
    <w:bookmarkStart w:id="26" w:name="alternatives-considered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Fully autonomous auto-increase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human control over material cost/quota changes; unacceptable in Phase 1.</w:t>
            </w:r>
            <w:r>
              <w:t xml:space="preserve"> </w:t>
            </w:r>
            <w:r>
              <w:rPr>
                <w:rStyle w:val="VerbatimChar"/>
              </w:rPr>
              <w:t xml:space="preserve">[§30]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Auto-increase escalating into emergency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Conflates growth with crisis response; could run emergency ops without a DR declaration.</w:t>
            </w:r>
            <w:r>
              <w:t xml:space="preserve"> </w:t>
            </w:r>
            <w:r>
              <w:rPr>
                <w:rStyle w:val="VerbatimChar"/>
              </w:rPr>
              <w:t xml:space="preserve">[D10]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Fixed-timer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adaptive than recovering the budget incrementally using observed success rates.</w:t>
            </w:r>
            <w:r>
              <w:t xml:space="preserve"> </w:t>
            </w:r>
            <w:r>
              <w:rPr>
                <w:rStyle w:val="VerbatimChar"/>
              </w:rPr>
              <w:t xml:space="preserve">[PRR §—]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lead-time alerting (react on exhaustion)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approvals take too long; reacting at exhaustion guarantees deployment failures.</w:t>
            </w:r>
            <w:r>
              <w:t xml:space="preserve"> </w:t>
            </w:r>
            <w:r>
              <w:rPr>
                <w:rStyle w:val="VerbatimChar"/>
              </w:rPr>
              <w:t xml:space="preserve">[FR-7.4]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Sizing without a DR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Under-reserves relative to DR obligations; the formula includes an explicit</w:t>
            </w:r>
            <w:r>
              <w:t xml:space="preserve"> </w:t>
            </w:r>
            <w:r>
              <w:rPr>
                <w:rStyle w:val="VerbatimChar"/>
              </w:rPr>
              <w:t xml:space="preserve">DR_Buffer</w:t>
            </w:r>
            <w:r>
              <w:t xml:space="preserve"> </w:t>
            </w:r>
            <w:r>
              <w:t xml:space="preserve">term.</w:t>
            </w:r>
            <w:r>
              <w:t xml:space="preserve"> </w:t>
            </w:r>
            <w:r>
              <w:rPr>
                <w:rStyle w:val="VerbatimChar"/>
              </w:rPr>
              <w:t xml:space="preserve">[FR-7.3]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appendix-decision-log-cross-reference"/>
    <w:p>
      <w:pPr>
        <w:pStyle w:val="Heading2"/>
      </w:pPr>
      <w:r>
        <w:t xml:space="preserve">Appendix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Gaps/Blockers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 Forecast &amp;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(uses HC-3 at execution)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G-16 (workload tags), G-24 (increase entity)</w:t>
            </w:r>
          </w:p>
        </w:tc>
      </w:tr>
    </w:tbl>
    <w:bookmarkEnd w:id="27"/>
    <w:bookmarkStart w:id="28" w:name="appendix-status-legend"/>
    <w:p>
      <w:pPr>
        <w:pStyle w:val="Heading2"/>
      </w:pPr>
      <w:r>
        <w:t xml:space="preserve">Appendix —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 (referenced explicitly)</w:t>
            </w:r>
          </w:p>
        </w:tc>
      </w:tr>
    </w:tbl>
    <w:bookmarkEnd w:id="28"/>
    <w:bookmarkStart w:id="29" w:name="appendix-evidence-tag-taxonomy"/>
    <w:p>
      <w:pPr>
        <w:pStyle w:val="Heading2"/>
      </w:pPr>
      <w:r>
        <w:t xml:space="preserve">Appendix —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documentation or a formal FR/NFR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design choice in the Decision Log (D1–D11)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POC validation</w:t>
            </w:r>
          </w:p>
        </w:tc>
      </w:tr>
    </w:tbl>
    <w:bookmarkEnd w:id="29"/>
    <w:bookmarkStart w:id="30" w:name="related-adrs"/>
    <w:p>
      <w:pPr>
        <w:pStyle w:val="Heading2"/>
      </w:pPr>
      <w:r>
        <w:t xml:space="preserve">Related ADRs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ADR-001 — Region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acrme_adr_001_region_selection.md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ADR-002 — Quota and Capacity Management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acrme_adr_002_quota_and_capacity_management.md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ADR-003 — Capacity Management during Disaster Recovery (DR)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acrme_adr_003_capacity_management_during_dr.md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(Quota Groups GA) and POC-31 (quota release latency), and on resolution of G-14 / G-15.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2026-08-27T07:21:15Z</dcterms:created>
  <dcterms:modified xsi:type="dcterms:W3CDTF">2026-08-27T07:21:15Z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