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7b80ebc4c925f140b03caaeee2c06975d746933"/>
    <w:p>
      <w:pPr>
        <w:pStyle w:val="Heading1"/>
      </w:pPr>
      <w:r>
        <w:t xml:space="preserve">ACRME SKU-Level Placement WHAT-IF — User Guide (Phase 2)</w:t>
      </w:r>
    </w:p>
    <w:p>
      <w:pPr>
        <w:pStyle w:val="FirstParagraph"/>
      </w:pPr>
      <w:r>
        <w:rPr>
          <w:bCs/>
          <w:b/>
        </w:rPr>
        <w:t xml:space="preserve">Workbook:</w:t>
      </w:r>
      <w:r>
        <w:t xml:space="preserve"> </w:t>
      </w:r>
      <w:r>
        <w:rPr>
          <w:rStyle w:val="VerbatimChar"/>
        </w:rPr>
        <w:t xml:space="preserve">acrme_sku_placement_whatif.xlsx</w:t>
      </w:r>
      <w:r>
        <w:t xml:space="preserve"> </w:t>
      </w:r>
      <w:r>
        <w:rPr>
          <w:bCs/>
          <w:b/>
        </w:rPr>
        <w:t xml:space="preserve">Builder:</w:t>
      </w:r>
      <w:r>
        <w:t xml:space="preserve"> </w:t>
      </w:r>
      <w:r>
        <w:rPr>
          <w:rStyle w:val="VerbatimChar"/>
        </w:rPr>
        <w:t xml:space="preserve">build_acrme_sku_scoring_whatif.py</w:t>
      </w:r>
      <w:r>
        <w:t xml:space="preserve"> </w:t>
      </w:r>
      <w:r>
        <w:rPr>
          <w:bCs/>
          <w:b/>
        </w:rPr>
        <w:t xml:space="preserve">Baseline:</w:t>
      </w:r>
      <w:r>
        <w:t xml:space="preserve"> </w:t>
      </w:r>
      <w:r>
        <w:t xml:space="preserve">Azure Capacity &amp; Quota Management Consolidated Requirements Baseline v2.4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Mockup / feasibility — derived planning figures only; not connected to live Azure state.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modify the v2.4 baseline or the Phase 1 workbook.</w:t>
      </w:r>
    </w:p>
    <w:p>
      <w:r>
        <w:pict>
          <v:rect style="width:0;height:1.5pt" o:hralign="center" o:hrstd="t" o:hr="t"/>
        </w:pict>
      </w:r>
    </w:p>
    <w:bookmarkStart w:id="20" w:name="X879522ebaae68e4d4a35fa5d79d743046140028"/>
    <w:p>
      <w:pPr>
        <w:pStyle w:val="Heading2"/>
      </w:pPr>
      <w:r>
        <w:t xml:space="preserve">1. What this is (and how it differs from the region-selection what-if)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new, standalone</w:t>
      </w:r>
      <w:r>
        <w:t xml:space="preserve"> </w:t>
      </w:r>
      <w:r>
        <w:t xml:space="preserve">what-if — a</w:t>
      </w:r>
      <w:r>
        <w:t xml:space="preserve"> </w:t>
      </w:r>
      <w:r>
        <w:rPr>
          <w:iCs/>
          <w:i/>
        </w:rPr>
        <w:t xml:space="preserve">different kind of analysis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acrme_region_selection_whatif_acrme_regions.xlsx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Region-selection what-if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— SKU-level placement what-if (Phase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blended number per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SKU</w:t>
            </w:r>
            <w:r>
              <w:t xml:space="preserve"> </w:t>
            </w:r>
            <w:r>
              <w:t xml:space="preserve">(CAP-022/023)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number per environment/region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VM/quota family</w:t>
            </w:r>
            <w:r>
              <w:t xml:space="preserve"> </w:t>
            </w:r>
            <w:r>
              <w:t xml:space="preserve">(QUA-002/003/004)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term (α)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blended region free-pool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per-SKU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 AVAIL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MIN(reserved-free, family quota-available)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region overall?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For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this SKU</w:t>
            </w:r>
            <w:r>
              <w:rPr>
                <w:bCs/>
                <w:b/>
              </w:rPr>
              <w:t xml:space="preserve">, which region for Prod / CVAL / DR — and is it READY?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region-level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RDY-002 per candidate</w:t>
            </w:r>
          </w:p>
        </w:tc>
      </w:tr>
    </w:tbl>
    <w:p>
      <w:pPr>
        <w:pStyle w:val="BodyText"/>
      </w:pPr>
      <w:r>
        <w:t xml:space="preserve">Phase 2 is the design-doc step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availability-by-group in scoring: point α at per-SKU group-availability; emit RDY-002 readiness per candidate.</w:t>
      </w:r>
      <w:r>
        <w:rPr>
          <w:iCs/>
          <w:i/>
        </w:rPr>
        <w:t xml:space="preserve">”</w:t>
      </w:r>
      <w:r>
        <w:t xml:space="preserve"> </w:t>
      </w:r>
      <w:r>
        <w:t xml:space="preserve">It is</w:t>
      </w:r>
      <w:r>
        <w:t xml:space="preserve"> </w:t>
      </w:r>
      <w:r>
        <w:rPr>
          <w:bCs/>
          <w:b/>
        </w:rPr>
        <w:t xml:space="preserve">read-only</w:t>
      </w:r>
      <w:r>
        <w:t xml:space="preserve"> </w:t>
      </w:r>
      <w:r>
        <w:t xml:space="preserve">— the freeze &amp; logical-lock layer is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and is not in this file.</w:t>
      </w:r>
    </w:p>
    <w:bookmarkEnd w:id="20"/>
    <w:bookmarkStart w:id="21" w:name="workbook-structure-processing-order"/>
    <w:p>
      <w:pPr>
        <w:pStyle w:val="Heading2"/>
      </w:pPr>
      <w:r>
        <w:t xml:space="preserve">2. Workbook structure (processing order)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48"/>
        <w:gridCol w:w="1848"/>
        <w:gridCol w:w="1584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In-workbook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placement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Yellow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weights &amp; thresholds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Yellow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SKU_Family_Map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→ quota family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SKU_Catalogue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SKU set (vCPU, family, flags)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Capacity_By_SKU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plane: Region × Env ×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plane: pooled group per Region ×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SKU-grain placement score —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Score_CVAL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SKU-grain placement score — CVAL / 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SKU-grain placement score — Disaster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Prod/CVAL/DR + ranked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formulas</w:t>
            </w:r>
          </w:p>
        </w:tc>
      </w:tr>
    </w:tbl>
    <w:p>
      <w:pPr>
        <w:pStyle w:val="BodyText"/>
      </w:pPr>
      <w:r>
        <w:rPr>
          <w:bCs/>
          <w:b/>
        </w:rPr>
        <w:t xml:space="preserve">Data flow: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→ (read against)</w:t>
      </w:r>
      <w:r>
        <w:t xml:space="preserve"> </w:t>
      </w:r>
      <w:r>
        <w:rPr>
          <w:rStyle w:val="VerbatimChar"/>
        </w:rPr>
        <w:t xml:space="preserve">Capacity_By_SKU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Quota_Groups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Score_Prod / Score_CVAL / Score_DR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. Every computed cell is a live formula; edits propagate instantly.</w:t>
      </w:r>
    </w:p>
    <w:bookmarkEnd w:id="21"/>
    <w:bookmarkStart w:id="22" w:name="how-to-run-a-scenario"/>
    <w:p>
      <w:pPr>
        <w:pStyle w:val="Heading2"/>
      </w:pPr>
      <w:r>
        <w:t xml:space="preserve">3. How to run a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Request sheet</w:t>
      </w:r>
      <w:r>
        <w:t xml:space="preserve"> </w:t>
      </w:r>
      <w:r>
        <w:t xml:space="preserve">(yellow): set</w:t>
      </w:r>
      <w:r>
        <w:t xml:space="preserve"> </w:t>
      </w:r>
      <w:r>
        <w:rPr>
          <w:rStyle w:val="VerbatimChar"/>
        </w:rPr>
        <w:t xml:space="preserve">Geography</w:t>
      </w:r>
      <w:r>
        <w:t xml:space="preserve"> </w:t>
      </w:r>
      <w:r>
        <w:t xml:space="preserve">(US/EU dropdown),</w:t>
      </w:r>
      <w:r>
        <w:t xml:space="preserve"> </w:t>
      </w:r>
      <w:r>
        <w:rPr>
          <w:rStyle w:val="VerbatimChar"/>
        </w:rPr>
        <w:t xml:space="preserve">Requested SKU</w:t>
      </w:r>
      <w:r>
        <w:t xml:space="preserve"> </w:t>
      </w:r>
      <w:r>
        <w:t xml:space="preserve">(dropdown of the 8 modelled SKUs),</w:t>
      </w:r>
      <w:r>
        <w:t xml:space="preserve"> </w:t>
      </w:r>
      <w:r>
        <w:rPr>
          <w:rStyle w:val="VerbatimChar"/>
        </w:rPr>
        <w:t xml:space="preserve">VM 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 ID</w:t>
      </w:r>
      <w:r>
        <w:t xml:space="preserve">. The sheet derives</w:t>
      </w:r>
      <w:r>
        <w:t xml:space="preserve"> </w:t>
      </w:r>
      <w:r>
        <w:rPr>
          <w:bCs/>
          <w:b/>
        </w:rPr>
        <w:t xml:space="preserve">Quota Family</w:t>
      </w:r>
      <w:r>
        <w:t xml:space="preserve">,</w:t>
      </w:r>
      <w:r>
        <w:t xml:space="preserve"> </w:t>
      </w:r>
      <w:r>
        <w:rPr>
          <w:bCs/>
          <w:b/>
        </w:rPr>
        <w:t xml:space="preserve">vCPU/instance</w:t>
      </w:r>
      <w:r>
        <w:t xml:space="preserve">, and</w:t>
      </w:r>
      <w:r>
        <w:t xml:space="preserve"> </w:t>
      </w:r>
      <w:r>
        <w:rPr>
          <w:bCs/>
          <w:b/>
        </w:rPr>
        <w:t xml:space="preserve">Requested cores</w:t>
      </w:r>
      <w:r>
        <w:t xml:space="preserve"> </w:t>
      </w:r>
      <w:r>
        <w:t xml:space="preserve">(= VMs × vCPU).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rPr>
          <w:bCs/>
          <w:b/>
        </w:rPr>
        <w:t xml:space="preserve">Policy sheet</w:t>
      </w:r>
      <w:r>
        <w:t xml:space="preserve"> </w:t>
      </w:r>
      <w:r>
        <w:t xml:space="preserve">(yellow): tune weights</w:t>
      </w:r>
      <w:r>
        <w:t xml:space="preserve"> </w:t>
      </w:r>
      <w:r>
        <w:rPr>
          <w:rStyle w:val="VerbatimChar"/>
        </w:rPr>
        <w:t xml:space="preserve">w_alpha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w_beta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w_epsilon</w:t>
      </w:r>
      <w:r>
        <w:t xml:space="preserve"> </w:t>
      </w:r>
      <w:r>
        <w:t xml:space="preserve">(must sum to 1.00 — check</w:t>
      </w:r>
      <w:r>
        <w:t xml:space="preserve"> </w:t>
      </w:r>
      <w:r>
        <w:rPr>
          <w:rStyle w:val="VerbatimChar"/>
        </w:rPr>
        <w:t xml:space="preserve">B7</w:t>
      </w:r>
      <w:r>
        <w:t xml:space="preserve">) and thresholds</w:t>
      </w:r>
      <w:r>
        <w:t xml:space="preserve"> </w:t>
      </w:r>
      <w:r>
        <w:rPr>
          <w:rStyle w:val="VerbatimChar"/>
        </w:rPr>
        <w:t xml:space="preserve">risk_factor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min_buffer_floor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Result</w:t>
      </w:r>
      <w:r>
        <w:t xml:space="preserve">: the recommended region per environment, its PS and readiness, the overall readiness, and the ranked Prod-candidate table.</w:t>
      </w:r>
    </w:p>
    <w:p>
      <w:pPr>
        <w:pStyle w:val="BlockText"/>
      </w:pPr>
      <w:r>
        <w:rPr>
          <w:bCs/>
          <w:b/>
        </w:rPr>
        <w:t xml:space="preserve">One SKU per run.</w:t>
      </w:r>
      <w:r>
        <w:t xml:space="preserve"> </w:t>
      </w:r>
      <w:r>
        <w:t xml:space="preserve">Placement is evaluated at SKU grain, so a multi-SKU workload is run once per SKU.</w:t>
      </w:r>
    </w:p>
    <w:bookmarkEnd w:id="22"/>
    <w:bookmarkStart w:id="23" w:name="X4e25e224fe6d91101712618910a9586019e57d3"/>
    <w:p>
      <w:pPr>
        <w:pStyle w:val="Heading2"/>
      </w:pPr>
      <w:r>
        <w:t xml:space="preserve">4. The scoring model (per candidate region, for the requested SKU)</w:t>
      </w:r>
    </w:p>
    <w:p>
      <w:pPr>
        <w:pStyle w:val="FirstParagraph"/>
      </w:pPr>
      <w:r>
        <w:t xml:space="preserve">For each of the 8 candidate regions, in each environment, the sheet pulls the region’s numbers for the</w:t>
      </w:r>
      <w:r>
        <w:t xml:space="preserve"> </w:t>
      </w:r>
      <w:r>
        <w:rPr>
          <w:bCs/>
          <w:b/>
        </w:rPr>
        <w:t xml:space="preserve">requested SKU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Capacity_By_SKU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Quota_Groups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SUMIFS</w:t>
      </w:r>
      <w:r>
        <w:t xml:space="preserve"> </w:t>
      </w:r>
      <w:r>
        <w:t xml:space="preserve">keyed on (Region, Environment, SKU) and (Region, Family):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60"/>
        <w:gridCol w:w="1980"/>
        <w:gridCol w:w="41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 (essence)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/ Reserved-Free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for this SKU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SUMIFS(Capacity_By_SKU!J / K, 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Q-Limit / Q-Avail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quota for the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SUMIFS(Quota_Groups!E / G, 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 AVAIL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placeable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=MIN(Reserved-Free, Family Q-Avail)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geography = requested geography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=IF(B=Request!Geo,1,0)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Meets-Cap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AVAIL ≥ requested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=IF(GROUP AVAIL≥Req Cores,1,0)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Readiness (RDY-002)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per-candidate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InGeo AND Meets-Cap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=IF(AND(InGeo,Meets-Cap),1,0)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Score components (only for eligible candidates):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α (availability fit)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1 − requested cores / GROUP AVAIL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headroom cushion left after placement</w:t>
      </w:r>
      <w:r>
        <w:t xml:space="preserve">. Higher = safer.</w:t>
      </w:r>
      <w:r>
        <w:t xml:space="preserve"> </w:t>
      </w:r>
      <w:r>
        <w:rPr>
          <w:iCs/>
          <w:i/>
        </w:rPr>
        <w:t xml:space="preserve">This is the SKU-grain change</w:t>
      </w:r>
      <w:r>
        <w:t xml:space="preserve"> </w:t>
      </w:r>
      <w:r>
        <w:t xml:space="preserve">— α is driven by the per-SKU group availability, not a blended region pool. (Chosen over a capped</w:t>
      </w:r>
      <w:r>
        <w:t xml:space="preserve"> </w:t>
      </w:r>
      <w:r>
        <w:rPr>
          <w:rStyle w:val="VerbatimChar"/>
        </w:rPr>
        <w:t xml:space="preserve">MIN(avail/req,1)</w:t>
      </w:r>
      <w:r>
        <w:t xml:space="preserve"> </w:t>
      </w:r>
      <w:r>
        <w:t xml:space="preserve">because that saturates at 1 and fails to discriminate between candidates; the cushion form ranks regions by how much room remains.)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β (quota headroom)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family quota-available / family quota-limit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ε (buffer safety)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reserved-free / reserved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Placement Score:</w:t>
      </w:r>
      <w:r>
        <w:t xml:space="preserve"> </w:t>
      </w:r>
      <w:r>
        <w:rPr>
          <w:rStyle w:val="VerbatimChar"/>
        </w:rPr>
        <w:t xml:space="preserve">PS = w_alpha·α + w_beta·β + w_epsilon·ε</w:t>
      </w:r>
      <w:r>
        <w:t xml:space="preserve"> </w:t>
      </w:r>
      <w:r>
        <w:t xml:space="preserve">(defaults 0.50 / 0.30 / 0.20).</w:t>
      </w:r>
    </w:p>
    <w:p>
      <w:pPr>
        <w:pStyle w:val="BodyText"/>
      </w:pPr>
      <w:r>
        <w:rPr>
          <w:bCs/>
          <w:b/>
        </w:rPr>
        <w:t xml:space="preserve">Rank:</w:t>
      </w:r>
      <w:r>
        <w:t xml:space="preserve"> </w:t>
      </w:r>
      <w:r>
        <w:t xml:space="preserve">dense rank of PS among eligible candidates (Rank 1 = highest PS). The</w:t>
      </w:r>
      <w:r>
        <w:t xml:space="preserve"> </w:t>
      </w:r>
      <w:r>
        <w:rPr>
          <w:bCs/>
          <w:b/>
        </w:rPr>
        <w:t xml:space="preserve">top pick</w:t>
      </w:r>
      <w:r>
        <w:t xml:space="preserve"> </w:t>
      </w:r>
      <w:r>
        <w:t xml:space="preserve">per environment is</w:t>
      </w:r>
      <w:r>
        <w:t xml:space="preserve"> </w:t>
      </w:r>
      <w:r>
        <w:rPr>
          <w:rStyle w:val="VerbatimChar"/>
        </w:rPr>
        <w:t xml:space="preserve">INDEX/MATCH</w:t>
      </w:r>
      <w:r>
        <w:t xml:space="preserve"> </w:t>
      </w:r>
      <w:r>
        <w:t xml:space="preserve">on Rank = 1; if no region is eligible it shows</w:t>
      </w:r>
      <w:r>
        <w:t xml:space="preserve"> </w:t>
      </w:r>
      <w:r>
        <w:rPr>
          <w:rStyle w:val="VerbatimChar"/>
        </w:rPr>
        <w:t xml:space="preserve">NONE ELIGIBLE</w:t>
      </w:r>
      <w:r>
        <w:t xml:space="preserve">.</w:t>
      </w:r>
    </w:p>
    <w:bookmarkEnd w:id="23"/>
    <w:bookmarkStart w:id="24" w:name="readiness-states-rdy-002-per-candidate"/>
    <w:p>
      <w:pPr>
        <w:pStyle w:val="Heading2"/>
      </w:pPr>
      <w:r>
        <w:t xml:space="preserve">5. Readiness states (RDY-002, per candidate)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reserved-free ≤ 0, or capacity is the binding shortfall when GROUP AVAIL &lt;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quota-available ≤ 0, or quota is the binding shortfall when GROUP AVAIL &lt;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READY_WITH_RISK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but GROUP AVAIL &lt; requested cores ×</w:t>
            </w:r>
            <w:r>
              <w:t xml:space="preserve"> </w:t>
            </w:r>
            <w:r>
              <w:rPr>
                <w:rStyle w:val="VerbatimChar"/>
              </w:rPr>
              <w:t xml:space="preserve">risk_factor</w:t>
            </w:r>
            <w:r>
              <w:t xml:space="preserve"> </w:t>
            </w:r>
            <w:r>
              <w:t xml:space="preserve">(thin cushion)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with comfortable cushion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Binding Constraint</w:t>
      </w:r>
      <w:r>
        <w:t xml:space="preserve"> </w:t>
      </w:r>
      <w:r>
        <w:t xml:space="preserve">column shows whether CAPACITY or QUOTA is the limiter for that row.</w:t>
      </w:r>
    </w:p>
    <w:bookmarkEnd w:id="24"/>
    <w:bookmarkStart w:id="25" w:name="Xc51a26b48cdc5eb77633c6095331d1027c75c45"/>
    <w:p>
      <w:pPr>
        <w:pStyle w:val="Heading2"/>
      </w:pPr>
      <w:r>
        <w:t xml:space="preserve">6. Worked examples (verified with a headless recalc — 0 formula errors)</w:t>
      </w:r>
    </w:p>
    <w:p>
      <w:pPr>
        <w:pStyle w:val="FirstParagraph"/>
      </w:pPr>
      <w:r>
        <w:rPr>
          <w:bCs/>
          <w:b/>
        </w:rPr>
        <w:t xml:space="preserve">Scenario A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Standard_E32ads_v5</w:t>
      </w:r>
      <w:r>
        <w:rPr>
          <w:bCs/>
          <w:b/>
        </w:rPr>
        <w:t xml:space="preserve">, 6 VMs (192 cores), US: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</w:t>
      </w:r>
      <w:r>
        <w:t xml:space="preserve"> </w:t>
      </w:r>
      <w:r>
        <w:t xml:space="preserve">East US 2 (</w:t>
      </w:r>
      <w:r>
        <w:rPr>
          <w:rStyle w:val="VerbatimChar"/>
        </w:rPr>
        <w:t xml:space="preserve">GROUP AVAIL</w:t>
      </w:r>
      <w:r>
        <w:t xml:space="preserve"> </w:t>
      </w:r>
      <w:r>
        <w:t xml:space="preserve">684, READY) — the only US region with enough per-SKU headroom; Central US and Canada Central fall to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, West US 3 to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(greenfield, no quota provisioned).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→</w:t>
      </w:r>
      <w:r>
        <w:t xml:space="preserve"> </w:t>
      </w:r>
      <w:r>
        <w:t xml:space="preserve">ranks</w:t>
      </w:r>
      <w:r>
        <w:t xml:space="preserve"> </w:t>
      </w:r>
      <w:r>
        <w:rPr>
          <w:bCs/>
          <w:b/>
        </w:rPr>
        <w:t xml:space="preserve">East US 2 (α 0.978) &gt; Canada Central (0.877) &gt; Central US (0.650)</w:t>
      </w:r>
      <w:r>
        <w:t xml:space="preserve"> </w:t>
      </w:r>
      <w:r>
        <w:t xml:space="preserve">— the cushion-based α discriminates correctly.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→</w:t>
      </w:r>
      <w:r>
        <w:t xml:space="preserve"> </w:t>
      </w:r>
      <w:r>
        <w:t xml:space="preserve">East US 2,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 </w:t>
      </w:r>
      <w:r>
        <w:t xml:space="preserve">(DR is a 30% bootstrap, so cushions are thin).</w:t>
      </w:r>
    </w:p>
    <w:p>
      <w:pPr>
        <w:pStyle w:val="BodyText"/>
      </w:pPr>
      <w:r>
        <w:rPr>
          <w:bCs/>
          <w:b/>
        </w:rPr>
        <w:t xml:space="preserve">Scenario B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Standard_D8as_v5</w:t>
      </w:r>
      <w:r>
        <w:rPr>
          <w:bCs/>
          <w:b/>
        </w:rPr>
        <w:t xml:space="preserve">, 2 VMs (16 cores), US: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</w:t>
      </w:r>
      <w:r>
        <w:t xml:space="preserve"> </w:t>
      </w:r>
      <w:r>
        <w:t xml:space="preserve">East US 2 (1191) &gt; Central US (613) &gt; Canada Central (301);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DR now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too (small request fits the bootstrap).</w:t>
      </w:r>
    </w:p>
    <w:bookmarkEnd w:id="25"/>
    <w:bookmarkStart w:id="26" w:name="data-provenance-rulings-baked-in"/>
    <w:p>
      <w:pPr>
        <w:pStyle w:val="Heading2"/>
      </w:pPr>
      <w:r>
        <w:t xml:space="preserve">7. Data provenance &amp; rulings baked 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Allocated</w:t>
      </w:r>
      <w:r>
        <w:t xml:space="preserve"> </w:t>
      </w:r>
      <w:r>
        <w:t xml:space="preserve">cores are derived from real usage (</w:t>
      </w:r>
      <w:r>
        <w:rPr>
          <w:rStyle w:val="VerbatimChar"/>
        </w:rPr>
        <w:t xml:space="preserve">SKU_USage.xlsx</w:t>
      </w:r>
      <w:r>
        <w:t xml:space="preserve">).</w:t>
      </w:r>
      <w:r>
        <w:t xml:space="preserve"> </w:t>
      </w:r>
      <w:r>
        <w:rPr>
          <w:bCs/>
          <w:b/>
        </w:rPr>
        <w:t xml:space="preserve">Canada Central</w:t>
      </w:r>
      <w:r>
        <w:t xml:space="preserve"> </w:t>
      </w:r>
      <w:r>
        <w:t xml:space="preserve">is a flagged mock (0.5 × mean of the other US regions — it is absent from the source data).</w:t>
      </w:r>
      <w:r>
        <w:t xml:space="preserve"> </w:t>
      </w:r>
      <w:r>
        <w:rPr>
          <w:bCs/>
          <w:b/>
        </w:rPr>
        <w:t xml:space="preserve">DR = 30% of Prod</w:t>
      </w:r>
      <w:r>
        <w:t xml:space="preserve"> </w:t>
      </w:r>
      <w:r>
        <w:t xml:space="preserve">(ENV-005 bootstrap, not a full duplicate).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West US 3</w:t>
      </w:r>
      <w:r>
        <w:t xml:space="preserve"> </w:t>
      </w:r>
      <w:r>
        <w:t xml:space="preserve">shows deficits across SKUs by design: the source data has ~0 observed allocation there, so its quota limit is 0 — the correct signal for a reserved-but-unprovisioned greenfield region.</w:t>
      </w:r>
    </w:p>
    <w:p>
      <w:pPr>
        <w:numPr>
          <w:ilvl w:val="0"/>
          <w:numId w:val="1003"/>
        </w:numPr>
        <w:pStyle w:val="Compact"/>
      </w:pPr>
      <w:r>
        <w:t xml:space="preserve">Rulings from Phase 1: one</w:t>
      </w:r>
      <w:r>
        <w:t xml:space="preserve"> </w:t>
      </w:r>
      <w:r>
        <w:rPr>
          <w:bCs/>
          <w:b/>
        </w:rPr>
        <w:t xml:space="preserve">pooled</w:t>
      </w:r>
      <w:r>
        <w:t xml:space="preserve"> </w:t>
      </w:r>
      <w:r>
        <w:t xml:space="preserve">quota group per region+family across Prod+NonProd+DR (QUA-004); ENV-003 hard separation applies to</w:t>
      </w:r>
      <w:r>
        <w:t xml:space="preserve"> </w:t>
      </w:r>
      <w:r>
        <w:rPr>
          <w:bCs/>
          <w:b/>
        </w:rPr>
        <w:t xml:space="preserve">capacity reservations only</w:t>
      </w:r>
      <w:r>
        <w:t xml:space="preserve"> </w:t>
      </w:r>
      <w:r>
        <w:t xml:space="preserve">(quota pooled — separate planes); quota</w:t>
      </w:r>
      <w:r>
        <w:t xml:space="preserve"> </w:t>
      </w:r>
      <w:r>
        <w:rPr>
          <w:bCs/>
          <w:b/>
        </w:rPr>
        <w:t xml:space="preserve">hoarded</w:t>
      </w:r>
      <w:r>
        <w:t xml:space="preserve"> </w:t>
      </w:r>
      <w:r>
        <w:t xml:space="preserve">to one pool and distributed on demand (QUA-003).</w:t>
      </w:r>
    </w:p>
    <w:bookmarkEnd w:id="26"/>
    <w:bookmarkStart w:id="27" w:name="limitations-deferred"/>
    <w:p>
      <w:pPr>
        <w:pStyle w:val="Heading2"/>
      </w:pPr>
      <w:r>
        <w:t xml:space="preserve">8. Limitations / deferred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Read-only feasibility</w:t>
      </w:r>
      <w:r>
        <w:t xml:space="preserve"> </w:t>
      </w:r>
      <w:r>
        <w:t xml:space="preserve">— does not modify the v2.4 baseline or the Phase 1 workbook.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SKU per run</w:t>
      </w:r>
      <w:r>
        <w:t xml:space="preserve"> </w:t>
      </w:r>
      <w:r>
        <w:t xml:space="preserve">(SKU grain).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CRG scope is regional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crg-…-reg</w:t>
      </w:r>
      <w:r>
        <w:t xml:space="preserve">); per-AZ CRGs (CAP-023,</w:t>
      </w:r>
      <w:r>
        <w:t xml:space="preserve"> </w:t>
      </w:r>
      <w:r>
        <w:rPr>
          <w:rStyle w:val="VerbatimChar"/>
        </w:rPr>
        <w:t xml:space="preserve">crg-…-az1</w:t>
      </w:r>
      <w:r>
        <w:t xml:space="preserve">) are a later increment.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Freeze &amp; logical lock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 </w:t>
      </w:r>
      <w:r>
        <w:t xml:space="preserve">state +</w:t>
      </w:r>
      <w:r>
        <w:t xml:space="preserve"> </w:t>
      </w:r>
      <w:r>
        <w:rPr>
          <w:rStyle w:val="VerbatimChar"/>
        </w:rPr>
        <w:t xml:space="preserve">Allocation_Ledger</w:t>
      </w:r>
      <w:r>
        <w:t xml:space="preserve">, logical-vs-physical CAP-002 distinction) is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— not in this file.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SKU→family map is naming-derived</w:t>
      </w:r>
      <w:r>
        <w:t xml:space="preserve">; a canonical Azure family table would replace</w:t>
      </w:r>
      <w:r>
        <w:t xml:space="preserve"> </w:t>
      </w:r>
      <w:r>
        <w:rPr>
          <w:rStyle w:val="VerbatimChar"/>
        </w:rPr>
        <w:t xml:space="preserve">SKU_Family_Map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total_customers</w:t>
      </w:r>
      <w:r>
        <w:t xml:space="preserve"> </w:t>
      </w:r>
      <w:r>
        <w:t xml:space="preserve">(γ distribution term) remains undefined in v2.4 — not used by this model, still an open baseline issue.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Phase 2 SKU-grain placement what-if — baseline v2.4 · created 24 Sep 2026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2026-09-24T07:19:40Z</dcterms:created>
  <dcterms:modified xsi:type="dcterms:W3CDTF">2026-09-24T07:19:40Z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