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crme-functional-design-document-fdd"/>
    <w:p>
      <w:pPr>
        <w:pStyle w:val="Heading1"/>
      </w:pPr>
      <w:r>
        <w:t xml:space="preserve">ACRME — Functional Design Document (FDD)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Functional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Executive Design Document as the functional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v2.4</w:t>
            </w:r>
            <w:r>
              <w:t xml:space="preserve"> </w:t>
            </w:r>
            <w:r>
              <w:t xml:space="preserve">(7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Business, architecture, operations, audit, onboarding, 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Design Document (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FDD describes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its functional behaviour, flows, states, and rules — traceable to every requirement in Baseline v2.4. It is implementation-neutral; the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(components, data, algorithms, interfaces, security, NFRs) is in the companion TDD.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detail (readiness states, engine modes, formulas, classification tables, validation rules) is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(v2.4 — reservation-model gaps).</w:t>
      </w:r>
      <w:r>
        <w:t xml:space="preserve"> </w:t>
      </w:r>
      <w:r>
        <w:t xml:space="preserve">This revision folds the reviewed architecture-diagram gaps into the functional design:</w:t>
      </w:r>
      <w:r>
        <w:t xml:space="preserve"> </w:t>
      </w:r>
      <w:r>
        <w:rPr>
          <w:bCs/>
          <w:b/>
        </w:rPr>
        <w:t xml:space="preserve">reservation eligibility</w:t>
      </w:r>
      <w:r>
        <w:t xml:space="preserve"> </w:t>
      </w:r>
      <w:r>
        <w:t xml:space="preserve">now explicitly excludes</w:t>
      </w:r>
      <w:r>
        <w:t xml:space="preserve"> </w:t>
      </w:r>
      <w:r>
        <w:rPr>
          <w:bCs/>
          <w:b/>
        </w:rPr>
        <w:t xml:space="preserve">Availability-Set VMs</w:t>
      </w:r>
      <w:r>
        <w:t xml:space="preserve"> </w:t>
      </w:r>
      <w:r>
        <w:t xml:space="preserve">(CAP-020) and requires a</w:t>
      </w:r>
      <w:r>
        <w:t xml:space="preserve"> </w:t>
      </w:r>
      <w:r>
        <w:rPr>
          <w:bCs/>
          <w:b/>
        </w:rPr>
        <w:t xml:space="preserve">deallocate/redeploy-to-AZ onboarding precondition</w:t>
      </w:r>
      <w:r>
        <w:t xml:space="preserve"> </w:t>
      </w:r>
      <w:r>
        <w:t xml:space="preserve">(CAP-021); the managed estate is initialised as a</w:t>
      </w:r>
      <w:r>
        <w:t xml:space="preserve"> </w:t>
      </w:r>
      <w:r>
        <w:rPr>
          <w:bCs/>
          <w:b/>
        </w:rPr>
        <w:t xml:space="preserve">seed matrix of count-0 reservations</w:t>
      </w:r>
      <w:r>
        <w:t xml:space="preserve"> </w:t>
      </w:r>
      <w:r>
        <w:t xml:space="preserve">per eligible SKU×region×AZ under</w:t>
      </w:r>
      <w:r>
        <w:t xml:space="preserve"> </w:t>
      </w:r>
      <w:r>
        <w:rPr>
          <w:bCs/>
          <w:b/>
        </w:rPr>
        <w:t xml:space="preserve">product-team budget governance</w:t>
      </w:r>
      <w:r>
        <w:t xml:space="preserve"> </w:t>
      </w:r>
      <w:r>
        <w:t xml:space="preserve">(CAP-022), reconciled with</w:t>
      </w:r>
      <w:r>
        <w:t xml:space="preserve"> </w:t>
      </w:r>
      <w:r>
        <w:rPr>
          <w:bCs/>
          <w:b/>
        </w:rPr>
        <w:t xml:space="preserve">reactive SKU/AZ discovery</w:t>
      </w:r>
      <w:r>
        <w:t xml:space="preserve"> </w:t>
      </w:r>
      <w:r>
        <w:t xml:space="preserve">that auto-creates a reservation and simultaneously raises a scope-file governance item (CAP-024, reconciling CAP-019); reservations are organised into an explicit</w:t>
      </w:r>
      <w:r>
        <w:t xml:space="preserve"> </w:t>
      </w:r>
      <w:r>
        <w:rPr>
          <w:bCs/>
          <w:b/>
        </w:rPr>
        <w:t xml:space="preserve">regional + per-AZ CRG structure per environment</w:t>
      </w:r>
      <w:r>
        <w:t xml:space="preserve"> </w:t>
      </w:r>
      <w:r>
        <w:t xml:space="preserve">(CAP-023); VMs are placed toward an</w:t>
      </w:r>
      <w:r>
        <w:t xml:space="preserve"> </w:t>
      </w:r>
      <w:r>
        <w:rPr>
          <w:bCs/>
          <w:b/>
        </w:rPr>
        <w:t xml:space="preserve">even ≈1/zone_count per-zone distribution with a rebalancing action</w:t>
      </w:r>
      <w:r>
        <w:t xml:space="preserve"> </w:t>
      </w:r>
      <w:r>
        <w:t xml:space="preserve">(PLC-011); a shared</w:t>
      </w:r>
      <w:r>
        <w:t xml:space="preserve"> </w:t>
      </w:r>
      <w:r>
        <w:rPr>
          <w:bCs/>
          <w:b/>
        </w:rPr>
        <w:t xml:space="preserve">core subscription is classified entirely production</w:t>
      </w:r>
      <w:r>
        <w:t xml:space="preserve"> </w:t>
      </w:r>
      <w:r>
        <w:t xml:space="preserve">(CAP-001a); the</w:t>
      </w:r>
      <w:r>
        <w:t xml:space="preserve"> </w:t>
      </w:r>
      <w:r>
        <w:rPr>
          <w:bCs/>
          <w:b/>
        </w:rPr>
        <w:t xml:space="preserve">decommissioning-workflow boundary</w:t>
      </w:r>
      <w:r>
        <w:t xml:space="preserve"> </w:t>
      </w:r>
      <w:r>
        <w:t xml:space="preserve">(automatic right-sizing to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vs gated retirement/deletion) is made explicit (CAP-008/CAP-010); and a deterministic</w:t>
      </w:r>
      <w:r>
        <w:t xml:space="preserve"> </w:t>
      </w:r>
      <w:r>
        <w:rPr>
          <w:bCs/>
          <w:b/>
        </w:rPr>
        <w:t xml:space="preserve">RG/CRG/subscription naming convention + counter</w:t>
      </w:r>
      <w:r>
        <w:t xml:space="preserve"> </w:t>
      </w:r>
      <w:r>
        <w:t xml:space="preserve">is adopted (OPS-006, C-12).</w:t>
      </w:r>
      <w:r>
        <w:t xml:space="preserve"> </w:t>
      </w:r>
      <w:r>
        <w:t xml:space="preserve">“</w:t>
      </w:r>
      <w:r>
        <w:rPr>
          <w:bCs/>
          <w:b/>
        </w:rPr>
        <w:t xml:space="preserve">Seed reservation</w:t>
      </w:r>
      <w:r>
        <w:t xml:space="preserve">”</w:t>
      </w:r>
      <w:r>
        <w:t xml:space="preserve"> </w:t>
      </w:r>
      <w:r>
        <w:t xml:space="preserve">(a count-0 reservation) is disambiguated from the placement</w:t>
      </w:r>
      <w:r>
        <w:t xml:space="preserve"> </w:t>
      </w:r>
      <w:r>
        <w:t xml:space="preserve">“</w:t>
      </w:r>
      <w:r>
        <w:rPr>
          <w:bCs/>
          <w:b/>
        </w:rPr>
        <w:t xml:space="preserve">seed record</w:t>
      </w:r>
      <w:r>
        <w:t xml:space="preserve">”</w:t>
      </w:r>
      <w:r>
        <w:t xml:space="preserve"> </w:t>
      </w:r>
      <w:r>
        <w:t xml:space="preserve">(PLC-003).</w:t>
      </w:r>
    </w:p>
    <w:p>
      <w:pPr>
        <w:pStyle w:val="BlockText"/>
      </w:pPr>
      <w:r>
        <w:rPr>
          <w:bCs/>
          <w:b/>
        </w:rPr>
        <w:t xml:space="preserve">Reconciliation note (v2.3).</w:t>
      </w:r>
      <w:r>
        <w:t xml:space="preserve"> </w:t>
      </w:r>
      <w:r>
        <w:t xml:space="preserve">This document reflects the confirmed v2.3 design decisions: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model (QUA-004);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DR destination sizing (DR-017);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onboarding with a governed</w:t>
      </w:r>
      <w:r>
        <w:t xml:space="preserve"> </w:t>
      </w:r>
      <w:r>
        <w:rPr>
          <w:bCs/>
          <w:b/>
        </w:rPr>
        <w:t xml:space="preserve">seed record</w:t>
      </w:r>
      <w:r>
        <w:t xml:space="preserve"> </w:t>
      </w:r>
      <w:r>
        <w:t xml:space="preserve">(PLC-001..005); distributed, reciprocal DR with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 </w:t>
      </w:r>
      <w:r>
        <w:t xml:space="preserve">(DR-016/018) 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(DR-019).</w:t>
      </w:r>
      <w:r>
        <w:t xml:space="preserve"> </w:t>
      </w:r>
      <w:r>
        <w:rPr>
          <w:iCs/>
          <w:i/>
        </w:rPr>
        <w:t xml:space="preserve">(The Middle East DR position is superseded by the v2.4-amended note below.)</w:t>
      </w:r>
    </w:p>
    <w:p>
      <w:pPr>
        <w:pStyle w:val="BlockText"/>
      </w:pPr>
      <w:r>
        <w:rPr>
          <w:bCs/>
          <w:b/>
        </w:rPr>
        <w:t xml:space="preserve">⚠️ [Amended v2.4 — 11 Sep 2026] Middle East DR now offered (cross-geo to Europe).</w:t>
      </w:r>
      <w:r>
        <w:t xml:space="preserve"> </w:t>
      </w:r>
      <w:r>
        <w:t xml:space="preserve">The former Middle East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position (DR-014/DEC-001) is</w:t>
      </w:r>
      <w:r>
        <w:t xml:space="preserve"> </w:t>
      </w:r>
      <w:r>
        <w:rPr>
          <w:bCs/>
          <w:b/>
        </w:rPr>
        <w:t xml:space="preserve">superseded</w:t>
      </w:r>
      <w:r>
        <w:t xml:space="preserve">. Middle East DR</w:t>
      </w:r>
      <w:r>
        <w:t xml:space="preserve"> </w:t>
      </w:r>
      <w:r>
        <w:rPr>
          <w:bCs/>
          <w:b/>
        </w:rPr>
        <w:t xml:space="preserve">is now offered</w:t>
      </w:r>
      <w:r>
        <w:t xml:space="preserve"> </w:t>
      </w:r>
      <w:r>
        <w:t xml:space="preserve">as a</w:t>
      </w:r>
      <w:r>
        <w:t xml:space="preserve"> </w:t>
      </w:r>
      <w:r>
        <w:rPr>
          <w:bCs/>
          <w:b/>
        </w:rPr>
        <w:t xml:space="preserve">cross-geo DR</w:t>
      </w:r>
      <w:r>
        <w:t xml:space="preserve"> </w:t>
      </w:r>
      <w:r>
        <w:t xml:space="preserve">model:</w:t>
      </w:r>
      <w:r>
        <w:t xml:space="preserve"> </w:t>
      </w:r>
      <w:r>
        <w:rPr>
          <w:bCs/>
          <w:b/>
        </w:rPr>
        <w:t xml:space="preserve">Prod and CVAL co-locate in a selected Middle East Standard region</w:t>
      </w:r>
      <w:r>
        <w:t xml:space="preserve"> </w:t>
      </w:r>
      <w:r>
        <w:t xml:space="preserve">(separate CRGs — co-location in a region is not capacity sharing, ENV-003)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. Both selections run the</w:t>
      </w:r>
      <w:r>
        <w:t xml:space="preserve"> </w:t>
      </w:r>
      <w:r>
        <w:rPr>
          <w:bCs/>
          <w:b/>
        </w:rPr>
        <w:t xml:space="preserve">weighted capacity placement model</w:t>
      </w:r>
      <w:r>
        <w:t xml:space="preserve"> </w:t>
      </w:r>
      <w:r>
        <w:t xml:space="preserve">(REG-002/REG-003). New codes:</w:t>
      </w:r>
      <w:r>
        <w:t xml:space="preserve"> </w:t>
      </w:r>
      <w:r>
        <w:rPr>
          <w:bCs/>
          <w:b/>
        </w:rPr>
        <w:t xml:space="preserve">DR-020</w:t>
      </w:r>
      <w:r>
        <w:t xml:space="preserve"> </w:t>
      </w:r>
      <w:r>
        <w:t xml:space="preserve">(cross-geo DR ME→Europe),</w:t>
      </w:r>
      <w:r>
        <w:t xml:space="preserve"> </w:t>
      </w:r>
      <w:r>
        <w:rPr>
          <w:bCs/>
          <w:b/>
        </w:rPr>
        <w:t xml:space="preserve">PLC-010b</w:t>
      </w:r>
      <w:r>
        <w:t xml:space="preserve"> </w:t>
      </w:r>
      <w:r>
        <w:t xml:space="preserve">(cross-geo DR override to PLC-010a),</w:t>
      </w:r>
      <w:r>
        <w:t xml:space="preserve"> </w:t>
      </w:r>
      <w:r>
        <w:rPr>
          <w:bCs/>
          <w:b/>
        </w:rPr>
        <w:t xml:space="preserve">A-ME1</w:t>
      </w:r>
      <w:r>
        <w:t xml:space="preserve"> </w:t>
      </w:r>
      <w:r>
        <w:t xml:space="preserve">(data-residency assumption: Europe is the approved destination). The CVAL-sacrifice DR bootstrap (DR-005/006)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apply to the Middle East (CVAL co-locates with Prod locally). This is a</w:t>
      </w:r>
      <w:r>
        <w:t xml:space="preserve"> </w:t>
      </w:r>
      <w:r>
        <w:rPr>
          <w:bCs/>
          <w:b/>
        </w:rPr>
        <w:t xml:space="preserve">third distribution model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cross-geo DR</w:t>
      </w:r>
      <w:r>
        <w:t xml:space="preserve"> </w:t>
      </w:r>
      <w:r>
        <w:t xml:space="preserve">— alongside the US three-region and the standard two-region co-located models. Affected passages below carry inline</w:t>
      </w:r>
      <w:r>
        <w:t xml:space="preserve"> </w:t>
      </w:r>
      <w:r>
        <w:rPr>
          <w:bCs/>
          <w:b/>
        </w:rPr>
        <w:t xml:space="preserve">[Amended v2.4]</w:t>
      </w:r>
      <w:r>
        <w:t xml:space="preserve"> </w:t>
      </w:r>
      <w:r>
        <w:t xml:space="preserve">markers.</w:t>
      </w:r>
    </w:p>
    <w:p>
      <w:pPr>
        <w:pStyle w:val="BlockText"/>
      </w:pPr>
      <w:r>
        <w:rPr>
          <w:bCs/>
          <w:b/>
        </w:rPr>
        <w:t xml:space="preserve">Region model update (baseline Section 6, [Amended v2.4]).</w:t>
      </w:r>
      <w:r>
        <w:t xml:space="preserve"> </w:t>
      </w:r>
      <w:r>
        <w:t xml:space="preserve">The supported footprint is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with an explicit per-geography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, of which there are now</w:t>
      </w:r>
      <w:r>
        <w:t xml:space="preserve"> </w:t>
      </w:r>
      <w:r>
        <w:rPr>
          <w:bCs/>
          <w:b/>
        </w:rPr>
        <w:t xml:space="preserve">three</w:t>
      </w:r>
      <w:r>
        <w:t xml:space="preserve">: the</w:t>
      </w:r>
      <w:r>
        <w:t xml:space="preserve"> </w:t>
      </w:r>
      <w:r>
        <w:rPr>
          <w:bCs/>
          <w:b/>
        </w:rPr>
        <w:t xml:space="preserve">US is the only three-region geography</w:t>
      </w:r>
      <w:r>
        <w:t xml:space="preserve"> </w:t>
      </w:r>
      <w:r>
        <w:t xml:space="preserve">(West US 3, Central US, Canada Central; East US 2 Restricted);</w:t>
      </w:r>
      <w:r>
        <w:t xml:space="preserve"> </w:t>
      </w:r>
      <w:r>
        <w:rPr>
          <w:bCs/>
          <w:b/>
        </w:rPr>
        <w:t xml:space="preserve">EU, Australia and Asia Pacific are two-region co-located geographies</w:t>
      </w:r>
      <w:r>
        <w:t xml:space="preserve"> </w:t>
      </w:r>
      <w:r>
        <w:t xml:space="preserve">where</w:t>
      </w:r>
      <w:r>
        <w:t xml:space="preserve"> </w:t>
      </w:r>
      <w:r>
        <w:rPr>
          <w:bCs/>
          <w:b/>
        </w:rPr>
        <w:t xml:space="preserve">CVAL and DR co-locate</w:t>
      </w:r>
      <w:r>
        <w:t xml:space="preserve"> </w:t>
      </w:r>
      <w:r>
        <w:t xml:space="preserve">in the non-production region (mandatory rule</w:t>
      </w:r>
      <w:r>
        <w:t xml:space="preserve"> </w:t>
      </w:r>
      <w:r>
        <w:rPr>
          <w:bCs/>
          <w:b/>
        </w:rPr>
        <w:t xml:space="preserve">PLC-010a</w:t>
      </w:r>
      <w:r>
        <w:t xml:space="preserve">); and the</w:t>
      </w:r>
      <w:r>
        <w:t xml:space="preserve"> </w:t>
      </w:r>
      <w:r>
        <w:rPr>
          <w:bCs/>
          <w:b/>
        </w:rPr>
        <w:t xml:space="preserve">Middle East is a cross-geo DR geography [Amended v2.4]</w:t>
      </w:r>
      <w:r>
        <w:t xml:space="preserve"> </w:t>
      </w:r>
      <w:r>
        <w:t xml:space="preserve">— Prod and CVAL co-locate in a selected Middle East region and DR is placed cross-geo in a</w:t>
      </w:r>
      <w:r>
        <w:t xml:space="preserve"> </w:t>
      </w:r>
      <w:r>
        <w:rPr>
          <w:bCs/>
          <w:b/>
        </w:rPr>
        <w:t xml:space="preserve">weighted-selected Europe region</w:t>
      </w:r>
      <w:r>
        <w:t xml:space="preserve"> </w:t>
      </w:r>
      <w:r>
        <w:t xml:space="preserve">(DR-020, PLC-010b). The region catalogue remains versioned and configuration-driven (REG-001); Japan East is a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Asia Pacific addition awaiting confirmation.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-and-scope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t xml:space="preserve">ACRME governs Azure capacity reservations and VM-family quota across a managed fleet so that every managed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quota, in the right region/zone/SKU, before it is allowed to proceed — while keeping idle cost low through lean DR and dynamic reconciliation.</w:t>
      </w:r>
    </w:p>
    <w:p>
      <w:pPr>
        <w:pStyle w:val="BodyText"/>
      </w:pPr>
      <w:r>
        <w:rPr>
          <w:bCs/>
          <w:b/>
        </w:rPr>
        <w:t xml:space="preserve">In scope (baseline Section 5):</w:t>
      </w:r>
      <w:r>
        <w:t xml:space="preserve"> </w:t>
      </w:r>
      <w:r>
        <w:t xml:space="preserve">capacity reservation lifecycle (CAP), quota governance and pooling (QUA), combined deployment readiness (RDY), region selection and customer placement (PLC/REG), disaster recovery (DR), cost/FinOps signals (FIN), AEP/provisioning integration (INT), data/state (DAT), observability (OBS), governance (GOV), operations (OPS), and non-functional behaviour (NFR).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the actual provisioning of customer workloads (owned by AEP), Azure control-plane implementation, and any automation not gated by policy in Phase 1 (destructive VM-association changes remain blocked — see Section 4.5).</w:t>
      </w:r>
    </w:p>
    <w:bookmarkEnd w:id="20"/>
    <w:bookmarkStart w:id="21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Group — Azure construct holding reserved capacity per 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 under earmark.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Azure/Application Enablement Platform — the provisioning consumer of ACRME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 (PLC-003).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quota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quota group per region/quota family covering Prod + NonProd/CVAL + DR (QUA-004).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reserved standby capacity to initiate recovery, not a fixed % of production (DR-007).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DR sizing = largest single non-concurrent protected source portion (DR-017).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Source→destination DR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Reverse-of-seed mapping driving source-specific standby activation (DR-018).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deployment-readiness verdict returned to AEP (RDY-002).</w:t>
            </w:r>
          </w:p>
        </w:tc>
      </w:tr>
    </w:tbl>
    <w:bookmarkEnd w:id="21"/>
    <w:bookmarkStart w:id="22" w:name="traceability-approach"/>
    <w:p>
      <w:pPr>
        <w:pStyle w:val="Heading3"/>
      </w:pPr>
      <w:r>
        <w:t xml:space="preserve">1.3 Traceability approach</w:t>
      </w:r>
    </w:p>
    <w:p>
      <w:pPr>
        <w:pStyle w:val="FirstParagraph"/>
      </w:pPr>
      <w:r>
        <w:t xml:space="preserve">Every functional capability in Section 4 cites the requirement IDs it satisfies. Section 9 is a full matrix mapping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Baseline v2.3 ID (REG/ENV/CAP/QUA/RDY/PLC/DR/FIN/INT/DAT/OBS/GOV/NFR/OPS + POC/DEC/DEP dependencies) to an FDD section.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olution-overview"/>
    <w:p>
      <w:pPr>
        <w:pStyle w:val="Heading2"/>
      </w:pPr>
      <w:r>
        <w:t xml:space="preserve">2. Solution Overview</w:t>
      </w:r>
    </w:p>
    <w:p>
      <w:pPr>
        <w:pStyle w:val="FirstParagraph"/>
      </w:pPr>
      <w:r>
        <w:t xml:space="preserve">ACRME is a policy-driven control engine sitting between the customer/onboarding intent and Azure’s capacity and quota control planes. It continuously reconciles desired vs actual state and answers a single question for every managed deployment:</w:t>
      </w:r>
      <w:r>
        <w:t xml:space="preserve"> </w:t>
      </w:r>
      <w:r>
        <w:rPr>
          <w:iCs/>
          <w:i/>
        </w:rPr>
        <w:t xml:space="preserve">is this deployment ready, and if not, exactly why?</w:t>
      </w:r>
    </w:p>
    <w:p>
      <w:pPr>
        <w:pStyle w:val="BodyText"/>
      </w:pPr>
      <w:r>
        <w:rPr>
          <w:bCs/>
          <w:b/>
        </w:rPr>
        <w:t xml:space="preserve">Capability map → requirement groups: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governance &amp; single-pool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deployment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 &amp; customer placement (seed)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PLC,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recovery (distributed, max-not-sum)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DR,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&amp; 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Provisioning &amp; AEP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&amp; governance &amp;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OBS, GOV,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state (functional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(each), Section 6</w:t>
            </w:r>
          </w:p>
        </w:tc>
      </w:tr>
    </w:tbl>
    <w:bookmarkStart w:id="24" w:name="f1-system-context"/>
    <w:p>
      <w:pPr>
        <w:pStyle w:val="Heading3"/>
      </w:pPr>
      <w:r>
        <w:t xml:space="preserve">F1 — System context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Onboard[Onboarding / Product teams] --&gt;|exact prod region, customer intent| ACRME</w:t>
      </w:r>
      <w:r>
        <w:br/>
      </w:r>
      <w:r>
        <w:rPr>
          <w:rStyle w:val="VerbatimChar"/>
        </w:rPr>
        <w:t xml:space="preserve">    AEP[AEP / Provisioning] --&gt;|readiness query| ACRME</w:t>
      </w:r>
      <w:r>
        <w:br/>
      </w:r>
      <w:r>
        <w:rPr>
          <w:rStyle w:val="VerbatimChar"/>
        </w:rPr>
        <w:t xml:space="preserve">    ACRME --&gt;|DeploymentReadinessResult| AEP</w:t>
      </w:r>
      <w:r>
        <w:br/>
      </w:r>
      <w:r>
        <w:rPr>
          <w:rStyle w:val="VerbatimChar"/>
        </w:rPr>
        <w:t xml:space="preserve">    Ops[Platform operators / DR coordinator] --&gt;|approvals, overrides, DR declaration| ACRME</w:t>
      </w:r>
      <w:r>
        <w:br/>
      </w:r>
      <w:r>
        <w:rPr>
          <w:rStyle w:val="VerbatimChar"/>
        </w:rPr>
        <w:t xml:space="preserve">    FinOps[FinOps] --&gt;|cost policy, buffer policy| ACRME</w:t>
      </w:r>
      <w:r>
        <w:br/>
      </w:r>
      <w:r>
        <w:rPr>
          <w:rStyle w:val="VerbatimChar"/>
        </w:rPr>
        <w:t xml:space="preserve">    Audit[Auditors] --&gt;|read audit trail| ACRME</w:t>
      </w:r>
      <w:r>
        <w:br/>
      </w:r>
      <w:r>
        <w:rPr>
          <w:rStyle w:val="VerbatimChar"/>
        </w:rPr>
        <w:t xml:space="preserve">    ACRME --&gt;|reservations, CRGs| AzCap[Azure Capacity Control Plane]</w:t>
      </w:r>
      <w:r>
        <w:br/>
      </w:r>
      <w:r>
        <w:rPr>
          <w:rStyle w:val="VerbatimChar"/>
        </w:rPr>
        <w:t xml:space="preserve">    ACRME --&gt;|quota pool ops| AzQuota[Azure Quota / groupQuotas]</w:t>
      </w:r>
      <w:r>
        <w:br/>
      </w:r>
      <w:r>
        <w:rPr>
          <w:rStyle w:val="VerbatimChar"/>
        </w:rPr>
        <w:t xml:space="preserve">    ACRME --&gt;|metrics, alerts| Obs[Observability platform]</w:t>
      </w:r>
      <w:r>
        <w:br/>
      </w:r>
      <w:r>
        <w:rPr>
          <w:rStyle w:val="VerbatimChar"/>
        </w:rPr>
        <w:t xml:space="preserve">    AzCap --&gt; ACRME</w:t>
      </w:r>
      <w:r>
        <w:br/>
      </w:r>
      <w:r>
        <w:rPr>
          <w:rStyle w:val="VerbatimChar"/>
        </w:rPr>
        <w:t xml:space="preserve">    AzQuota --&gt; ACRME</w:t>
      </w:r>
    </w:p>
    <w:bookmarkEnd w:id="24"/>
    <w:bookmarkStart w:id="25" w:name="f2-capability-map"/>
    <w:p>
      <w:pPr>
        <w:pStyle w:val="Heading3"/>
      </w:pPr>
      <w:r>
        <w:t xml:space="preserve">F2 — Capability map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ACRME((ACRME Engine))</w:t>
      </w:r>
      <w:r>
        <w:br/>
      </w:r>
      <w:r>
        <w:rPr>
          <w:rStyle w:val="VerbatimChar"/>
        </w:rPr>
        <w:t xml:space="preserve">    ACRME --&gt; C1[Capacity mgmt&lt;br/&gt;CAP]</w:t>
      </w:r>
      <w:r>
        <w:br/>
      </w:r>
      <w:r>
        <w:rPr>
          <w:rStyle w:val="VerbatimChar"/>
        </w:rPr>
        <w:t xml:space="preserve">    ACRME --&gt; C2[Quota single pool&lt;br/&gt;QUA]</w:t>
      </w:r>
      <w:r>
        <w:br/>
      </w:r>
      <w:r>
        <w:rPr>
          <w:rStyle w:val="VerbatimChar"/>
        </w:rPr>
        <w:t xml:space="preserve">    ACRME --&gt; C3[Readiness&lt;br/&gt;RDY]</w:t>
      </w:r>
      <w:r>
        <w:br/>
      </w:r>
      <w:r>
        <w:rPr>
          <w:rStyle w:val="VerbatimChar"/>
        </w:rPr>
        <w:t xml:space="preserve">    ACRME --&gt; C4[Placement + Seed&lt;br/&gt;PLC / REG]</w:t>
      </w:r>
      <w:r>
        <w:br/>
      </w:r>
      <w:r>
        <w:rPr>
          <w:rStyle w:val="VerbatimChar"/>
        </w:rPr>
        <w:t xml:space="preserve">    ACRME --&gt; C5[Disaster recovery&lt;br/&gt;DR / ENV]</w:t>
      </w:r>
      <w:r>
        <w:br/>
      </w:r>
      <w:r>
        <w:rPr>
          <w:rStyle w:val="VerbatimChar"/>
        </w:rPr>
        <w:t xml:space="preserve">    ACRME --&gt; C6[Cost / FinOps&lt;br/&gt;FIN]</w:t>
      </w:r>
      <w:r>
        <w:br/>
      </w:r>
      <w:r>
        <w:rPr>
          <w:rStyle w:val="VerbatimChar"/>
        </w:rPr>
        <w:t xml:space="preserve">    ACRME --&gt; C7[AEP integration&lt;br/&gt;INT]</w:t>
      </w:r>
      <w:r>
        <w:br/>
      </w:r>
      <w:r>
        <w:rPr>
          <w:rStyle w:val="VerbatimChar"/>
        </w:rPr>
        <w:t xml:space="preserve">    ACRME --&gt; C8[Observability / Governance / Ops&lt;br/&gt;OBS / GOV / OPS]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ctors-and-stakeholders"/>
    <w:p>
      <w:pPr>
        <w:pStyle w:val="Heading2"/>
      </w:pPr>
      <w:r>
        <w:t xml:space="preserve">3. Actors and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ACRME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/ 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exact production region and customer intent; requests placement.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PLC-001, PLC-002,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 /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readiness before deploying; consumes readiness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INT-001..007, RDY-001..004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increases/overrides, runs reconciliation, manages scope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GOV-001..009, OPS-001..005, CAP-006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DR events, orders priority waves, authorises CVAL release, drives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DR-004..013,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cost/buffer policy; monitors idle cost and overcommit.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immutable audit trail of all decisions and mutations.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GOV-004..009, DAT-005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quota provider and feature-maturity dependency.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DEP-001, POC-001..011</w:t>
            </w:r>
          </w:p>
        </w:tc>
      </w:tr>
    </w:tbl>
    <w:bookmarkStart w:id="27" w:name="f3-actor-use-case-overview"/>
    <w:p>
      <w:pPr>
        <w:pStyle w:val="Heading3"/>
      </w:pPr>
      <w:r>
        <w:t xml:space="preserve">F3 — Actor / use-case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Actors</w:t>
      </w:r>
      <w:r>
        <w:br/>
      </w:r>
      <w:r>
        <w:rPr>
          <w:rStyle w:val="VerbatimChar"/>
        </w:rPr>
        <w:t xml:space="preserve">        O[Onboarding]</w:t>
      </w:r>
      <w:r>
        <w:br/>
      </w:r>
      <w:r>
        <w:rPr>
          <w:rStyle w:val="VerbatimChar"/>
        </w:rPr>
        <w:t xml:space="preserve">        A[AEP]</w:t>
      </w:r>
      <w:r>
        <w:br/>
      </w:r>
      <w:r>
        <w:rPr>
          <w:rStyle w:val="VerbatimChar"/>
        </w:rPr>
        <w:t xml:space="preserve">        Op[Operator]</w:t>
      </w:r>
      <w:r>
        <w:br/>
      </w:r>
      <w:r>
        <w:rPr>
          <w:rStyle w:val="VerbatimChar"/>
        </w:rPr>
        <w:t xml:space="preserve">        DR[DR coordinator]</w:t>
      </w:r>
      <w:r>
        <w:br/>
      </w:r>
      <w:r>
        <w:rPr>
          <w:rStyle w:val="VerbatimChar"/>
        </w:rPr>
        <w:t xml:space="preserve">        F[FinOps]</w:t>
      </w:r>
      <w:r>
        <w:br/>
      </w:r>
      <w:r>
        <w:rPr>
          <w:rStyle w:val="VerbatimChar"/>
        </w:rPr>
        <w:t xml:space="preserve">        Au[Auditor]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 --&gt; UC1((Onboard + place customer))</w:t>
      </w:r>
      <w:r>
        <w:br/>
      </w:r>
      <w:r>
        <w:rPr>
          <w:rStyle w:val="VerbatimChar"/>
        </w:rPr>
        <w:t xml:space="preserve">    A --&gt; UC2((Query deployment readiness))</w:t>
      </w:r>
      <w:r>
        <w:br/>
      </w:r>
      <w:r>
        <w:rPr>
          <w:rStyle w:val="VerbatimChar"/>
        </w:rPr>
        <w:t xml:space="preserve">    Op --&gt; UC3((Reconcile capacity/quota))</w:t>
      </w:r>
      <w:r>
        <w:br/>
      </w:r>
      <w:r>
        <w:rPr>
          <w:rStyle w:val="VerbatimChar"/>
        </w:rPr>
        <w:t xml:space="preserve">    Op --&gt; UC4((Approve increase / override))</w:t>
      </w:r>
      <w:r>
        <w:br/>
      </w:r>
      <w:r>
        <w:rPr>
          <w:rStyle w:val="VerbatimChar"/>
        </w:rPr>
        <w:t xml:space="preserve">    DR --&gt; UC5((Declare DR + activate standby))</w:t>
      </w:r>
      <w:r>
        <w:br/>
      </w:r>
      <w:r>
        <w:rPr>
          <w:rStyle w:val="VerbatimChar"/>
        </w:rPr>
        <w:t xml:space="preserve">    DR --&gt; UC6((Run DR drill / failback))</w:t>
      </w:r>
      <w:r>
        <w:br/>
      </w:r>
      <w:r>
        <w:rPr>
          <w:rStyle w:val="VerbatimChar"/>
        </w:rPr>
        <w:t xml:space="preserve">    F --&gt; UC7((Set cost/buffer policy))</w:t>
      </w:r>
      <w:r>
        <w:br/>
      </w:r>
      <w:r>
        <w:rPr>
          <w:rStyle w:val="VerbatimChar"/>
        </w:rPr>
        <w:t xml:space="preserve">    Au --&gt; UC8((Audit decisions))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functional-capabilities"/>
    <w:p>
      <w:pPr>
        <w:pStyle w:val="Heading2"/>
      </w:pPr>
      <w:r>
        <w:t xml:space="preserve">4. Functional Capabilities</w:t>
      </w:r>
    </w:p>
    <w:bookmarkStart w:id="29" w:name="Xbd150d36a12df02975299a522cd12b8226b2442"/>
    <w:p>
      <w:pPr>
        <w:pStyle w:val="Heading3"/>
      </w:pPr>
      <w:r>
        <w:t xml:space="preserve">4.1 Capacity reservation management (CAP-001..024)</w:t>
      </w:r>
    </w:p>
    <w:p>
      <w:pPr>
        <w:numPr>
          <w:ilvl w:val="0"/>
          <w:numId w:val="1001"/>
        </w:numPr>
        <w:pStyle w:val="Compact"/>
      </w:pPr>
      <w:r>
        <w:t xml:space="preserve">ACRME maintains reservation state per subscription/region/zone/SKU-family/environment/product and correlates it with quota state (CAP-001, CAP-002). VMs in a shared</w:t>
      </w:r>
      <w:r>
        <w:t xml:space="preserve"> </w:t>
      </w:r>
      <w:r>
        <w:rPr>
          <w:bCs/>
          <w:b/>
        </w:rPr>
        <w:t xml:space="preserve">core subscription are classified production</w:t>
      </w:r>
      <w:r>
        <w:t xml:space="preserve"> </w:t>
      </w:r>
      <w:r>
        <w:t xml:space="preserve">for buffer/coverage purposes (CAP-001a).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Steady-state reservation floor</w:t>
      </w:r>
      <w:r>
        <w:t xml:space="preserve"> </w:t>
      </w:r>
      <w:r>
        <w:t xml:space="preserve">is normative:</w:t>
      </w:r>
      <w:r>
        <w:t xml:space="preserve"> </w:t>
      </w:r>
      <w:r>
        <w:rPr>
          <w:rStyle w:val="VerbatimChar"/>
        </w:rPr>
        <w:t xml:space="preserve">Target Reserved Capacity = Allocated VM Count + Configured Buffer</w:t>
      </w:r>
      <w:r>
        <w:t xml:space="preserve"> </w:t>
      </w:r>
      <w:r>
        <w:t xml:space="preserve">(CAP-003). Associated-but-deallocated VMs are reported separately and do not automatically preserve paid reservation (CAP-004, CAP-013).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Azure resource creation precedes config activation: create/validate the CRG/reservation first, then activate the deployment config that references it (CAP-007, CAP-008).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Zero-capacity, not deletion:</w:t>
      </w:r>
      <w:r>
        <w:t xml:space="preserve"> </w:t>
      </w:r>
      <w:r>
        <w:t xml:space="preserve">an unused managed reservation is reduced to zero where Azure permits; deletion is a separate approved decommissioning workflow (CAP-009, CAP-010).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Over-allocation (reserved &lt; associated demand) is explicit and policy-approved, never silent (CAP-011, CAP-012). Capacity sharing across subscriptions is validated for SKU/region/zone/authorisation (CAP-014..019).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Reservation eligibility &amp; onboarding (CAP-020/CAP-021).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Availability-Set VMs are ineligible</w:t>
      </w:r>
      <w:r>
        <w:t xml:space="preserve"> </w:t>
      </w:r>
      <w:r>
        <w:t xml:space="preserve">for Capacity Reservations — the constructs are mutually exclusive. ACRME excludes them from eligibility and from the</w:t>
      </w:r>
      <w:r>
        <w:t xml:space="preserve"> </w:t>
      </w:r>
      <w:r>
        <w:rPr>
          <w:rStyle w:val="VerbatimChar"/>
        </w:rPr>
        <w:t xml:space="preserve">allocated</w:t>
      </w:r>
      <w:r>
        <w:t xml:space="preserve">/</w:t>
      </w:r>
      <w:r>
        <w:rPr>
          <w:rStyle w:val="VerbatimChar"/>
        </w:rPr>
        <w:t xml:space="preserve">associated</w:t>
      </w:r>
      <w:r>
        <w:t xml:space="preserve"> </w:t>
      </w:r>
      <w:r>
        <w:t xml:space="preserve">counts that drive CAP-003 targets, and surfaces any managed-scope Availability-Set VM as a non-eligible exception with a remediation action (CAP-020).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Onboarding precondition:</w:t>
      </w:r>
      <w:r>
        <w:t xml:space="preserve"> </w:t>
      </w:r>
      <w:r>
        <w:t xml:space="preserve">a VM must occupy a reservation-eligible placement — an availability zone (preferred), or regional placement only where the SKU has no zonal support. An ineligible VM must first be</w:t>
      </w:r>
      <w:r>
        <w:t xml:space="preserve"> </w:t>
      </w:r>
      <w:r>
        <w:rPr>
          <w:bCs/>
          <w:b/>
        </w:rPr>
        <w:t xml:space="preserve">deallocated and redeployed into an AZ</w:t>
      </w:r>
      <w:r>
        <w:t xml:space="preserve"> </w:t>
      </w:r>
      <w:r>
        <w:t xml:space="preserve">(or migrated per runbook); ACRME records the required action and never auto-migrates running workloads (CAP-021).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Seed matrix, reactive discovery &amp; CRG structure (CAP-022/CAP-023/CAP-024).</w:t>
      </w:r>
      <w:r>
        <w:t xml:space="preserve"> </w:t>
      </w:r>
      <w:r>
        <w:t xml:space="preserve">- The managed estate is initialised as a</w:t>
      </w:r>
      <w:r>
        <w:t xml:space="preserve"> </w:t>
      </w:r>
      <w:r>
        <w:rPr>
          <w:bCs/>
          <w:b/>
        </w:rPr>
        <w:t xml:space="preserve">seed matrix of count-0 reservations</w:t>
      </w:r>
      <w:r>
        <w:t xml:space="preserve"> </w:t>
      </w:r>
      <w:r>
        <w:t xml:space="preserve">(</w:t>
      </w:r>
      <w:r>
        <w:t xml:space="preserve">“</w:t>
      </w:r>
      <w:r>
        <w:t xml:space="preserve">seed reservations</w:t>
      </w:r>
      <w:r>
        <w:t xml:space="preserve">”</w:t>
      </w:r>
      <w:r>
        <w:t xml:space="preserve">) for every eligible SKU×region×AZ, created in the correct CRG at reserved quantity 0 so reconciliation can scale up the instant demand appears. Entry into the matrix requires an owning</w:t>
      </w:r>
      <w:r>
        <w:t xml:space="preserve"> </w:t>
      </w:r>
      <w:r>
        <w:rPr>
          <w:bCs/>
          <w:b/>
        </w:rPr>
        <w:t xml:space="preserve">product team + approved budget line</w:t>
      </w:r>
      <w:r>
        <w:t xml:space="preserve"> </w:t>
      </w:r>
      <w:r>
        <w:t xml:space="preserve">(CAP-022). This</w:t>
      </w:r>
      <w:r>
        <w:t xml:space="preserve"> </w:t>
      </w:r>
      <w:r>
        <w:t xml:space="preserve">“</w:t>
      </w:r>
      <w:r>
        <w:t xml:space="preserve">seed reservation</w:t>
      </w:r>
      <w:r>
        <w:t xml:space="preserve">”</w:t>
      </w:r>
      <w:r>
        <w:t xml:space="preserve"> </w:t>
      </w:r>
      <w:r>
        <w:t xml:space="preserve">is distinct from the placement</w:t>
      </w:r>
      <w:r>
        <w:t xml:space="preserve"> </w:t>
      </w:r>
      <w:r>
        <w:t xml:space="preserve">“</w:t>
      </w:r>
      <w:r>
        <w:t xml:space="preserve">seed record</w:t>
      </w:r>
      <w:r>
        <w:t xml:space="preserve">”</w:t>
      </w:r>
      <w:r>
        <w:t xml:space="preserve"> </w:t>
      </w:r>
      <w:r>
        <w:t xml:space="preserve">(PLC-003).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 Reservations are organised into an explicit</w:t>
      </w:r>
      <w:r>
        <w:t xml:space="preserve"> </w:t>
      </w:r>
      <w:r>
        <w:rPr>
          <w:bCs/>
          <w:b/>
        </w:rPr>
        <w:t xml:space="preserve">regional + per-AZ CRG structure per environment</w:t>
      </w:r>
      <w:r>
        <w:t xml:space="preserve"> </w:t>
      </w:r>
      <w:r>
        <w:t xml:space="preserve">— one regional (non-zonal) CRG plus one CRG per AZ (e.g. </w:t>
      </w:r>
      <w:r>
        <w:rPr>
          <w:rStyle w:val="VerbatimChar"/>
        </w:rPr>
        <w:t xml:space="preserve">crg-pr-eus2-reg</w:t>
      </w:r>
      <w:r>
        <w:t xml:space="preserve">,</w:t>
      </w:r>
      <w:r>
        <w:t xml:space="preserve"> </w:t>
      </w:r>
      <w:r>
        <w:rPr>
          <w:rStyle w:val="VerbatimChar"/>
        </w:rPr>
        <w:t xml:space="preserve">crg-pr-eus2-az1..az3</w:t>
      </w:r>
      <w:r>
        <w:t xml:space="preserve">); environments are never mixed in a CRG (CAP-023, ENV-003).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t xml:space="preserve">- On</w:t>
      </w:r>
      <w:r>
        <w:t xml:space="preserve"> </w:t>
      </w:r>
      <w:r>
        <w:rPr>
          <w:bCs/>
          <w:b/>
        </w:rPr>
        <w:t xml:space="preserve">reactive discovery</w:t>
      </w:r>
      <w:r>
        <w:t xml:space="preserve"> </w:t>
      </w:r>
      <w:r>
        <w:t xml:space="preserve">of an allocated SKU/AZ not yet in the matrix, ACRME</w:t>
      </w:r>
      <w:r>
        <w:t xml:space="preserve"> </w:t>
      </w:r>
      <w:r>
        <w:rPr>
          <w:bCs/>
          <w:b/>
        </w:rPr>
        <w:t xml:space="preserve">auto-creates</w:t>
      </w:r>
      <w:r>
        <w:t xml:space="preserve"> </w:t>
      </w:r>
      <w:r>
        <w:t xml:space="preserve">the CRG (if absent) + reservation at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to protect production immediately,</w:t>
      </w:r>
      <w:r>
        <w:t xml:space="preserve"> </w:t>
      </w:r>
      <w:r>
        <w:rPr>
          <w:bCs/>
          <w:b/>
        </w:rPr>
        <w:t xml:space="preserve">and simultaneously raises a scope-file governance item</w:t>
      </w:r>
      <w:r>
        <w:t xml:space="preserve"> </w:t>
      </w:r>
      <w:r>
        <w:t xml:space="preserve">to ratify the SKU/AZ with owner + budget — reconciling the reactive path with CAP-019/CAP-002 within the governance SLA (CAP-024).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Decommissioning-workflow boundary (CAP-008/CAP-010).</w:t>
      </w:r>
      <w:r>
        <w:t xml:space="preserve"> </w:t>
      </w:r>
      <w:r>
        <w:t xml:space="preserve">Automatic reconciliation may</w:t>
      </w:r>
      <w:r>
        <w:t xml:space="preserve"> </w:t>
      </w:r>
      <w:r>
        <w:rPr>
          <w:bCs/>
          <w:b/>
        </w:rPr>
        <w:t xml:space="preserve">right-size a retained reservation down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allocated + buffer</w:t>
      </w:r>
      <w:r>
        <w:t xml:space="preserve"> </w:t>
      </w:r>
      <w:r>
        <w:t xml:space="preserve">after a decommission, but reducing a reservation</w:t>
      </w:r>
      <w:r>
        <w:t xml:space="preserve"> </w:t>
      </w:r>
      <w:r>
        <w:rPr>
          <w:bCs/>
          <w:b/>
        </w:rPr>
        <w:t xml:space="preserve">to 0 as an intentional retirement</w:t>
      </w:r>
      <w:r>
        <w:t xml:space="preserve">, deleting a CRG/reservation object, or removing a SKU/AZ from the scope file requires the</w:t>
      </w:r>
      <w:r>
        <w:t xml:space="preserve"> </w:t>
      </w:r>
      <w:r>
        <w:rPr>
          <w:bCs/>
          <w:b/>
        </w:rPr>
        <w:t xml:space="preserve">separate approved decommissioning workflow</w:t>
      </w:r>
      <w:r>
        <w:t xml:space="preserve"> </w:t>
      </w:r>
      <w:r>
        <w:t xml:space="preserve">(approval + impact analysis + audit). ACRME never infers teardown intent from a transient drop in allocated VMs.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X772f6edffb11c05be1347f03e03970782405024"/>
    <w:p>
      <w:pPr>
        <w:pStyle w:val="Heading3"/>
      </w:pPr>
      <w:r>
        <w:t xml:space="preserve">4.2 Quota management — single governed pool (QUA-001..014)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 NonProd/CVAL, and DR together. All eligible default per-region quota is hoarded into the pool (QUA-003) and allocated on demand to whichever environment needs it — maximising flexibility, improving utilisation, and</w:t>
      </w:r>
      <w:r>
        <w:t xml:space="preserve"> </w:t>
      </w:r>
      <w:r>
        <w:rPr>
          <w:bCs/>
          <w:b/>
        </w:rPr>
        <w:t xml:space="preserve">cutting quota-increase requests to Microsoft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is by logical earmark, not physical separation: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 fail-safes at</w:t>
      </w:r>
      <w:r>
        <w:t xml:space="preserve"> </w:t>
      </w:r>
      <w:r>
        <w:rPr>
          <w:rStyle w:val="VerbatimChar"/>
        </w:rPr>
        <w:t xml:space="preserve">Allocatable_NonProd = 0</w:t>
      </w:r>
      <w:r>
        <w:t xml:space="preserve"> </w:t>
      </w:r>
      <w:r>
        <w:t xml:space="preserve">(QUA-006..009).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Quota-as-governor (QUA-005):</w:t>
      </w:r>
      <w:r>
        <w:t xml:space="preserve"> </w:t>
      </w:r>
      <w:r>
        <w:t xml:space="preserve">quota caps deployable capacity per product/env/subscription/region/family; every increase is justified and recorded — unallocated pooled quota is not auto-distributed.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Exception topology (QUA-004 clause):</w:t>
      </w:r>
      <w:r>
        <w:t xml:space="preserve"> </w:t>
      </w:r>
      <w:r>
        <w:t xml:space="preserve">a two-group/multi-group model is used only when Azure Quota Group limits or a mandatory Prod-isolation governance boundary make one pool impossible; each such case is recorded in the Decision Log and reverts to one pool when the constraint lifts.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Reclamation never drops a subscription below current usage, committed demand, Prod buffer, or approved DR need (QUA-010..014).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ombined-readiness-rdy-001..004"/>
    <w:p>
      <w:pPr>
        <w:pStyle w:val="Heading3"/>
      </w:pPr>
      <w:r>
        <w:t xml:space="preserve">4.3 Combined readiness (RDY-001..004)</w:t>
      </w:r>
    </w:p>
    <w:p>
      <w:pPr>
        <w:pStyle w:val="FirstParagraph"/>
      </w:pPr>
      <w:r>
        <w:t xml:space="preserve">ACRME returns a single machine-readable</w:t>
      </w:r>
      <w:r>
        <w:t xml:space="preserve"> </w:t>
      </w:r>
      <w:r>
        <w:rPr>
          <w:bCs/>
          <w:b/>
        </w:rPr>
        <w:t xml:space="preserve">deployment readiness state</w:t>
      </w:r>
      <w:r>
        <w:t xml:space="preserve"> </w:t>
      </w:r>
      <w:r>
        <w:t xml:space="preserve">to AEP (RDY-001, RDY-002). The enumerated states are normative: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pStyle w:val="FirstParagraph"/>
      </w:pPr>
      <w:r>
        <w:t xml:space="preserve">Readiness combines capacity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quota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freshness: a reservation without deployable quota is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/</w:t>
      </w:r>
      <w:r>
        <w:rPr>
          <w:rStyle w:val="VerbatimChar"/>
        </w:rPr>
        <w:t xml:space="preserve">QUOTA_DEFICIT</w:t>
      </w:r>
      <w:r>
        <w:t xml:space="preserve">, never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(RDY-003). State older than the configured maximum, when synchronous refresh fails, is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(RDY-004, NFR-002).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1"/>
    <w:bookmarkStart w:id="32" w:name="Xc47e86e10f89ad68333966a0da227c13a8edf1d"/>
    <w:p>
      <w:pPr>
        <w:pStyle w:val="Heading3"/>
      </w:pPr>
      <w:r>
        <w:t xml:space="preserve">F8 — Deployment readiness state model (RDY-002)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Evaluating</w:t>
      </w:r>
      <w:r>
        <w:br/>
      </w:r>
      <w:r>
        <w:rPr>
          <w:rStyle w:val="VerbatimChar"/>
        </w:rPr>
        <w:t xml:space="preserve">    Evaluating --&gt; READY: capacity+quota ok &amp; fresh</w:t>
      </w:r>
      <w:r>
        <w:br/>
      </w:r>
      <w:r>
        <w:rPr>
          <w:rStyle w:val="VerbatimChar"/>
        </w:rPr>
        <w:t xml:space="preserve">    Evaluating --&gt; READY_WITH_RISK: reserved&gt;deployable quota (policy)</w:t>
      </w:r>
      <w:r>
        <w:br/>
      </w:r>
      <w:r>
        <w:rPr>
          <w:rStyle w:val="VerbatimChar"/>
        </w:rPr>
        <w:t xml:space="preserve">    Evaluating --&gt; QUOTA_DEFICIT: consumer quota short</w:t>
      </w:r>
      <w:r>
        <w:br/>
      </w:r>
      <w:r>
        <w:rPr>
          <w:rStyle w:val="VerbatimChar"/>
        </w:rPr>
        <w:t xml:space="preserve">    Evaluating --&gt; RESERVATION_DEFICIT: reserved &lt; required</w:t>
      </w:r>
      <w:r>
        <w:br/>
      </w:r>
      <w:r>
        <w:rPr>
          <w:rStyle w:val="VerbatimChar"/>
        </w:rPr>
        <w:t xml:space="preserve">    Evaluating --&gt; CAPACITY_UNAVAILABLE: Azure cannot supply</w:t>
      </w:r>
      <w:r>
        <w:br/>
      </w:r>
      <w:r>
        <w:rPr>
          <w:rStyle w:val="VerbatimChar"/>
        </w:rPr>
        <w:t xml:space="preserve">    Evaluating --&gt; STALE_STATE: snapshot too old &amp; refresh failed</w:t>
      </w:r>
      <w:r>
        <w:br/>
      </w:r>
      <w:r>
        <w:rPr>
          <w:rStyle w:val="VerbatimChar"/>
        </w:rPr>
        <w:t xml:space="preserve">    Evaluating --&gt; POLICY_BLOCKED: policy/exception required</w:t>
      </w:r>
      <w:r>
        <w:br/>
      </w:r>
      <w:r>
        <w:rPr>
          <w:rStyle w:val="VerbatimChar"/>
        </w:rPr>
        <w:t xml:space="preserve">    Evaluating --&gt; VALIDATION_REQUIRED: unknown/preview behaviour</w:t>
      </w:r>
      <w:r>
        <w:br/>
      </w:r>
      <w:r>
        <w:rPr>
          <w:rStyle w:val="VerbatimChar"/>
        </w:rPr>
        <w:t xml:space="preserve">    READY --&gt; [*]</w:t>
      </w:r>
      <w:r>
        <w:br/>
      </w:r>
      <w:r>
        <w:rPr>
          <w:rStyle w:val="VerbatimChar"/>
        </w:rPr>
        <w:t xml:space="preserve">    READY_WITH_RISK --&gt; [*]</w:t>
      </w:r>
      <w:r>
        <w:br/>
      </w:r>
      <w:r>
        <w:rPr>
          <w:rStyle w:val="VerbatimChar"/>
        </w:rPr>
        <w:t xml:space="preserve">    QUOTA_DEFICIT --&gt; Evaluating: quota allocated</w:t>
      </w:r>
      <w:r>
        <w:br/>
      </w:r>
      <w:r>
        <w:rPr>
          <w:rStyle w:val="VerbatimChar"/>
        </w:rPr>
        <w:t xml:space="preserve">    RESERVATION_DEFICIT --&gt; Evaluating: capacity added</w:t>
      </w:r>
      <w:r>
        <w:br/>
      </w:r>
      <w:r>
        <w:rPr>
          <w:rStyle w:val="VerbatimChar"/>
        </w:rPr>
        <w:t xml:space="preserve">    STALE_STATE --&gt; Evaluating: refresh succeeds</w:t>
      </w:r>
    </w:p>
    <w:bookmarkEnd w:id="32"/>
    <w:bookmarkStart w:id="33" w:name="X8b011be1e0bc9abaf5c3168ea77d90b8660d40e"/>
    <w:p>
      <w:pPr>
        <w:pStyle w:val="Heading3"/>
      </w:pPr>
      <w:r>
        <w:t xml:space="preserve">4.4 Region selection &amp; customer placement (PLC-001..010, REG-001..003)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production region is the default validated input (PLC-001).</w:t>
      </w:r>
      <w:r>
        <w:t xml:space="preserve"> </w:t>
      </w:r>
      <w:r>
        <w:t xml:space="preserve">ACRME validates the supplied region against the versioned catalogue rather than deriving it from a broad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Geography-only selection is an exception path (PLC-002):</w:t>
      </w:r>
      <w:r>
        <w:t xml:space="preserve"> </w:t>
      </w:r>
      <w:r>
        <w:t xml:space="preserve">it requires explicit exception approval and customer acknowledgement that the derived production region becomes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(the seed) until a governed migration changes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Seed-once, reuse-across-products (PLC-003..005):</w:t>
      </w:r>
      <w:r>
        <w:t xml:space="preserve"> </w:t>
      </w:r>
      <w:r>
        <w:t xml:space="preserve">the first valid decision writes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; later products/environments for the same customer/geography reuse it. Seed changes require an approved migration workflow.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t xml:space="preserve">CVAL and DR are selected after production is fixed, using current readiness, environment separation (ENV-003), restriction flags, workload distribution, quota/capacity, and freshness (PLC-006..009).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CVAL/DR co-location double-count guard (PLC-010):</w:t>
      </w:r>
      <w:r>
        <w:t xml:space="preserve"> </w:t>
      </w:r>
      <w:r>
        <w:t xml:space="preserve">earmarked CVAL capacity counts toward DR headroom, never as both live CVAL and available DR.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Two-region CVAL/DR co-location is mandatory (PLC-010a):</w:t>
      </w:r>
      <w:r>
        <w:t xml:space="preserve"> </w:t>
      </w:r>
      <w:r>
        <w:t xml:space="preserve">in every two-region</w:t>
      </w:r>
      <w:r>
        <w:t xml:space="preserve"> </w:t>
      </w:r>
      <w:r>
        <w:rPr>
          <w:bCs/>
          <w:b/>
        </w:rPr>
        <w:t xml:space="preserve">co-located</w:t>
      </w:r>
      <w:r>
        <w:t xml:space="preserve"> </w:t>
      </w:r>
      <w:r>
        <w:t xml:space="preserve">geography (EU, Australia, Asia Pacific), production is in one region and</w:t>
      </w:r>
      <w:r>
        <w:t xml:space="preserve"> </w:t>
      </w:r>
      <w:r>
        <w:rPr>
          <w:bCs/>
          <w:b/>
        </w:rPr>
        <w:t xml:space="preserve">CVAL and DR are co-located in the other region</w:t>
      </w:r>
      <w:r>
        <w:t xml:space="preserve">. The three-region US geography places production, CVAL and DR across distinct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Cross-geo DR for the Middle East (PLC-010b, DR-020) [Amended v2.4]:</w:t>
      </w:r>
      <w:r>
        <w:t xml:space="preserve"> </w:t>
      </w:r>
      <w:r>
        <w:t xml:space="preserve">the Middle East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two-region co-located geography.</w:t>
      </w:r>
      <w:r>
        <w:t xml:space="preserve"> </w:t>
      </w:r>
      <w:r>
        <w:rPr>
          <w:bCs/>
          <w:b/>
        </w:rPr>
        <w:t xml:space="preserve">Prod and CVAL co-locate in a selected Middle East Standard region</w:t>
      </w:r>
      <w:r>
        <w:t xml:space="preserve"> </w:t>
      </w:r>
      <w:r>
        <w:t xml:space="preserve">(separate CRGs — co-location in a region is not capacity sharing, ENV-003) and</w:t>
      </w:r>
      <w:r>
        <w:t xml:space="preserve"> </w:t>
      </w:r>
      <w:r>
        <w:rPr>
          <w:bCs/>
          <w:b/>
        </w:rPr>
        <w:t xml:space="preserve">DR is placed cross-geo in a weighted-selected Europe Standard region</w:t>
      </w:r>
      <w:r>
        <w:t xml:space="preserve">. This</w:t>
      </w:r>
      <w:r>
        <w:t xml:space="preserve"> </w:t>
      </w:r>
      <w:r>
        <w:rPr>
          <w:bCs/>
          <w:b/>
        </w:rPr>
        <w:t xml:space="preserve">overrides</w:t>
      </w:r>
      <w:r>
        <w:t xml:space="preserve"> </w:t>
      </w:r>
      <w:r>
        <w:t xml:space="preserve">PLC-010a co-location for the Middle East (CVAL co-locates with Prod locally, not with DR). Both selections run the weighted capacity placement model; the DR copy’s residency is governed by A-ME1.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 catalogue (REG-001..003) [Amended v2.4]:</w:t>
      </w:r>
      <w:r>
        <w:t xml:space="preserve"> </w:t>
      </w:r>
      <w:r>
        <w:t xml:space="preserve">versioned, configuration-driven; the catalogue defines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each with an explicit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 </w:t>
      </w:r>
      <w:r>
        <w:t xml:space="preserve">— now</w:t>
      </w:r>
      <w:r>
        <w:t xml:space="preserve"> </w:t>
      </w:r>
      <w:r>
        <w:rPr>
          <w:bCs/>
          <w:b/>
        </w:rPr>
        <w:t xml:space="preserve">three models</w:t>
      </w:r>
      <w:r>
        <w:t xml:space="preserve">: the US</w:t>
      </w:r>
      <w:r>
        <w:t xml:space="preserve"> </w:t>
      </w:r>
      <w:r>
        <w:rPr>
          <w:bCs/>
          <w:b/>
        </w:rPr>
        <w:t xml:space="preserve">three-region</w:t>
      </w:r>
      <w:r>
        <w:t xml:space="preserve"> </w:t>
      </w:r>
      <w:r>
        <w:t xml:space="preserve">geography; the EU/Australia/Asia Pacific</w:t>
      </w:r>
      <w:r>
        <w:t xml:space="preserve"> </w:t>
      </w:r>
      <w:r>
        <w:rPr>
          <w:bCs/>
          <w:b/>
        </w:rPr>
        <w:t xml:space="preserve">two-region co-located</w:t>
      </w:r>
      <w:r>
        <w:t xml:space="preserve"> </w:t>
      </w:r>
      <w:r>
        <w:t xml:space="preserve">geographies; and the Middle East</w:t>
      </w:r>
      <w:r>
        <w:t xml:space="preserve"> </w:t>
      </w:r>
      <w:r>
        <w:rPr>
          <w:bCs/>
          <w:b/>
        </w:rPr>
        <w:t xml:space="preserve">cross-geo DR</w:t>
      </w:r>
      <w:r>
        <w:t xml:space="preserve"> </w:t>
      </w:r>
      <w:r>
        <w:t xml:space="preserve">geography (Prod+CVAL in a Middle East region, DR weighted-selected in Europe). There is no universal three-region minimum. Region examples come from authoritative config (REG-002 — the Europe DR region is weighted-selected among Europe Standard regions, Switzerland North as a default example, not a fixed region); Japan East is a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Asia Pacific addition awaiting confirmation.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Even per-zone distribution target + rebalancing (PLC-011):</w:t>
      </w:r>
      <w:r>
        <w:t xml:space="preserve"> </w:t>
      </w:r>
      <w:r>
        <w:t xml:space="preserve">within a placement region, ACRME distributes VMs across the availability zones toward an</w:t>
      </w:r>
      <w:r>
        <w:t xml:space="preserve"> </w:t>
      </w:r>
      <w:r>
        <w:rPr>
          <w:bCs/>
          <w:b/>
        </w:rPr>
        <w:t xml:space="preserve">even target of ≈1/zone_count per zone</w:t>
      </w:r>
      <w:r>
        <w:t xml:space="preserve"> </w:t>
      </w:r>
      <w:r>
        <w:t xml:space="preserve">(≈33% for a three-zone region). Each placement selects the eligible zone with the greatest deficit from target subject to capacity/quota/restriction constraints; when the observed distribution drifts beyond the configurable tolerance band (</w:t>
      </w:r>
      <w:r>
        <w:rPr>
          <w:bCs/>
          <w:b/>
        </w:rPr>
        <w:t xml:space="preserve">C-13</w:t>
      </w:r>
      <w:r>
        <w:t xml:space="preserve">, default ±10 percentage points), a</w:t>
      </w:r>
      <w:r>
        <w:t xml:space="preserve"> </w:t>
      </w:r>
      <w:r>
        <w:rPr>
          <w:bCs/>
          <w:b/>
        </w:rPr>
        <w:t xml:space="preserve">rebalancing action</w:t>
      </w:r>
      <w:r>
        <w:t xml:space="preserve"> </w:t>
      </w:r>
      <w:r>
        <w:t xml:space="preserve">is raised so future placements (and, where policy allows, redeploys) restore balance. The target and tolerance are configuration-driven and the algorithm is defined in Baseline Appendix A.9.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Region classification (functional view) [Amended v2.4]:</w:t>
      </w:r>
      <w:r>
        <w:t xml:space="preserve"> </w:t>
      </w:r>
      <w:r>
        <w:t xml:space="preserve">Standard (auto-selectable/scored), Restricted (production-only by exception, never CVAL/DR — e.g. East US 2, North Europe, West Europe),</w:t>
      </w:r>
      <w:r>
        <w:t xml:space="preserve"> </w:t>
      </w:r>
      <w:r>
        <w:rPr>
          <w:bCs/>
          <w:b/>
        </w:rPr>
        <w:t xml:space="preserve">Cross-Geo DR Destination</w:t>
      </w:r>
      <w:r>
        <w:t xml:space="preserve"> </w:t>
      </w:r>
      <w:r>
        <w:t xml:space="preserve">(a geography approved to host another geography’s DR —</w:t>
      </w:r>
      <w:r>
        <w:t xml:space="preserve"> </w:t>
      </w:r>
      <w:r>
        <w:rPr>
          <w:bCs/>
          <w:b/>
        </w:rPr>
        <w:t xml:space="preserve">Europe is the approved cross-geo DR destination for the Middle East</w:t>
      </w:r>
      <w:r>
        <w:t xml:space="preserve">, with the specific Europe region</w:t>
      </w:r>
      <w:r>
        <w:t xml:space="preserve"> </w:t>
      </w:r>
      <w:r>
        <w:rPr>
          <w:bCs/>
          <w:b/>
        </w:rPr>
        <w:t xml:space="preserve">weighted-selected</w:t>
      </w:r>
      <w:r>
        <w:t xml:space="preserve"> </w:t>
      </w:r>
      <w:r>
        <w:t xml:space="preserve">among Europe Standard regions per DR-020/PLC-010b, A-ME1), and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(no cross-border substitution —</w:t>
      </w:r>
      <w:r>
        <w:t xml:space="preserve"> </w:t>
      </w:r>
      <w:r>
        <w:rPr>
          <w:bCs/>
          <w:b/>
        </w:rPr>
        <w:t xml:space="preserve">no longer set for the Middle East</w:t>
      </w:r>
      <w:r>
        <w:t xml:space="preserve">; retained for any future geography/country Legal declares no-DR). Where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is set it is evaluated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cross-geo path.</w:t>
      </w:r>
      <w:r>
        <w:t xml:space="preserve"> </w:t>
      </w:r>
      <w:r>
        <w:rPr>
          <w:rStyle w:val="VerbatimChar"/>
        </w:rPr>
        <w:t xml:space="preserve">[Decided]</w:t>
      </w:r>
    </w:p>
    <w:bookmarkEnd w:id="33"/>
    <w:bookmarkStart w:id="34" w:name="f4-onboarding-placement-flow"/>
    <w:p>
      <w:pPr>
        <w:pStyle w:val="Heading3"/>
      </w:pPr>
      <w:r>
        <w:t xml:space="preserve">F4 — Onboarding + placement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Start[Placement request] --&gt; Seed{Seed exists?}</w:t>
      </w:r>
      <w:r>
        <w:br/>
      </w:r>
      <w:r>
        <w:rPr>
          <w:rStyle w:val="VerbatimChar"/>
        </w:rPr>
        <w:t xml:space="preserve">    Seed -- Yes --&gt; Reuse[Reuse CustomerSeedRecord]</w:t>
      </w:r>
      <w:r>
        <w:br/>
      </w:r>
      <w:r>
        <w:rPr>
          <w:rStyle w:val="VerbatimChar"/>
        </w:rPr>
        <w:t xml:space="preserve">    Seed -- No --&gt; Mode{Input mode}</w:t>
      </w:r>
      <w:r>
        <w:br/>
      </w:r>
      <w:r>
        <w:rPr>
          <w:rStyle w:val="VerbatimChar"/>
        </w:rPr>
        <w:t xml:space="preserve">    Mode -- Exact prod region default --&gt; ValP[Validate production region vs catalogue]</w:t>
      </w:r>
      <w:r>
        <w:br/>
      </w:r>
      <w:r>
        <w:rPr>
          <w:rStyle w:val="VerbatimChar"/>
        </w:rPr>
        <w:t xml:space="preserve">    Mode -- Geography exception --&gt; Appr{Exception approved + acknowledged?}</w:t>
      </w:r>
      <w:r>
        <w:br/>
      </w:r>
      <w:r>
        <w:rPr>
          <w:rStyle w:val="VerbatimChar"/>
        </w:rPr>
        <w:t xml:space="preserve">    Appr -- No --&gt; PB[POLICY_BLOCKED]</w:t>
      </w:r>
      <w:r>
        <w:br/>
      </w:r>
      <w:r>
        <w:rPr>
          <w:rStyle w:val="VerbatimChar"/>
        </w:rPr>
        <w:t xml:space="preserve">    Appr -- Yes --&gt; DerP[Derive prod from Standard regions - becomes fixed seed]</w:t>
      </w:r>
      <w:r>
        <w:br/>
      </w:r>
      <w:r>
        <w:rPr>
          <w:rStyle w:val="VerbatimChar"/>
        </w:rPr>
        <w:t xml:space="preserve">    ValP --&gt; Ok{Valid, supported, fresh?}</w:t>
      </w:r>
      <w:r>
        <w:br/>
      </w:r>
      <w:r>
        <w:rPr>
          <w:rStyle w:val="VerbatimChar"/>
        </w:rPr>
        <w:t xml:space="preserve">    DerP --&gt; Ok</w:t>
      </w:r>
      <w:r>
        <w:br/>
      </w:r>
      <w:r>
        <w:rPr>
          <w:rStyle w:val="VerbatimChar"/>
        </w:rPr>
        <w:t xml:space="preserve">    Ok -- No --&gt; Reason[Readiness reason state]</w:t>
      </w:r>
      <w:r>
        <w:br/>
      </w:r>
      <w:r>
        <w:rPr>
          <w:rStyle w:val="VerbatimChar"/>
        </w:rPr>
        <w:t xml:space="preserve">    Ok -- Yes --&gt; CVAL[Select/validate CVAL - env separation]</w:t>
      </w:r>
      <w:r>
        <w:br/>
      </w:r>
      <w:r>
        <w:rPr>
          <w:rStyle w:val="VerbatimChar"/>
        </w:rPr>
        <w:t xml:space="preserve">    CVAL --&gt; DR[Select DR: in-geo, cross-geo Europe for Middle East, or DR_NOT_OFFERED]</w:t>
      </w:r>
      <w:r>
        <w:br/>
      </w:r>
      <w:r>
        <w:rPr>
          <w:rStyle w:val="VerbatimChar"/>
        </w:rPr>
        <w:t xml:space="preserve">    DR --&gt; Idx[Contribute to SourceDestinationDRIndex]</w:t>
      </w:r>
      <w:r>
        <w:br/>
      </w:r>
      <w:r>
        <w:rPr>
          <w:rStyle w:val="VerbatimChar"/>
        </w:rPr>
        <w:t xml:space="preserve">    Idx --&gt; Hold[Atomic placement hold]</w:t>
      </w:r>
      <w:r>
        <w:br/>
      </w:r>
      <w:r>
        <w:rPr>
          <w:rStyle w:val="VerbatimChar"/>
        </w:rPr>
        <w:t xml:space="preserve">    Hold --&gt; Write[Write CustomerSeedRecord]</w:t>
      </w:r>
      <w:r>
        <w:br/>
      </w:r>
      <w:r>
        <w:rPr>
          <w:rStyle w:val="VerbatimChar"/>
        </w:rPr>
        <w:t xml:space="preserve">    Reuse --&gt; Out[Return DeploymentReadinessResult]</w:t>
      </w:r>
      <w:r>
        <w:br/>
      </w:r>
      <w:r>
        <w:rPr>
          <w:rStyle w:val="VerbatimChar"/>
        </w:rPr>
        <w:t xml:space="preserve">    Write --&gt; Out</w:t>
      </w:r>
    </w:p>
    <w:bookmarkEnd w:id="34"/>
    <w:bookmarkStart w:id="35" w:name="disaster-recovery-dr-001..019"/>
    <w:p>
      <w:pPr>
        <w:pStyle w:val="Heading3"/>
      </w:pPr>
      <w:r>
        <w:t xml:space="preserve">4.5 Disaster recovery (DR-001..019)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Distributed, reciprocal DR (DR-016):</w:t>
      </w:r>
      <w:r>
        <w:t xml:space="preserve"> </w:t>
      </w:r>
      <w:r>
        <w:t xml:space="preserve">each region concurrently hosts Prod, CVAL, and DR standby for multiple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source regions. No dedicated DR-only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Lean bootstrap (DR-007):</w:t>
      </w:r>
      <w:r>
        <w:t xml:space="preserve"> </w:t>
      </w:r>
      <w:r>
        <w:t xml:space="preserve">DR holds a configurable bootstrap target by workload/product/region/zone/SKU — never a fixed 30-40% clone; zero bootstrap only by explicit approved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max-not-sum sizing (DR-017):</w:t>
      </w:r>
      <w:r>
        <w:t xml:space="preserve"> </w:t>
      </w:r>
      <w:r>
        <w:t xml:space="preserve">each destination sizes to the largest single non-concurrent protected source portion; a SUM override covers contractual simultaneous-failure needs.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Source→destination index (DR-018)</w:t>
      </w:r>
      <w:r>
        <w:t xml:space="preserve"> </w:t>
      </w:r>
      <w:r>
        <w:t xml:space="preserve">drives</w:t>
      </w:r>
      <w:r>
        <w:t xml:space="preserve"> </w:t>
      </w:r>
      <w:r>
        <w:rPr>
          <w:bCs/>
          <w:b/>
        </w:rPr>
        <w:t xml:space="preserve">source-specific standby activation in business-priority waves (DR-009, DR-019)</w:t>
      </w:r>
      <w:r>
        <w:t xml:space="preserve"> </w:t>
      </w:r>
      <w:r>
        <w:t xml:space="preserve">via staged acquisition (DR-006),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Staged capacity acquisition order (DR-006):</w:t>
      </w:r>
      <w:r>
        <w:t xml:space="preserve"> </w:t>
      </w:r>
      <w:r>
        <w:t xml:space="preserve">bootstrap → destination quota/capacity → approved CVAL release → approved sharing → pooled quota → Azure request with exposed deficit. Because all environments share one governed quota pool, the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Cross-geo DR for the Middle East (DR-020, PLC-010b) [Amended v2.4]:</w:t>
      </w:r>
      <w:r>
        <w:t xml:space="preserve"> </w:t>
      </w:r>
      <w:r>
        <w:t xml:space="preserve">Middle East regions are</w:t>
      </w:r>
      <w:r>
        <w:t xml:space="preserve"> </w:t>
      </w:r>
      <w:r>
        <w:rPr>
          <w:bCs/>
          <w:b/>
        </w:rPr>
        <w:t xml:space="preserve">DR sources</w:t>
      </w:r>
      <w:r>
        <w:t xml:space="preserve"> </w:t>
      </w:r>
      <w:r>
        <w:t xml:space="preserve">whose destinations are</w:t>
      </w:r>
      <w:r>
        <w:t xml:space="preserve"> </w:t>
      </w:r>
      <w:r>
        <w:rPr>
          <w:bCs/>
          <w:b/>
        </w:rPr>
        <w:t xml:space="preserve">weighted-selected Europe Standard regions</w:t>
      </w:r>
      <w:r>
        <w:t xml:space="preserve">. ME customers produce</w:t>
      </w:r>
      <w:r>
        <w:t xml:space="preserve"> </w:t>
      </w:r>
      <w:r>
        <w:rPr>
          <w:rStyle w:val="VerbatimChar"/>
        </w:rPr>
        <w:t xml:space="preserve">dr_region = &lt;Europe region&gt;</w:t>
      </w:r>
      <w:r>
        <w:t xml:space="preserve"> </w:t>
      </w:r>
      <w:r>
        <w:t xml:space="preserve">seeds, add cross-geo</w:t>
      </w:r>
      <w:r>
        <w:t xml:space="preserve"> </w:t>
      </w:r>
      <w:r>
        <w:rPr>
          <w:rStyle w:val="VerbatimChar"/>
        </w:rPr>
        <w:t xml:space="preserve">source → destination</w:t>
      </w:r>
      <w:r>
        <w:t xml:space="preserve"> </w:t>
      </w:r>
      <w:r>
        <w:t xml:space="preserve">rows to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 and the DR standby is</w:t>
      </w:r>
      <w:r>
        <w:t xml:space="preserve"> </w:t>
      </w:r>
      <w:r>
        <w:rPr>
          <w:bCs/>
          <w:b/>
        </w:rPr>
        <w:t xml:space="preserve">sized max-not-sum and earmarked as dedicated reserved capacity in the Europe destination</w:t>
      </w:r>
      <w:r>
        <w:t xml:space="preserve"> </w:t>
      </w:r>
      <w:r>
        <w:t xml:space="preserve">(no CVAL sacrifice — DR-005/006 do not apply to ME). Subject to sovereignty/zone-alignment (HC-10) and residency assumption A-ME1. This supersedes the former ME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position (DR-014/DEC-001).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(DR-014):</w:t>
      </w:r>
      <w:r>
        <w:t xml:space="preserve"> </w:t>
      </w:r>
      <w:r>
        <w:t xml:space="preserve">where sovereignty/contract forbids cross-border DR, the seed records no DR and ACRME never silently substitutes.</w:t>
      </w:r>
      <w:r>
        <w:t xml:space="preserve"> </w:t>
      </w:r>
      <w:r>
        <w:rPr>
          <w:bCs/>
          <w:b/>
        </w:rPr>
        <w:t xml:space="preserve">No longer set for the Middle East [Amended v2.4]</w:t>
      </w:r>
      <w:r>
        <w:t xml:space="preserve">; retained for any future geography/country Legal declares no-DR (and, by config, for specific ME countries with per-country carve-outs, A-ME1).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 drills and role flip (DR-010..012):</w:t>
      </w:r>
      <w:r>
        <w:t xml:space="preserve"> </w:t>
      </w:r>
      <w:r>
        <w:t xml:space="preserve">annual drill/rotation validate the model without a real incident; destructive VM-association changes remain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Xee741c38fd5376a2d703207c2b94995d3633f33"/>
    <w:p>
      <w:pPr>
        <w:pStyle w:val="Heading3"/>
      </w:pPr>
      <w:r>
        <w:t xml:space="preserve">F6 — Distributed DR reference model (Section 12A)</w:t>
      </w:r>
    </w:p>
    <w:p>
      <w:pPr>
        <w:pStyle w:val="FirstParagraph"/>
      </w:pPr>
      <w:r>
        <w:t xml:space="preserve">See the rendered reference diagram (reused):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 region; each destination sizes by max-not-sum.</w:t>
      </w:r>
    </w:p>
    <w:bookmarkEnd w:id="36"/>
    <w:bookmarkStart w:id="37" w:name="f7-dr-event-standby-activation-waves"/>
    <w:p>
      <w:pPr>
        <w:pStyle w:val="Heading3"/>
      </w:pPr>
      <w:r>
        <w:t xml:space="preserve">F7 — DR event → standby activation waves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ENG as ACRME engine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POOL as Single governed quota pool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DRC-&gt;&gt;ENG: Declare source-region failure (authorised)</w:t>
      </w:r>
      <w:r>
        <w:br/>
      </w:r>
      <w:r>
        <w:rPr>
          <w:rStyle w:val="VerbatimChar"/>
        </w:rPr>
        <w:t xml:space="preserve">    ENG-&gt;&gt;ENG: engine_mode = DR_EVENT_ACTIVE</w:t>
      </w:r>
      <w:r>
        <w:br/>
      </w:r>
      <w:r>
        <w:rPr>
          <w:rStyle w:val="VerbatimChar"/>
        </w:rPr>
        <w:t xml:space="preserve">    ENG-&gt;&gt;IDX: Read standby sets for failed source</w:t>
      </w:r>
      <w:r>
        <w:br/>
      </w:r>
      <w:r>
        <w:rPr>
          <w:rStyle w:val="VerbatimChar"/>
        </w:rPr>
        <w:t xml:space="preserve">    IDX--&gt;&gt;ENG: Customers + priority waves</w:t>
      </w:r>
      <w:r>
        <w:br/>
      </w:r>
      <w:r>
        <w:rPr>
          <w:rStyle w:val="VerbatimChar"/>
        </w:rPr>
        <w:t xml:space="preserve">    loop each priority wave</w:t>
      </w:r>
      <w:r>
        <w:br/>
      </w:r>
      <w:r>
        <w:rPr>
          <w:rStyle w:val="VerbatimChar"/>
        </w:rPr>
        <w:t xml:space="preserve">        ENG-&gt;&gt;POOL: Draw pool headroom then reclaimable NonProd</w:t>
      </w:r>
      <w:r>
        <w:br/>
      </w:r>
      <w:r>
        <w:rPr>
          <w:rStyle w:val="VerbatimChar"/>
        </w:rPr>
        <w:t xml:space="preserve">        POOL--&gt;&gt;ENG: Capacity earmark released</w:t>
      </w:r>
      <w:r>
        <w:br/>
      </w:r>
      <w:r>
        <w:rPr>
          <w:rStyle w:val="VerbatimChar"/>
        </w:rPr>
        <w:t xml:space="preserve">        ENG-&gt;&gt;AZ: Acquire deficit if any (exposed)</w:t>
      </w:r>
      <w:r>
        <w:br/>
      </w:r>
      <w:r>
        <w:rPr>
          <w:rStyle w:val="VerbatimChar"/>
        </w:rPr>
        <w:t xml:space="preserve">        ENG-&gt;&gt;ENG: standby -&gt; allocated/active</w:t>
      </w:r>
      <w:r>
        <w:br/>
      </w:r>
      <w:r>
        <w:rPr>
          <w:rStyle w:val="VerbatimChar"/>
        </w:rPr>
        <w:t xml:space="preserve">        ENG-&gt;&gt;DRC: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DRC-&gt;&gt;ENG: Failback authorised</w:t>
      </w:r>
      <w:r>
        <w:br/>
      </w:r>
      <w:r>
        <w:rPr>
          <w:rStyle w:val="VerbatimChar"/>
        </w:rPr>
        <w:t xml:space="preserve">    ENG-&gt;&gt;ENG: FAILBACK_PENDING -&gt; STEADY_STATE (reversible)</w:t>
      </w:r>
    </w:p>
    <w:bookmarkEnd w:id="37"/>
    <w:bookmarkStart w:id="38" w:name="cost-finops-fin-001..008"/>
    <w:p>
      <w:pPr>
        <w:pStyle w:val="Heading3"/>
      </w:pPr>
      <w:r>
        <w:t xml:space="preserve">4.6 Cost &amp; FinOps (FIN-001..008)</w:t>
      </w:r>
    </w:p>
    <w:p>
      <w:pPr>
        <w:numPr>
          <w:ilvl w:val="0"/>
          <w:numId w:val="1005"/>
        </w:numPr>
        <w:pStyle w:val="Compact"/>
      </w:pPr>
      <w:r>
        <w:t xml:space="preserve">Idle reservation cost is surfaced and alerted (FIN-001, FIN-002); lean DR + max-not-sum minimises idle standby cost (FIN-003).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Cost-before-expansion: increases carry cost exposure and justification (FIN-004, FIN-005).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Shared-DR</w:t>
      </w:r>
      <w:r>
        <w:t xml:space="preserve"> </w:t>
      </w:r>
      <w:r>
        <w:rPr>
          <w:bCs/>
          <w:b/>
        </w:rPr>
        <w:t xml:space="preserve">overcommit accounting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Overcommit_Ratio</w:t>
      </w:r>
      <w:r>
        <w:t xml:space="preserve"> </w:t>
      </w:r>
      <w:r>
        <w:t xml:space="preserve">per destination so the savings of distributed DR are visible and bounded by a safety ceiling (FIN-006..008, POC-011).</w:t>
      </w:r>
      <w:r>
        <w:t xml:space="preserve"> </w:t>
      </w:r>
      <w:r>
        <w:rPr>
          <w:rStyle w:val="VerbatimChar"/>
        </w:rPr>
        <w:t xml:space="preserve">[Derived]</w:t>
      </w:r>
    </w:p>
    <w:bookmarkEnd w:id="38"/>
    <w:bookmarkStart w:id="39" w:name="X581a06036d4d4407616f99d4dcdabc59ca0f4d6"/>
    <w:p>
      <w:pPr>
        <w:pStyle w:val="Heading3"/>
      </w:pPr>
      <w:r>
        <w:t xml:space="preserve">4.7 Provisioning &amp; AEP integration (INT-001..007)</w:t>
      </w:r>
    </w:p>
    <w:p>
      <w:pPr>
        <w:numPr>
          <w:ilvl w:val="0"/>
          <w:numId w:val="1006"/>
        </w:numPr>
        <w:pStyle w:val="Compact"/>
      </w:pPr>
      <w:r>
        <w:t xml:space="preserve">ACRME exposes a functional contract: input (customer, exact region, SKU/family, environment, product, intended demand) → output (</w:t>
      </w:r>
      <w:r>
        <w:rPr>
          <w:rStyle w:val="VerbatimChar"/>
        </w:rPr>
        <w:t xml:space="preserve">DeploymentReadinessResult</w:t>
      </w:r>
      <w:r>
        <w:t xml:space="preserve"> </w:t>
      </w:r>
      <w:r>
        <w:t xml:space="preserve">+ reason + operation handle) (INT-001..003).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All mutating calls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with operation handles and expected-state versions; AEP polls rather than assuming synchronous completion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AEP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39"/>
    <w:bookmarkStart w:id="40" w:name="Xd8eb80020819ca4bb58a7e8ad33192ecb637785"/>
    <w:p>
      <w:pPr>
        <w:pStyle w:val="Heading3"/>
      </w:pPr>
      <w:r>
        <w:t xml:space="preserve">4.8 Observability, governance &amp; operations (OBS, GOV, OPS)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Observability (OBS-001..005):</w:t>
      </w:r>
      <w:r>
        <w:t xml:space="preserve"> </w:t>
      </w:r>
      <w:r>
        <w:t xml:space="preserve">metrics/alerts for buffer deficit, per-destination DR max-source coverage and gap, source↔destination mapping dashboard, activation state by wave, idle cost, staleness.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Governance (GOV-001..009):</w:t>
      </w:r>
      <w:r>
        <w:t xml:space="preserve"> </w:t>
      </w:r>
      <w:r>
        <w:t xml:space="preserve">RBAC, managed identity, approval gates, break-glass, immutable audit of every decision and mutation with before/after values and correlation IDs; versioned scope files with decision traceability (DAT-005).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Operations (OPS-001..005):</w:t>
      </w:r>
      <w:r>
        <w:t xml:space="preserve"> </w:t>
      </w:r>
      <w:r>
        <w:t xml:space="preserve">runbooks for DR declaration, standby activation, CVAL release, quota allocation, sharing activation, emergency override, regional recovery, and failback.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nd-to-end-functional-flows"/>
    <w:p>
      <w:pPr>
        <w:pStyle w:val="Heading2"/>
      </w:pPr>
      <w:r>
        <w:t xml:space="preserve">5. End-to-End Functional Flows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Onboarding + placement</w:t>
      </w:r>
      <w:r>
        <w:t xml:space="preserve"> </w:t>
      </w:r>
      <w:r>
        <w:t xml:space="preserve">(F4): exact-region validation (or geography exception) → CVAL/DR selection → seed write → readiness.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Steady-state reconciliation</w:t>
      </w:r>
      <w:r>
        <w:t xml:space="preserve"> </w:t>
      </w:r>
      <w:r>
        <w:t xml:space="preserve">(F5): every ~6 min, compare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to reserved; scale up (or alert deficit), guarded scale-down, never delete.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Single-region DR event</w:t>
      </w:r>
      <w:r>
        <w:t xml:space="preserve"> </w:t>
      </w:r>
      <w:r>
        <w:t xml:space="preserve">(F7): declare → index lookup → priority-wave activation from the shared pool → audited failback.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 drill / failback</w:t>
      </w:r>
      <w:r>
        <w:t xml:space="preserve">: scheduled role-flip validating the index, waves, and reversibility without a real incident.</w:t>
      </w:r>
    </w:p>
    <w:bookmarkStart w:id="42" w:name="f5-steady-state-reconciliation-behaviour"/>
    <w:p>
      <w:pPr>
        <w:pStyle w:val="Heading3"/>
      </w:pPr>
      <w:r>
        <w:t xml:space="preserve">F5 — Steady-state reconciliation behaviour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Tick[Reconciliation tick ~6 min] --&gt; Read[Read scope, reservation, allocated, associated, buffer, quota, freshness]</w:t>
      </w:r>
      <w:r>
        <w:br/>
      </w:r>
      <w:r>
        <w:rPr>
          <w:rStyle w:val="VerbatimChar"/>
        </w:rPr>
        <w:t xml:space="preserve">    Read --&gt; Fresh{State fresh?}</w:t>
      </w:r>
      <w:r>
        <w:br/>
      </w:r>
      <w:r>
        <w:rPr>
          <w:rStyle w:val="VerbatimChar"/>
        </w:rPr>
        <w:t xml:space="preserve">    Fresh -- No --&gt; Stale[STALE_STATE + refresh]</w:t>
      </w:r>
      <w:r>
        <w:br/>
      </w:r>
      <w:r>
        <w:rPr>
          <w:rStyle w:val="VerbatimChar"/>
        </w:rPr>
        <w:t xml:space="preserve">    Fresh -- Yes --&gt; Cmp{reserved vs Allocated+Buffer}</w:t>
      </w:r>
      <w:r>
        <w:br/>
      </w:r>
      <w:r>
        <w:rPr>
          <w:rStyle w:val="VerbatimChar"/>
        </w:rPr>
        <w:t xml:space="preserve">    Cmp -- below --&gt; Up[Attempt scale-up]</w:t>
      </w:r>
      <w:r>
        <w:br/>
      </w:r>
      <w:r>
        <w:rPr>
          <w:rStyle w:val="VerbatimChar"/>
        </w:rPr>
        <w:t xml:space="preserve">    Up --&gt; Sup{Azure supplies?}</w:t>
      </w:r>
      <w:r>
        <w:br/>
      </w:r>
      <w:r>
        <w:rPr>
          <w:rStyle w:val="VerbatimChar"/>
        </w:rPr>
        <w:t xml:space="preserve">    Sup -- No --&gt; Def[Hold safe state + expose buffer deficit alert]</w:t>
      </w:r>
      <w:r>
        <w:br/>
      </w:r>
      <w:r>
        <w:rPr>
          <w:rStyle w:val="VerbatimChar"/>
        </w:rPr>
        <w:t xml:space="preserve">    Sup -- Yes --&gt; Ok[Confirm + snapshot]</w:t>
      </w:r>
      <w:r>
        <w:br/>
      </w:r>
      <w:r>
        <w:rPr>
          <w:rStyle w:val="VerbatimChar"/>
        </w:rPr>
        <w:t xml:space="preserve">    Cmp -- above --&gt; Guard[Scale-down guards: hold interval, DR earmark, CVAL earmark, maintenance, override, cost]</w:t>
      </w:r>
      <w:r>
        <w:br/>
      </w:r>
      <w:r>
        <w:rPr>
          <w:rStyle w:val="VerbatimChar"/>
        </w:rPr>
        <w:t xml:space="preserve">    Guard --&gt; Down[Reduce toward target - never below Allocated+Buffer, never delete]</w:t>
      </w:r>
      <w:r>
        <w:br/>
      </w:r>
      <w:r>
        <w:rPr>
          <w:rStyle w:val="VerbatimChar"/>
        </w:rPr>
        <w:t xml:space="preserve">    Down --&gt; Ok</w:t>
      </w:r>
      <w:r>
        <w:br/>
      </w:r>
      <w:r>
        <w:rPr>
          <w:rStyle w:val="VerbatimChar"/>
        </w:rPr>
        <w:t xml:space="preserve">    Cmp -- equal --&gt; Ok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dbb97d55424404ce736f7c04e0c6ce7fc6ae838"/>
    <w:p>
      <w:pPr>
        <w:pStyle w:val="Heading2"/>
      </w:pPr>
      <w:r>
        <w:t xml:space="preserve">6. Functional States and Data (functional view)</w:t>
      </w:r>
    </w:p>
    <w:p>
      <w:pPr>
        <w:pStyle w:val="FirstParagraph"/>
      </w:pPr>
      <w:r>
        <w:rPr>
          <w:bCs/>
          <w:b/>
        </w:rPr>
        <w:t xml:space="preserve">Engine mode machine (functional view, DR-004..008, NFR-002):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action; each action keeps its own policy gate.</w:t>
      </w:r>
    </w:p>
    <w:p>
      <w:pPr>
        <w:pStyle w:val="BodyText"/>
      </w:pPr>
      <w:r>
        <w:rPr>
          <w:bCs/>
          <w:b/>
        </w:rPr>
        <w:t xml:space="preserve">Functional data entities (DAT-001..006):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(versioned catalogue), reservation/quota snapshots with freshness metadata, and the immutable decision/audit log. Full technical schema is in the TDD Section 6.</w:t>
      </w:r>
    </w:p>
    <w:p>
      <w:r>
        <w:pict>
          <v:rect style="width:0;height:1.5pt" o:hralign="center" o:hrstd="t" o:hr="t"/>
        </w:pict>
      </w:r>
    </w:p>
    <w:bookmarkEnd w:id="44"/>
    <w:bookmarkStart w:id="45" w:name="Xf86cf3c48d2b159d61de6b7488f83eb3fc62e8a"/>
    <w:p>
      <w:pPr>
        <w:pStyle w:val="Heading2"/>
      </w:pPr>
      <w:r>
        <w:t xml:space="preserve">7. Acceptance Criteria Mapping (baseline Section 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Acceptance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allowed only when capacity+quota+freshness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states, fail-safe on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Exact-region-first onboarding, seed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flow,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Lean, distributed, max-not-sum DR with source-specific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capabilities, activation 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4.5, F6, 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governed quota pool with Prod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capability, earmarks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silent deletion / no cross-border DR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Zero-capacity,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auditability of decisions and 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8874b48614ece677d1ba5abe70e61f74b1dd34c"/>
    <w:p>
      <w:pPr>
        <w:pStyle w:val="Heading2"/>
      </w:pPr>
      <w:r>
        <w:t xml:space="preserve">8. Assumptions, Decisions, POC Dependencies (baseline Section 22–Section 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 under shared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must validate consumer quota until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topology &amp; 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distributed model and lean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overcommit safety ceiling / alert.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position: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DR_NOT_OFFERED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(DR is NOT offered in the Middle East)</w:t>
            </w:r>
            <w:r>
              <w:t xml:space="preserve"> </w:t>
            </w:r>
            <w:r>
              <w:t xml:space="preserve">due to data-sovereignty/residency; under legal review. Governs whether the pre-configured Switzerland North extension ever activates. Until legal approval, ME defaults to</w:t>
            </w:r>
            <w:r>
              <w:t xml:space="preserve"> </w:t>
            </w:r>
            <w:r>
              <w:rPr>
                <w:rStyle w:val="VerbatimChar"/>
              </w:rPr>
              <w:t xml:space="preserve">dr_region = NOT_OFFERED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~1-year run vs ~30-day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exception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the PLC-002 exception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/</w:t>
            </w:r>
            <w:r>
              <w:t xml:space="preserve"> </w:t>
            </w:r>
            <w:r>
              <w:rPr>
                <w:rStyle w:val="VerbatimChar"/>
              </w:rPr>
              <w:t xml:space="preserve">groupType</w:t>
            </w:r>
            <w:r>
              <w:t xml:space="preserve"> </w:t>
            </w: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Single-pool enforcement depends on feature maturity.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faeea724f12391e4ed9fe80d52457318bc4140c"/>
    <w:p>
      <w:pPr>
        <w:pStyle w:val="Heading2"/>
      </w:pPr>
      <w:r>
        <w:t xml:space="preserve">9. Requirement Traceability Matrix (Baseline v2.4 → FDD)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(catalogue, per-geography distribution model, Switzerland North)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(two-region CVAL/DR co-location)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(env separation), Section 4.5 (roles)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CAP-001, CAP-001a (core =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5(2),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CAP-002..019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5(2),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CAP-020 (Availability-Set ineligible), CAP-021 (deallocate/migrate-to-AZ onboarding)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 (eligibility &amp; onboarding),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CAP-022 (seed-at-0 matrix + budget governance), CAP-024 (reactive SKU discovery ↔ CAP-019)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5(2),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CAP-023 (regional + per-AZ CRG structure)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6 (entities), TDD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PLC-011 (even zone-distribution target + rebalancing)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4.5, F6, F7,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4.7,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4.8, Section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 (fail-safe), Section 4.7 (idempotency), Section 5,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4.8, 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OPS-006 (naming convention + 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4.8, 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C-1..C-13 (configurable items incl. naming C-12, zone target C-13)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Section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 / 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v2.4 requirement ID (including the reservation-model additions CAP-020..024, PLC-011, OPS-006, C-12/C-13) resolves to at least one FDD section above. Detailed component/algorithm-level traceability is completed in the TDD Section 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TDD; supersede the Executive Design Document (archived).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2026-09-11T11:43:35Z</dcterms:created>
  <dcterms:modified xsi:type="dcterms:W3CDTF">2026-09-11T11:43:35Z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