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v2.4</w:t>
            </w:r>
            <w:r>
              <w:t xml:space="preserve"> </w:t>
            </w:r>
            <w:r>
              <w:t xml:space="preserve">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reconciled to v2.4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v2.4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(v2.4 — reservation-model gaps).</w:t>
      </w:r>
      <w:r>
        <w:t xml:space="preserve"> </w:t>
      </w:r>
      <w:r>
        <w:t xml:space="preserve">This revision folds the reviewed architecture-diagram gaps into the technical design.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is refined: Availability-Set VMs are ineligible for zonal capacity reservations (</w:t>
      </w:r>
      <w:r>
        <w:rPr>
          <w:bCs/>
          <w:b/>
        </w:rPr>
        <w:t xml:space="preserve">CAP-020</w:t>
      </w:r>
      <w:r>
        <w:t xml:space="preserve">), and onboarding requires a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for any VM not already zone-pinned (</w:t>
      </w:r>
      <w:r>
        <w:rPr>
          <w:bCs/>
          <w:b/>
        </w:rPr>
        <w:t xml:space="preserve">CAP-021</w:t>
      </w:r>
      <w:r>
        <w:t xml:space="preserve">). The managed estate is initialised as a</w:t>
      </w:r>
      <w:r>
        <w:t xml:space="preserve"> </w:t>
      </w:r>
      <w:r>
        <w:rPr>
          <w:bCs/>
          <w:b/>
        </w:rPr>
        <w:t xml:space="preserve">seed matrix of count-0 (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 reservations</w:t>
      </w:r>
      <w:r>
        <w:t xml:space="preserve"> </w:t>
      </w:r>
      <w:r>
        <w:t xml:space="preserve">across every eligible SKU×region×AZ combination, governed by per-product-team budget (</w:t>
      </w:r>
      <w:r>
        <w:rPr>
          <w:bCs/>
          <w:b/>
        </w:rPr>
        <w:t xml:space="preserve">CAP-022</w:t>
      </w:r>
      <w:r>
        <w:t xml:space="preserve">, extending CAP-009), reconciled with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which auto-creates a reservation and simultaneously raises a scope-file governance item (</w:t>
      </w:r>
      <w:r>
        <w:rPr>
          <w:bCs/>
          <w:b/>
        </w:rPr>
        <w:t xml:space="preserve">CAP-024</w:t>
      </w:r>
      <w:r>
        <w:t xml:space="preserve">, reconciling CAP-019). Reservations are organised into an explicit</w:t>
      </w:r>
      <w:r>
        <w:t xml:space="preserve"> </w:t>
      </w:r>
      <w:r>
        <w:rPr>
          <w:bCs/>
          <w:b/>
        </w:rPr>
        <w:t xml:space="preserve">regional + per-AZ CRG structure per environment</w:t>
      </w:r>
      <w:r>
        <w:t xml:space="preserve"> </w:t>
      </w:r>
      <w:r>
        <w:t xml:space="preserve">(</w:t>
      </w:r>
      <w:r>
        <w:rPr>
          <w:bCs/>
          <w:b/>
        </w:rPr>
        <w:t xml:space="preserve">CAP-023</w:t>
      </w:r>
      <w:r>
        <w:t xml:space="preserve">, extending CAP-011 and refining the three-CRG model in Section 5.2). VM placement targets an</w:t>
      </w:r>
      <w:r>
        <w:t xml:space="preserve"> </w:t>
      </w:r>
      <w:r>
        <w:rPr>
          <w:bCs/>
          <w:b/>
        </w:rPr>
        <w:t xml:space="preserve">even ≈1/zone_count per-zone distribution with a rebalancing action</w:t>
      </w:r>
      <w:r>
        <w:t xml:space="preserve"> </w:t>
      </w:r>
      <w:r>
        <w:t xml:space="preserve">(</w:t>
      </w:r>
      <w:r>
        <w:rPr>
          <w:bCs/>
          <w:b/>
        </w:rPr>
        <w:t xml:space="preserve">PLC-011</w:t>
      </w:r>
      <w:r>
        <w:t xml:space="preserve">, Section 8.5). A shared</w:t>
      </w:r>
      <w:r>
        <w:t xml:space="preserve"> </w:t>
      </w:r>
      <w:r>
        <w:rPr>
          <w:bCs/>
          <w:b/>
        </w:rPr>
        <w:t xml:space="preserve">core subscription is classified entirely production</w:t>
      </w:r>
      <w:r>
        <w:t xml:space="preserve"> </w:t>
      </w:r>
      <w:r>
        <w:t xml:space="preserve">(</w:t>
      </w:r>
      <w:r>
        <w:rPr>
          <w:bCs/>
          <w:b/>
        </w:rPr>
        <w:t xml:space="preserve">CAP-001a</w:t>
      </w:r>
      <w:r>
        <w:t xml:space="preserve">). The</w:t>
      </w:r>
      <w:r>
        <w:t xml:space="preserve"> </w:t>
      </w:r>
      <w:r>
        <w:rPr>
          <w:bCs/>
          <w:b/>
        </w:rPr>
        <w:t xml:space="preserve">decommissioning-workflow boundary</w:t>
      </w:r>
      <w:r>
        <w:t xml:space="preserve"> </w:t>
      </w:r>
      <w:r>
        <w:t xml:space="preserve">is made explicit (</w:t>
      </w:r>
      <w:r>
        <w:rPr>
          <w:bCs/>
          <w:b/>
        </w:rPr>
        <w:t xml:space="preserve">CAP-008/CAP-010</w:t>
      </w:r>
      <w:r>
        <w:t xml:space="preserve">): automatic reconciliation only right-sizes a reservation down to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(never to zero or delete on its own), while reducing to zero, retirement and deletion are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workflow actions. A deterministic</w:t>
      </w:r>
      <w:r>
        <w:t xml:space="preserve"> </w:t>
      </w:r>
      <w:r>
        <w:rPr>
          <w:bCs/>
          <w:b/>
        </w:rPr>
        <w:t xml:space="preserve">RG/CRG/subscription naming convention + counter</w:t>
      </w:r>
      <w:r>
        <w:t xml:space="preserve"> </w:t>
      </w:r>
      <w:r>
        <w:t xml:space="preserve">is adopted (</w:t>
      </w:r>
      <w:r>
        <w:rPr>
          <w:bCs/>
          <w:b/>
        </w:rPr>
        <w:t xml:space="preserve">OPS-006</w:t>
      </w:r>
      <w:r>
        <w:t xml:space="preserve">, config</w:t>
      </w:r>
      <w:r>
        <w:t xml:space="preserve"> </w:t>
      </w:r>
      <w:r>
        <w:rPr>
          <w:bCs/>
          <w:b/>
        </w:rPr>
        <w:t xml:space="preserve">C-12</w:t>
      </w:r>
      <w:r>
        <w:t xml:space="preserve">); the zone-distribution tolerance is config</w:t>
      </w:r>
      <w:r>
        <w:t xml:space="preserve"> </w:t>
      </w:r>
      <w:r>
        <w:rPr>
          <w:bCs/>
          <w:b/>
        </w:rPr>
        <w:t xml:space="preserve">C-13</w:t>
      </w:r>
      <w:r>
        <w:t xml:space="preserve">. A</w:t>
      </w:r>
      <w:r>
        <w:t xml:space="preserve"> </w:t>
      </w:r>
      <w:r>
        <w:t xml:space="preserve">“</w:t>
      </w:r>
      <w:r>
        <w:rPr>
          <w:bCs/>
          <w:b/>
        </w:rPr>
        <w:t xml:space="preserve">seed reservation</w:t>
      </w:r>
      <w:r>
        <w:t xml:space="preserve">”</w:t>
      </w:r>
      <w:r>
        <w:t xml:space="preserve"> </w:t>
      </w:r>
      <w:r>
        <w:t xml:space="preserve">(count-0 reservation) is distinct from the placement</w:t>
      </w:r>
      <w:r>
        <w:t xml:space="preserve"> </w:t>
      </w:r>
      <w:r>
        <w:t xml:space="preserve">“</w:t>
      </w:r>
      <w:r>
        <w:rPr>
          <w:bCs/>
          <w:b/>
        </w:rPr>
        <w:t xml:space="preserve">seed record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CustomerSeedRecord</w:t>
      </w:r>
      <w:r>
        <w:t xml:space="preserve">, PLC-003).</w:t>
      </w:r>
    </w:p>
    <w:p>
      <w:pPr>
        <w:pStyle w:val="BlockText"/>
      </w:pPr>
      <w:r>
        <w:rPr>
          <w:bCs/>
          <w:b/>
        </w:rPr>
        <w:t xml:space="preserve">Reconciliation note (decisions carried into v2.4, first confirmed at v2.3).</w:t>
      </w:r>
      <w:r>
        <w:t xml:space="preserve"> </w:t>
      </w:r>
      <w:r>
        <w:t xml:space="preserve">This TDD implements the following confirmed decisions, unchanged in v2.4: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Section 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pPr>
        <w:pStyle w:val="BlockText"/>
      </w:pPr>
      <w:r>
        <w:rPr>
          <w:bCs/>
          <w:b/>
        </w:rPr>
        <w:t xml:space="preserve">Region model (v2.4, baseline Section 6).</w:t>
      </w:r>
      <w:r>
        <w:t xml:space="preserve"> </w:t>
      </w:r>
      <w:r>
        <w:t xml:space="preserve">The catalogue now defines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each carrying an explicit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: the</w:t>
      </w:r>
      <w:r>
        <w:t xml:space="preserve"> </w:t>
      </w:r>
      <w:r>
        <w:rPr>
          <w:bCs/>
          <w:b/>
        </w:rPr>
        <w:t xml:space="preserve">US is the only three-region geography</w:t>
      </w:r>
      <w:r>
        <w:t xml:space="preserve"> </w:t>
      </w:r>
      <w:r>
        <w:t xml:space="preserve">(West US 3, Central US, Canada Central; East US 2 Restricted);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(Switzerland North + Sweden Central; North Europe &amp; West Europe Restricted),</w:t>
      </w:r>
      <w:r>
        <w:t xml:space="preserve"> </w:t>
      </w:r>
      <w:r>
        <w:rPr>
          <w:bCs/>
          <w:b/>
        </w:rPr>
        <w:t xml:space="preserve">Australia</w:t>
      </w:r>
      <w:r>
        <w:t xml:space="preserve"> </w:t>
      </w:r>
      <w:r>
        <w:t xml:space="preserve">(Australia East + Australia Southeast),</w:t>
      </w:r>
      <w:r>
        <w:t xml:space="preserve"> </w:t>
      </w:r>
      <w:r>
        <w:rPr>
          <w:bCs/>
          <w:b/>
        </w:rPr>
        <w:t xml:space="preserve">Asia Pacific</w:t>
      </w:r>
      <w:r>
        <w:t xml:space="preserve"> </w:t>
      </w:r>
      <w:r>
        <w:t xml:space="preserve">(East Asia + Southeast Asia; Japan East</w:t>
      </w:r>
      <w:r>
        <w:t xml:space="preserve"> </w:t>
      </w:r>
      <w:r>
        <w:rPr>
          <w:bCs/>
          <w:b/>
        </w:rPr>
        <w:t xml:space="preserve">pending</w:t>
      </w:r>
      <w:r>
        <w:t xml:space="preserve">) and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(UAE North + Saudi Arabia Central) are</w:t>
      </w:r>
      <w:r>
        <w:t xml:space="preserve"> </w:t>
      </w:r>
      <w:r>
        <w:rPr>
          <w:bCs/>
          <w:b/>
        </w:rPr>
        <w:t xml:space="preserve">two-region geographies</w:t>
      </w:r>
      <w:r>
        <w:t xml:space="preserve">. In every two-region geography,</w:t>
      </w:r>
      <w:r>
        <w:t xml:space="preserve"> </w:t>
      </w:r>
      <w:r>
        <w:rPr>
          <w:bCs/>
          <w:b/>
        </w:rPr>
        <w:t xml:space="preserve">CVAL and DR co-locate</w:t>
      </w:r>
      <w:r>
        <w:t xml:space="preserve"> </w:t>
      </w:r>
      <w:r>
        <w:t xml:space="preserve">in the non-production region (</w:t>
      </w:r>
      <w:r>
        <w:rPr>
          <w:bCs/>
          <w:b/>
        </w:rPr>
        <w:t xml:space="preserve">PLC-010a</w:t>
      </w:r>
      <w:r>
        <w:t xml:space="preserve">), except the Middle East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 so its second region hosts CVAL only. The region catalogue and</w:t>
      </w:r>
      <w:r>
        <w:t xml:space="preserve"> </w:t>
      </w:r>
      <w:r>
        <w:rPr>
          <w:rStyle w:val="VerbatimChar"/>
        </w:rPr>
        <w:t xml:space="preserve">distribution_model</w:t>
      </w:r>
      <w:r>
        <w:t xml:space="preserve"> </w:t>
      </w:r>
      <w:r>
        <w:t xml:space="preserve">are configuration-driven (REG-001); adding Japan East or activating Middle East DR are config changes with no code change.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v2.4.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Section 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Section 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section-20"/>
    <w:p>
      <w:pPr>
        <w:pStyle w:val="Heading3"/>
      </w:pPr>
      <w:r>
        <w:t xml:space="preserve">2.1 Design principles (baseline Section 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section-21"/>
    <w:p>
      <w:pPr>
        <w:pStyle w:val="Heading3"/>
      </w:pPr>
      <w:r>
        <w:t xml:space="preserve">2.2 Constraints (baseline Section 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Section 2, Section 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795613c3273dea3ff80f034a64659ddd1b14546"/>
    <w:p>
      <w:pPr>
        <w:pStyle w:val="Heading2"/>
      </w:pPr>
      <w:r>
        <w:t xml:space="preserve">3. Logical Component Architecture (Section 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Section 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46e1ae42e1b4c6c6b64a7f585f24b77f72011"/>
    <w:p>
      <w:pPr>
        <w:pStyle w:val="Heading2"/>
      </w:pPr>
      <w:r>
        <w:t xml:space="preserve">4. Runtime &amp; Deployment (Section 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section-38-nfr"/>
    <w:p>
      <w:pPr>
        <w:pStyle w:val="Heading3"/>
      </w:pPr>
      <w:r>
        <w:t xml:space="preserve">4.2 Cadence, SLOs and drift (Section 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section-11"/>
    <w:p>
      <w:pPr>
        <w:pStyle w:val="Heading3"/>
      </w:pPr>
      <w:r>
        <w:t xml:space="preserve">4.3 API surface (summary; detail in Section 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4f8847ceb0588036abf31a76d528520c6aaadc5"/>
    <w:p>
      <w:pPr>
        <w:pStyle w:val="Heading2"/>
      </w:pPr>
      <w:r>
        <w:t xml:space="preserve">5. Topology — Subscriptions, CRGs and Quota Groups (Section 24, Section 25, Section 26)</w:t>
      </w:r>
    </w:p>
    <w:bookmarkStart w:id="35" w:name="X56ba13c7ff370efa0d601b27fd547d7a4c0cfdb"/>
    <w:p>
      <w:pPr>
        <w:pStyle w:val="Heading3"/>
      </w:pPr>
      <w:r>
        <w:t xml:space="preserve">5.1 Management group / subscription model (Section 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c2b13768aed3e6daab9662d4a035b9f351b6f10"/>
    <w:p>
      <w:pPr>
        <w:pStyle w:val="Heading3"/>
      </w:pPr>
      <w:r>
        <w:t xml:space="preserve">5.2 CRG hierarchy and cross-subscription sharing (Section 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Environment-scoped, region + per-AZ CRG structure (CAP-023, extends CAP-011):</w:t>
      </w:r>
      <w:r>
        <w:t xml:space="preserve"> </w:t>
      </w:r>
      <w:r>
        <w:t xml:space="preserve">each environment (Prod, NonProd/CVAL, DR-standby) owns, per region,</w:t>
      </w:r>
      <w:r>
        <w:t xml:space="preserve"> </w:t>
      </w:r>
      <w:r>
        <w:rPr>
          <w:bCs/>
          <w:b/>
        </w:rPr>
        <w:t xml:space="preserve">one regional CRG plus one CRG per availability zone</w:t>
      </w:r>
      <w:r>
        <w:t xml:space="preserve"> </w:t>
      </w:r>
      <w:r>
        <w:t xml:space="preserve">in that region. The regional CRG anchors region-scoped (non-zonal-pinned) reservations and governance; the per-AZ CRGs hold the zonal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matrix and zone-pinned reservations that back the even-distribution target (PLC-011). This refines the earlier</w:t>
      </w:r>
      <w:r>
        <w:t xml:space="preserve"> </w:t>
      </w:r>
      <w:r>
        <w:t xml:space="preserve">“</w:t>
      </w:r>
      <w:r>
        <w:t xml:space="preserve">three-CRG-per-region</w:t>
      </w:r>
      <w:r>
        <w:t xml:space="preserve">”</w:t>
      </w:r>
      <w:r>
        <w:t xml:space="preserve"> </w:t>
      </w:r>
      <w:r>
        <w:t xml:space="preserve">shorthand: the</w:t>
      </w:r>
      <w:r>
        <w:t xml:space="preserve"> </w:t>
      </w:r>
      <w:r>
        <w:rPr>
          <w:iCs/>
          <w:i/>
        </w:rPr>
        <w:t xml:space="preserve">three</w:t>
      </w:r>
      <w:r>
        <w:t xml:space="preserve"> </w:t>
      </w:r>
      <w:r>
        <w:t xml:space="preserve">remains the count of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targets per region, each of which now expands into</w:t>
      </w:r>
      <w:r>
        <w:t xml:space="preserve"> </w:t>
      </w:r>
      <w:r>
        <w:rPr>
          <w:rStyle w:val="VerbatimChar"/>
        </w:rPr>
        <w:t xml:space="preserve">1 regional + N per-AZ</w:t>
      </w:r>
      <w:r>
        <w:t xml:space="preserve"> </w:t>
      </w:r>
      <w:r>
        <w:t xml:space="preserve">CRGs. Naming follows OPS-006 (e.g. </w:t>
      </w:r>
      <w:r>
        <w:rPr>
          <w:rStyle w:val="VerbatimChar"/>
        </w:rPr>
        <w:t xml:space="preserve">crg-pr-eus2-reg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crg-pr-eus2-az3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1c11227d82c6d23c61eb69cce0851fe3611d13a"/>
    <w:p>
      <w:pPr>
        <w:pStyle w:val="Heading3"/>
      </w:pPr>
      <w:r>
        <w:t xml:space="preserve">5.3 Quota-group architecture — single-pool decision (Section 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Section 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e60329ab91672face16d6a8e914cbe617b9db2c"/>
    <w:p>
      <w:pPr>
        <w:pStyle w:val="Heading2"/>
      </w:pPr>
      <w:r>
        <w:t xml:space="preserve">6. Data Architecture (Section 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baseline-critical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Section 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e16a3de81e65b99c217a3b312cbf530cc9e2325"/>
    <w:p>
      <w:pPr>
        <w:pStyle w:val="Heading2"/>
      </w:pPr>
      <w:r>
        <w:t xml:space="preserve">7. State Model &amp; Concurrency (Section 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placement-scoring-forecasting-section-28"/>
    <w:p>
      <w:pPr>
        <w:pStyle w:val="Heading2"/>
      </w:pPr>
      <w:r>
        <w:t xml:space="preserve">8. Placement Scoring &amp; Forecasting (Section 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p>
      <w:pPr>
        <w:pStyle w:val="BodyText"/>
      </w:pPr>
      <w:r>
        <w:rPr>
          <w:bCs/>
          <w:b/>
        </w:rPr>
        <w:t xml:space="preserve">Reservation-eligibility gate (CAP-020/CAP-021).</w:t>
      </w:r>
      <w:r>
        <w:t xml:space="preserve"> </w:t>
      </w:r>
      <w:r>
        <w:t xml:space="preserve">Before a VM enters zonal scoring the Onboarding Validator applies two hard preconditions: (1)</w:t>
      </w:r>
      <w:r>
        <w:t xml:space="preserve"> </w:t>
      </w:r>
      <w:r>
        <w:rPr>
          <w:bCs/>
          <w:b/>
        </w:rPr>
        <w:t xml:space="preserve">Availability-Set VMs are ineligible</w:t>
      </w:r>
      <w:r>
        <w:t xml:space="preserve"> </w:t>
      </w:r>
      <w:r>
        <w:t xml:space="preserve">for zonal capacity reservations (</w:t>
      </w:r>
      <w:r>
        <w:rPr>
          <w:bCs/>
          <w:b/>
        </w:rPr>
        <w:t xml:space="preserve">CAP-020</w:t>
      </w:r>
      <w:r>
        <w:t xml:space="preserve">) — a VM in an Availability Set cannot be backed by a zonal on-demand capacity reservation and is rejected from the zonal path; (2) a VM that is not already</w:t>
      </w:r>
      <w:r>
        <w:t xml:space="preserve"> </w:t>
      </w:r>
      <w:r>
        <w:rPr>
          <w:bCs/>
          <w:b/>
        </w:rPr>
        <w:t xml:space="preserve">zone-pinned</w:t>
      </w:r>
      <w:r>
        <w:t xml:space="preserve"> </w:t>
      </w:r>
      <w:r>
        <w:t xml:space="preserve">must satisfy the</w:t>
      </w:r>
      <w:r>
        <w:t xml:space="preserve"> </w:t>
      </w:r>
      <w:r>
        <w:rPr>
          <w:bCs/>
          <w:b/>
        </w:rPr>
        <w:t xml:space="preserve">deallocate/redeploy-to-AZ precondition</w:t>
      </w:r>
      <w:r>
        <w:t xml:space="preserve"> </w:t>
      </w:r>
      <w:r>
        <w:t xml:space="preserve">(</w:t>
      </w:r>
      <w:r>
        <w:rPr>
          <w:bCs/>
          <w:b/>
        </w:rPr>
        <w:t xml:space="preserve">CAP-021</w:t>
      </w:r>
      <w:r>
        <w:t xml:space="preserve">) — it is deallocated and redeployed into a target availability zone (via the governed onboarding/migration workflow) before it can be associated with a per-AZ CRG reservation. Only zone-pinned, non-Availability-Set VMs proceed to the PLC-011 even-distribution zone selection (Section 8.5).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Section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aeb9d60c7cc5739cc92f81ec858f05a2842e8a7"/>
    <w:p>
      <w:pPr>
        <w:pStyle w:val="Heading3"/>
      </w:pPr>
      <w:r>
        <w:t xml:space="preserve">8.3 Quota-pool arithmetic (single-pool, Section 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bookmarkEnd w:id="56"/>
    <w:bookmarkStart w:id="57" w:name="Xc8b34a7141085eb7ca1f56d043e9d7ee5c7adbc"/>
    <w:p>
      <w:pPr>
        <w:pStyle w:val="Heading3"/>
      </w:pPr>
      <w:r>
        <w:t xml:space="preserve">8.5 Even per-zone distribution &amp; rebalancing (PLC-011, Baseline App. A.9)</w:t>
      </w:r>
    </w:p>
    <w:p>
      <w:pPr>
        <w:pStyle w:val="FirstParagraph"/>
      </w:pPr>
      <w:r>
        <w:t xml:space="preserve">Within a placement region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availability zones, ACRME drives the per-zone VM distribution toward an even target and raises a rebalancing action when it drifts:</w:t>
      </w:r>
    </w:p>
    <w:p>
      <w:pPr>
        <w:pStyle w:val="SourceCode"/>
      </w:pPr>
      <w:r>
        <w:rPr>
          <w:rStyle w:val="VerbatimChar"/>
        </w:rPr>
        <w:t xml:space="preserve">zone_target_share      = 1 / zone_count                              # e.g. 0.333 for Z=3   (C-13)</w:t>
      </w:r>
      <w:r>
        <w:br/>
      </w:r>
      <w:r>
        <w:rPr>
          <w:rStyle w:val="VerbatimChar"/>
        </w:rPr>
        <w:t xml:space="preserve">zone_share(z)          = vm_count(z) / total_vm_count</w:t>
      </w:r>
      <w:r>
        <w:br/>
      </w:r>
      <w:r>
        <w:rPr>
          <w:rStyle w:val="VerbatimChar"/>
        </w:rPr>
        <w:t xml:space="preserve">zone_deficit(z)        = zone_target_share - zone_share(z)           # &gt;0 means under-target</w:t>
      </w:r>
      <w:r>
        <w:br/>
      </w:r>
      <w:r>
        <w:rPr>
          <w:rStyle w:val="VerbatimChar"/>
        </w:rPr>
        <w:t xml:space="preserve"># Placement zone selection (per request):</w:t>
      </w:r>
      <w:r>
        <w:br/>
      </w:r>
      <w:r>
        <w:rPr>
          <w:rStyle w:val="VerbatimChar"/>
        </w:rPr>
        <w:t xml:space="preserve">eligible(z)            = has_capacity(z) AND has_quota(z) AND NOT restricted(z) AND zone_aligned(z)</w:t>
      </w:r>
      <w:r>
        <w:br/>
      </w:r>
      <w:r>
        <w:rPr>
          <w:rStyle w:val="VerbatimChar"/>
        </w:rPr>
        <w:t xml:space="preserve">chosen_zone            = argmax_{z in eligible} zone_deficit(z)      # greatest-deficit-first</w:t>
      </w:r>
      <w:r>
        <w:br/>
      </w:r>
      <w:r>
        <w:rPr>
          <w:rStyle w:val="VerbatimChar"/>
        </w:rPr>
        <w:t xml:space="preserve"># Drift detection (per reconciliation cycle):</w:t>
      </w:r>
      <w:r>
        <w:br/>
      </w:r>
      <w:r>
        <w:rPr>
          <w:rStyle w:val="VerbatimChar"/>
        </w:rPr>
        <w:t xml:space="preserve">max_drift              = max_z | zone_share(z) - zone_target_share |</w:t>
      </w:r>
      <w:r>
        <w:br/>
      </w:r>
      <w:r>
        <w:rPr>
          <w:rStyle w:val="VerbatimChar"/>
        </w:rPr>
        <w:t xml:space="preserve">rebalance_needed       = max_drift &gt; zone_balance_tolerance          # C-13 default 0.10 (±10 pp)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rebalance_needed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ZoneRebalanceAction</w:t>
      </w:r>
      <w:r>
        <w:t xml:space="preserve"> </w:t>
      </w:r>
      <w:r>
        <w:t xml:space="preserve">is raised so subsequent placements (and, where policy permits, governed redeploys) steer new/moved VMs into the most-deficient eligible zones until</w:t>
      </w:r>
      <w:r>
        <w:t xml:space="preserve"> </w:t>
      </w:r>
      <w:r>
        <w:rPr>
          <w:rStyle w:val="VerbatimChar"/>
        </w:rPr>
        <w:t xml:space="preserve">max_drift ≤ tolerance</w:t>
      </w:r>
      <w:r>
        <w:t xml:space="preserve">. Rebalancing never violates capacity, quota, restriction, or zone-alignment constraints and never forces a live migration outside an approved workflow. Both</w:t>
      </w:r>
      <w:r>
        <w:t xml:space="preserve"> </w:t>
      </w:r>
      <w:r>
        <w:rPr>
          <w:rStyle w:val="VerbatimChar"/>
        </w:rPr>
        <w:t xml:space="preserve">zone_target_share</w:t>
      </w:r>
      <w:r>
        <w:t xml:space="preserve"> </w:t>
      </w:r>
      <w:r>
        <w:t xml:space="preserve">(derived from</w:t>
      </w:r>
      <w:r>
        <w:t xml:space="preserve"> </w:t>
      </w:r>
      <w:r>
        <w:rPr>
          <w:rStyle w:val="VerbatimChar"/>
        </w:rPr>
        <w:t xml:space="preserve">zone_count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zone_balance_tolerance</w:t>
      </w:r>
      <w:r>
        <w:t xml:space="preserve"> </w:t>
      </w:r>
      <w:r>
        <w:t xml:space="preserve">are configuration-driven (</w:t>
      </w:r>
      <w:r>
        <w:rPr>
          <w:bCs/>
          <w:b/>
        </w:rPr>
        <w:t xml:space="preserve">C-13</w:t>
      </w:r>
      <w:r>
        <w:t xml:space="preserve">); the worked example is Baseline Appendix A.9.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7" w:name="X84fe8cb5fb9d03b49ec9a8be97de1c530ee9ea2"/>
    <w:p>
      <w:pPr>
        <w:pStyle w:val="Heading2"/>
      </w:pPr>
      <w:r>
        <w:t xml:space="preserve">9. DR Sizing &amp; Activation Algorithms (Section 31, App. A.6/A.7/A.8, App. D)</w:t>
      </w:r>
    </w:p>
    <w:bookmarkStart w:id="59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9"/>
    <w:bookmarkStart w:id="60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60"/>
    <w:bookmarkStart w:id="61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3"/>
    <w:bookmarkStart w:id="64" w:name="X60d13b692a79ab118e8c24291eac664e26e7d95"/>
    <w:p>
      <w:pPr>
        <w:pStyle w:val="Heading3"/>
      </w:pPr>
      <w:r>
        <w:t xml:space="preserve">9.4 Tier escalation (Section 32) — see Section 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4"/>
    <w:bookmarkStart w:id="65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5"/>
    <w:bookmarkStart w:id="66" w:name="Xc6992980d5fd173e06d8295adfe31fc72bf3bed"/>
    <w:p>
      <w:pPr>
        <w:pStyle w:val="Heading3"/>
      </w:pPr>
      <w:r>
        <w:t xml:space="preserve">T13 — Distributed DR reference model (Section 12A)</w:t>
      </w:r>
    </w:p>
    <w:p>
      <w:pPr>
        <w:pStyle w:val="FirstParagraph"/>
      </w:pPr>
      <w:r>
        <w:t xml:space="preserve">Reused reference diagram (ADR-005 Section 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Xe5dd9b997cbf4e99fe348c69d3b9a96675a9d33"/>
    <w:p>
      <w:pPr>
        <w:pStyle w:val="Heading2"/>
      </w:pPr>
      <w:r>
        <w:t xml:space="preserve">10. Steady-State Capacity Lifecycle (Section 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policy.</w:t>
      </w:r>
      <w:r>
        <w:t xml:space="preserve"> </w:t>
      </w:r>
      <w:r>
        <w:rPr>
          <w:bCs/>
          <w:b/>
        </w:rPr>
        <w:t xml:space="preserve">Decommissioning-workflow boundary (CAP-008/CAP-010):</w:t>
      </w:r>
      <w:r>
        <w:t xml:space="preserve"> </w:t>
      </w:r>
      <w:r>
        <w:t xml:space="preserve">automatic reconciliation only ever</w:t>
      </w:r>
      <w:r>
        <w:t xml:space="preserve"> </w:t>
      </w:r>
      <w:r>
        <w:rPr>
          <w:bCs/>
          <w:b/>
        </w:rPr>
        <w:t xml:space="preserve">right-sizes a reservation down to its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Allocated + Buffer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— it never reduces a reservation to zero and never deletes a CRG or reservation on its own. Reducing a reservation to</w:t>
      </w:r>
      <w:r>
        <w:t xml:space="preserve"> </w:t>
      </w:r>
      <w:r>
        <w:rPr>
          <w:bCs/>
          <w:b/>
        </w:rPr>
        <w:t xml:space="preserve">zero (returning it 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seed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retiring</w:t>
      </w:r>
      <w:r>
        <w:t xml:space="preserve">, or</w:t>
      </w:r>
      <w:r>
        <w:t xml:space="preserve"> </w:t>
      </w:r>
      <w:r>
        <w:rPr>
          <w:bCs/>
          <w:b/>
        </w:rPr>
        <w:t xml:space="preserve">deleting</w:t>
      </w:r>
      <w:r>
        <w:t xml:space="preserve"> </w:t>
      </w:r>
      <w:r>
        <w:t xml:space="preserve">a reservation/CRG are</w:t>
      </w:r>
      <w:r>
        <w:t xml:space="preserve"> </w:t>
      </w:r>
      <w:r>
        <w:rPr>
          <w:bCs/>
          <w:b/>
        </w:rPr>
        <w:t xml:space="preserve">gated workflow actions</w:t>
      </w:r>
      <w:r>
        <w:t xml:space="preserve"> </w:t>
      </w:r>
      <w:r>
        <w:t xml:space="preserve">requiring the decommissioning approval path (operator approval, cost/DR/maintenance guards, audit) — they are outside the automatic loop.</w:t>
      </w:r>
      <w:r>
        <w:t xml:space="preserve"> </w:t>
      </w:r>
      <w:r>
        <w:rPr>
          <w:rStyle w:val="VerbatimChar"/>
        </w:rPr>
        <w:t xml:space="preserve">[Decided]</w:t>
      </w:r>
    </w:p>
    <w:bookmarkStart w:id="68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api-architecture-section-35-int-001..007"/>
    <w:p>
      <w:pPr>
        <w:pStyle w:val="Heading2"/>
      </w:pPr>
      <w:r>
        <w:t xml:space="preserve">11. API Architecture (Section 35, INT-001..007)</w:t>
      </w:r>
    </w:p>
    <w:bookmarkStart w:id="70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70"/>
    <w:bookmarkStart w:id="71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1"/>
    <w:bookmarkStart w:id="72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security-section-36-gov-001..009"/>
    <w:p>
      <w:pPr>
        <w:pStyle w:val="Heading2"/>
      </w:pPr>
      <w:r>
        <w:t xml:space="preserve">12. Security (Section 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X9594c4cb95938c1dc9282a08b8bcf68795e8edd"/>
    <w:p>
      <w:pPr>
        <w:pStyle w:val="Heading2"/>
      </w:pPr>
      <w:r>
        <w:t xml:space="preserve">13. Observability Implementation (Section 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nfrs-resilience-section-38-nfr-001..010"/>
    <w:p>
      <w:pPr>
        <w:pStyle w:val="Heading2"/>
      </w:pPr>
      <w:r>
        <w:t xml:space="preserve">14. NFRs &amp; Resilience (Section 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(Section 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6"/>
    <w:bookmarkStart w:id="77" w:name="integration-section-33-section-6-review"/>
    <w:p>
      <w:pPr>
        <w:pStyle w:val="Heading2"/>
      </w:pPr>
      <w:r>
        <w:t xml:space="preserve">15. Integration (Section 33, Section 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(Section 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7"/>
    <w:bookmarkStart w:id="78" w:name="poc-validation-dependencies-section-42"/>
    <w:p>
      <w:pPr>
        <w:pStyle w:val="Heading2"/>
      </w:pPr>
      <w:r>
        <w:t xml:space="preserve">16. POC &amp; Validation Dependencies (Section 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Section 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8"/>
    <w:bookmarkStart w:id="79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(v2.4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per-geography</w:t>
            </w:r>
            <w:r>
              <w:t xml:space="preserve"> </w:t>
            </w:r>
            <w:r>
              <w:rPr>
                <w:rStyle w:val="VerbatimChar"/>
              </w:rPr>
              <w:t xml:space="preserve">distribution_model</w:t>
            </w:r>
            <w:r>
              <w:t xml:space="preserve">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two-region CVAL/DR co-location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CVALEarmarkRecord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CAP-001, CAP-001a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classification;</w:t>
            </w:r>
            <w:r>
              <w:t xml:space="preserve"> </w:t>
            </w:r>
            <w:r>
              <w:rPr>
                <w:bCs/>
                <w:b/>
              </w:rPr>
              <w:t xml:space="preserve">core subscription = all-production</w:t>
            </w:r>
            <w:r>
              <w:t xml:space="preserve"> </w:t>
            </w:r>
            <w:r>
              <w:t xml:space="preserve">(CAP-001a)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auto right-size only (no auto zero/delete);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CAP-008, CAP-010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Reconciler, Decommissioning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right-size to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gated</w:t>
            </w:r>
            <w:r>
              <w:t xml:space="preserve"> </w:t>
            </w:r>
            <w:r>
              <w:t xml:space="preserve">reduce-to-zero/retire/delete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OperationRecord</w:t>
            </w:r>
            <w:r>
              <w:t xml:space="preserve">; Section 10, T9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CAP-020, CAP-021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Onboarding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Availability-Set VM ineligibility; deallocate/redeploy-to-AZ 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CustomerSeedRecord</w:t>
            </w:r>
            <w:r>
              <w:t xml:space="preserve">; Section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CAP-022 (extends CAP-009)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Config/Scope-File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matrix</w:t>
            </w:r>
            <w:r>
              <w:t xml:space="preserve"> </w:t>
            </w:r>
            <w:r>
              <w:t xml:space="preserve">of count-0 reservations over eligible SKU×region×AZ; per-product-team budget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seed</w:t>
            </w:r>
            <w:r>
              <w:t xml:space="preserve">);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 (extends CAP-011)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+ per-AZ CRG structure</w:t>
            </w:r>
            <w:r>
              <w:t xml:space="preserve"> </w:t>
            </w:r>
            <w:r>
              <w:t xml:space="preserve">per 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 regional + N per-AZ</w:t>
            </w:r>
            <w:r>
              <w:t xml:space="preserve"> </w:t>
            </w:r>
            <w:r>
              <w:t xml:space="preserve">CRGs); Section 5.2,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CAP-024 (reconciles CAP-019)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reactive SKU/AZ discovery</w:t>
            </w:r>
            <w:r>
              <w:t xml:space="preserve"> </w:t>
            </w:r>
            <w:r>
              <w:t xml:space="preserve">auto-creates reservation + raises scope-file governance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; Section 5.2,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 ≈1/zone_count</w:t>
            </w:r>
            <w:r>
              <w:t xml:space="preserve"> </w:t>
            </w:r>
            <w:r>
              <w:t xml:space="preserve">target; greatest-deficit-first zone pick; drift →</w:t>
            </w:r>
            <w:r>
              <w:t xml:space="preserve"> </w:t>
            </w:r>
            <w:r>
              <w:rPr>
                <w:rStyle w:val="VerbatimChar"/>
              </w:rPr>
              <w:t xml:space="preserve">ZoneRebalanceAction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RG/CRG/subscription</w:t>
            </w:r>
            <w:r>
              <w:t xml:space="preserve"> </w:t>
            </w:r>
            <w:r>
              <w:rPr>
                <w:bCs/>
                <w:b/>
              </w:rPr>
              <w:t xml:space="preserve">naming convention + 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5.1,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C-12,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pattern config (C-12); zone target/tolerance config (C-13)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config; Section 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Section 10, 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2.2, Section 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v2.4 requirement group — including the reservation-model additions CAP-001a, CAP-020..024, PLC-011, OPS-006 and configuration items C-12/C-13 — resolves to at least one component, algorithm, and entity above. Functional-level traceability is in the FDD Section 9.</w:t>
      </w:r>
    </w:p>
    <w:p>
      <w:r>
        <w:pict>
          <v:rect style="width:0;height:1.5pt" o:hralign="center" o:hrstd="t" o:hr="t"/>
        </w:pict>
      </w:r>
    </w:p>
    <w:bookmarkEnd w:id="79"/>
    <w:bookmarkStart w:id="81" w:name="class-diagram-updated-with-new-entities"/>
    <w:p>
      <w:pPr>
        <w:pStyle w:val="Heading2"/>
      </w:pPr>
      <w:r>
        <w:t xml:space="preserve">18. Class Diagram (updated with new entities)</w:t>
      </w:r>
    </w:p>
    <w:bookmarkStart w:id="80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+RegionCatalogue region_catalogue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RegionCatalogue {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distribution_model</w:t>
      </w:r>
      <w:r>
        <w:br/>
      </w:r>
      <w:r>
        <w:rPr>
          <w:rStyle w:val="VerbatimChar"/>
        </w:rPr>
        <w:t xml:space="preserve">        +list~string~ regions</w:t>
      </w:r>
      <w:r>
        <w:br/>
      </w:r>
      <w:r>
        <w:rPr>
          <w:rStyle w:val="VerbatimChar"/>
        </w:rPr>
        <w:t xml:space="preserve">        +list~string~ restricted_regions</w:t>
      </w:r>
      <w:r>
        <w:br/>
      </w:r>
      <w:r>
        <w:rPr>
          <w:rStyle w:val="VerbatimChar"/>
        </w:rPr>
        <w:t xml:space="preserve">        +bool dr_not_offered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PlacementPolicy "1" --&gt; "1..*" RegionCatalogue : catalogue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2026-09-11T11:44:18Z</dcterms:created>
  <dcterms:modified xsi:type="dcterms:W3CDTF">2026-09-11T11:44:18Z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