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c2a7d1c70d06012cb084390e7e6f22341dfb97b"/>
    <w:p>
      <w:pPr>
        <w:pStyle w:val="Heading1"/>
      </w:pPr>
      <w:r>
        <w:t xml:space="preserve">ACRME Calculation Logic Reference — All Scenarios</w:t>
      </w:r>
    </w:p>
    <w:p>
      <w:pPr>
        <w:pStyle w:val="FirstParagraph"/>
      </w:pPr>
      <w:r>
        <w:t xml:space="preserve">This document consolidates</w:t>
      </w:r>
      <w:r>
        <w:t xml:space="preserve"> </w:t>
      </w:r>
      <w:r>
        <w:rPr>
          <w:bCs/>
          <w:b/>
        </w:rPr>
        <w:t xml:space="preserve">every calculation logic</w:t>
      </w:r>
      <w:r>
        <w:t xml:space="preserve"> </w:t>
      </w:r>
      <w:r>
        <w:t xml:space="preserve">used by the Azure Capacity Reservation</w:t>
      </w:r>
      <w:r>
        <w:t xml:space="preserve"> </w:t>
      </w:r>
      <w:r>
        <w:t xml:space="preserve">Management Engine (ACRME), organized by the scenario in which it fires. Each formula is traced to its</w:t>
      </w:r>
      <w:r>
        <w:t xml:space="preserve"> </w:t>
      </w:r>
      <w:r>
        <w:t xml:space="preserve">source document and carries the same evidence tag used in the source: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[Documented]</w:t>
      </w:r>
      <w:r>
        <w:t xml:space="preserve"> </w:t>
      </w:r>
      <w:r>
        <w:t xml:space="preserve">— backed by Microsoft Learn or platform documentation.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[Decided]</w:t>
      </w:r>
      <w:r>
        <w:t xml:space="preserve"> </w:t>
      </w:r>
      <w:r>
        <w:t xml:space="preserve">— an approved design decision recorded in the Decision Log.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[Derived]</w:t>
      </w:r>
      <w:r>
        <w:t xml:space="preserve"> </w:t>
      </w:r>
      <w:r>
        <w:t xml:space="preserve">— a logical consequence of the design; requires POC validation where noted.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[Assumed]</w:t>
      </w:r>
      <w:r>
        <w:t xml:space="preserve"> </w:t>
      </w:r>
      <w:r>
        <w:t xml:space="preserve">— a policy default or working hypothesis, tunable and not yet empirically validated.</w:t>
      </w:r>
    </w:p>
    <w:p>
      <w:pPr>
        <w:pStyle w:val="FirstParagraph"/>
      </w:pPr>
      <w:r>
        <w:rPr>
          <w:bCs/>
          <w:b/>
        </w:rPr>
        <w:t xml:space="preserve">Sources:</w:t>
      </w:r>
      <w:r>
        <w:t xml:space="preserve"> </w:t>
      </w:r>
      <w:r>
        <w:rPr>
          <w:rStyle w:val="VerbatimChar"/>
        </w:rPr>
        <w:t xml:space="preserve">acrme_production_readiness_review_and_architecture.md</w:t>
      </w:r>
      <w:r>
        <w:t xml:space="preserve"> </w:t>
      </w:r>
      <w:r>
        <w:t xml:space="preserve">(PRR §26, §27, §28, §10),</w:t>
      </w:r>
      <w:r>
        <w:t xml:space="preserve"> </w:t>
      </w:r>
      <w:r>
        <w:rPr>
          <w:rStyle w:val="VerbatimChar"/>
        </w:rPr>
        <w:t xml:space="preserve">research/design_change_summary.md</w:t>
      </w:r>
      <w:r>
        <w:t xml:space="preserve"> </w:t>
      </w:r>
      <w:r>
        <w:t xml:space="preserve">(CR/CRG-1..9, QG-1..12), and the POC workbook topology (GP-06).</w:t>
      </w:r>
    </w:p>
    <w:p>
      <w:pPr>
        <w:pStyle w:val="BlockText"/>
      </w:pPr>
      <w:r>
        <w:rPr>
          <w:bCs/>
          <w:b/>
        </w:rPr>
        <w:t xml:space="preserve">Convention.</w:t>
      </w:r>
      <w:r>
        <w:t xml:space="preserve"> </w:t>
      </w:r>
      <w:r>
        <w:rPr>
          <w:rStyle w:val="VerbatimChar"/>
        </w:rPr>
        <w:t xml:space="preserve">vCPU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vCPU_per_instance</w:t>
      </w:r>
      <w:r>
        <w:t xml:space="preserve"> </w:t>
      </w:r>
      <w:r>
        <w:t xml:space="preserve">for the SKU family.</w:t>
      </w:r>
      <w:r>
        <w:t xml:space="preserve"> </w:t>
      </w:r>
      <w:r>
        <w:rPr>
          <w:rStyle w:val="VerbatimChar"/>
        </w:rPr>
        <w:t xml:space="preserve">CVAL</w:t>
      </w:r>
      <w:r>
        <w:t xml:space="preserve"> </w:t>
      </w:r>
      <w:r>
        <w:t xml:space="preserve">(Customer Validation) and</w:t>
      </w:r>
      <w:r>
        <w:t xml:space="preserve"> </w:t>
      </w:r>
      <w:r>
        <w:rPr>
          <w:rStyle w:val="VerbatimChar"/>
        </w:rPr>
        <w:t xml:space="preserve">NonProd</w:t>
      </w:r>
      <w:r>
        <w:t xml:space="preserve"> </w:t>
      </w:r>
      <w:r>
        <w:t xml:space="preserve">are interchangeable; scoring identifiers keep the</w:t>
      </w:r>
      <w:r>
        <w:t xml:space="preserve"> </w:t>
      </w:r>
      <w:r>
        <w:rPr>
          <w:rStyle w:val="VerbatimChar"/>
        </w:rPr>
        <w:t xml:space="preserve">NonProd</w:t>
      </w:r>
      <w:r>
        <w:t xml:space="preserve"> </w:t>
      </w:r>
      <w:r>
        <w:t xml:space="preserve">spelling for engineering</w:t>
      </w:r>
      <w:r>
        <w:t xml:space="preserve"> </w:t>
      </w:r>
      <w:r>
        <w:t xml:space="preserve">consistency. All raw ratios are clamped with</w:t>
      </w:r>
      <w:r>
        <w:t xml:space="preserve"> </w:t>
      </w:r>
      <w:r>
        <w:rPr>
          <w:rStyle w:val="VerbatimChar"/>
        </w:rPr>
        <w:t xml:space="preserve">Clamp(x) = max(0, min(1, x))</w:t>
      </w:r>
      <w:r>
        <w:t xml:space="preserve"> </w:t>
      </w:r>
      <w:r>
        <w:t xml:space="preserve">before weighting.</w:t>
      </w:r>
    </w:p>
    <w:p>
      <w:r>
        <w:pict>
          <v:rect style="width:0;height:1.5pt" o:hralign="center" o:hrstd="t" o:hr="t"/>
        </w:pict>
      </w:r>
    </w:p>
    <w:bookmarkStart w:id="20" w:name="index-of-scenarios"/>
    <w:p>
      <w:pPr>
        <w:pStyle w:val="Heading2"/>
      </w:pPr>
      <w:r>
        <w:t xml:space="preserve">Index of scenarios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calculation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region derivation — customer picks a</w:t>
            </w:r>
            <w:r>
              <w:t xml:space="preserve"> </w:t>
            </w:r>
            <w:r>
              <w:rPr>
                <w:bCs/>
                <w:b/>
              </w:rPr>
              <w:t xml:space="preserve">geography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argmax(PS_Prod)</w:t>
            </w:r>
            <w:r>
              <w:t xml:space="preserve"> </w:t>
            </w:r>
            <w:r>
              <w:t xml:space="preserve">over Standard regions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region validation — customer picks a</w:t>
            </w:r>
            <w:r>
              <w:t xml:space="preserve"> </w:t>
            </w:r>
            <w:r>
              <w:rPr>
                <w:bCs/>
                <w:b/>
              </w:rPr>
              <w:t xml:space="preserve">specific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HC-1..HC-10 gate +</w:t>
            </w:r>
            <w:r>
              <w:t xml:space="preserve"> </w:t>
            </w:r>
            <w:r>
              <w:rPr>
                <w:rStyle w:val="VerbatimChar"/>
              </w:rPr>
              <w:t xml:space="preserve">PS_Prod</w:t>
            </w:r>
            <w:r>
              <w:t xml:space="preserve"> </w:t>
            </w:r>
            <w:r>
              <w:t xml:space="preserve">post-validation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Exception workflow (no scoring)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three-region deployment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argmax(PS_Prod)</w:t>
            </w:r>
            <w:r>
              <w:t xml:space="preserve"> </w:t>
            </w:r>
            <w:r>
              <w:t xml:space="preserve">over 2 in-geo regions + cross-geo 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CVAL / NonProd region selection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argmax(PS_NonProd)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region selection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argmax(PS_DR)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Hard-constraint eligibility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HC-3, HC-6, HC-7 arithmetic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group sizing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 &amp; NonProd+DR group budgets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floor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DR_Floor_vCPU</w:t>
            </w:r>
            <w:r>
              <w:t xml:space="preserve">, effective ceiling, headroom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quota scoring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Quota_Score_{Prod,NonProd,DR}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forecast / CR sizing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Forecast_Quantity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Auto-increase 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utilisation thresholds + debounce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transfer &amp; tier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1/2/3, quota-neutral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Scaling &amp; API-budget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CRG cardinality, request-per-cycle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ratio parameters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dr_ratio_min/max/target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X25b4b3b8eec9611db1abf6f7df9b21bf6d1495c"/>
    <w:p>
      <w:pPr>
        <w:pStyle w:val="Heading2"/>
      </w:pPr>
      <w:r>
        <w:t xml:space="preserve">Shared building blocks (used by several scenarios)</w:t>
      </w:r>
    </w:p>
    <w:bookmarkStart w:id="21" w:name="default-scoring-weights-assumed-prr-28"/>
    <w:p>
      <w:pPr>
        <w:pStyle w:val="Heading3"/>
      </w:pPr>
      <w:r>
        <w:t xml:space="preserve">Default scoring weights</w:t>
      </w:r>
      <w:r>
        <w:t xml:space="preserve"> </w:t>
      </w:r>
      <w:r>
        <w:rPr>
          <w:rStyle w:val="VerbatimChar"/>
        </w:rPr>
        <w:t xml:space="preserve">[Assumed]</w:t>
      </w:r>
      <w:r>
        <w:t xml:space="preserve"> </w:t>
      </w:r>
      <w:r>
        <w:t xml:space="preserve">(PRR §28)</w:t>
      </w:r>
    </w:p>
    <w:p>
      <w:pPr>
        <w:pStyle w:val="SourceCode"/>
      </w:pPr>
      <w:r>
        <w:rPr>
          <w:rStyle w:val="VerbatimChar"/>
        </w:rPr>
        <w:t xml:space="preserve">alpha (α) = 0.30   # capacity / headroom signal</w:t>
      </w:r>
      <w:r>
        <w:br/>
      </w:r>
      <w:r>
        <w:rPr>
          <w:rStyle w:val="VerbatimChar"/>
        </w:rPr>
        <w:t xml:space="preserve">beta  (β) = 0.20   # quota headroom signal</w:t>
      </w:r>
      <w:r>
        <w:br/>
      </w:r>
      <w:r>
        <w:rPr>
          <w:rStyle w:val="VerbatimChar"/>
        </w:rPr>
        <w:t xml:space="preserve">gamma (γ) = 0.25   # capacity-weighted distribution</w:t>
      </w:r>
      <w:r>
        <w:br/>
      </w:r>
      <w:r>
        <w:rPr>
          <w:rStyle w:val="VerbatimChar"/>
        </w:rPr>
        <w:t xml:space="preserve">delta (δ) = 0.15   # DR-coverage / overflow-integrity signal</w:t>
      </w:r>
      <w:r>
        <w:br/>
      </w:r>
      <w:r>
        <w:rPr>
          <w:rStyle w:val="VerbatimChar"/>
        </w:rPr>
        <w:t xml:space="preserve">epsilon(ε)= 0.10   # zone diversity</w:t>
      </w:r>
      <w:r>
        <w:br/>
      </w:r>
      <w:r>
        <w:rPr>
          <w:rStyle w:val="VerbatimChar"/>
        </w:rPr>
        <w:t xml:space="preserve">Clamp(x)  = max(0, min(1, x))       # every component clamped to [0,1] before weighting</w:t>
      </w:r>
    </w:p>
    <w:bookmarkEnd w:id="21"/>
    <w:bookmarkStart w:id="22" w:name="X9634125c7b4d4f91d130f2f931aec0401fcdd46"/>
    <w:p>
      <w:pPr>
        <w:pStyle w:val="Heading3"/>
      </w:pPr>
      <w:r>
        <w:t xml:space="preserve">Named regional-snapshot quantities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[Derived]</w:t>
      </w:r>
      <w:r>
        <w:t xml:space="preserve"> </w:t>
      </w:r>
      <w:r>
        <w:t xml:space="preserve">(design_change_summary CR/CRG-4,5)</w:t>
      </w:r>
    </w:p>
    <w:p>
      <w:pPr>
        <w:pStyle w:val="SourceCode"/>
      </w:pPr>
      <w:r>
        <w:rPr>
          <w:rStyle w:val="VerbatimChar"/>
        </w:rPr>
        <w:t xml:space="preserve">nonprod_crg.effective_free = nonprod_crg.free_slots - dr_overflow_reserve</w:t>
      </w:r>
      <w:r>
        <w:br/>
      </w:r>
      <w:r>
        <w:rPr>
          <w:rStyle w:val="VerbatimChar"/>
        </w:rPr>
        <w:t xml:space="preserve">dr_crg.coverage_ratio      = dr_crg.quantity / potential_dr_demand</w:t>
      </w:r>
      <w:r>
        <w:br/>
      </w:r>
      <w:r>
        <w:rPr>
          <w:rStyle w:val="VerbatimChar"/>
        </w:rPr>
        <w:t xml:space="preserve">potential_dr_demand(region)= Σ prod_allocated  for all customers whose dr_region = region</w:t>
      </w:r>
    </w:p>
    <w:bookmarkEnd w:id="22"/>
    <w:bookmarkStart w:id="23" w:name="X1efe57d5bcaa622656cb97cdb131ab7699710b3"/>
    <w:p>
      <w:pPr>
        <w:pStyle w:val="Heading3"/>
      </w:pPr>
      <w:r>
        <w:t xml:space="preserve">DR ratio parameters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 </w:t>
      </w:r>
      <w:r>
        <w:t xml:space="preserve">(design_change_summary G-8)</w:t>
      </w:r>
    </w:p>
    <w:p>
      <w:pPr>
        <w:pStyle w:val="SourceCode"/>
      </w:pPr>
      <w:r>
        <w:rPr>
          <w:rStyle w:val="VerbatimChar"/>
        </w:rPr>
        <w:t xml:space="preserve">dr_ratio_min    = 0.30      # HC-6 floor</w:t>
      </w:r>
      <w:r>
        <w:br/>
      </w:r>
      <w:r>
        <w:rPr>
          <w:rStyle w:val="VerbatimChar"/>
        </w:rPr>
        <w:t xml:space="preserve">dr_ratio_max    = 0.40      # target ceiling — the engine always sizes toward the upper bound</w:t>
      </w:r>
      <w:r>
        <w:br/>
      </w:r>
      <w:r>
        <w:rPr>
          <w:rStyle w:val="VerbatimChar"/>
        </w:rPr>
        <w:t xml:space="preserve">dr_ratio_target = [0.30, 0.40]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X20e89bed269089e380fc1af2b8f348df4c91122"/>
    <w:p>
      <w:pPr>
        <w:pStyle w:val="Heading2"/>
      </w:pPr>
      <w:r>
        <w:t xml:space="preserve">Scenario 1 — Prod region derivation (customer chooses an Azure</w:t>
      </w:r>
      <w:r>
        <w:t xml:space="preserve"> </w:t>
      </w:r>
      <w:r>
        <w:rPr>
          <w:iCs/>
          <w:i/>
        </w:rPr>
        <w:t xml:space="preserve">geography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customer supplies a geography (e.g. </w:t>
      </w:r>
      <w:r>
        <w:t xml:space="preserve">“</w:t>
      </w:r>
      <w:r>
        <w:t xml:space="preserve">Europe</w:t>
      </w:r>
      <w:r>
        <w:t xml:space="preserve">”</w:t>
      </w:r>
      <w:r>
        <w:t xml:space="preserve">), not a specific region. (PRR §27</w:t>
      </w:r>
      <w:r>
        <w:t xml:space="preserve"> </w:t>
      </w:r>
      <w:r>
        <w:t xml:space="preserve">“</w:t>
      </w:r>
      <w:r>
        <w:t xml:space="preserve">Prod region</w:t>
      </w:r>
      <w:r>
        <w:t xml:space="preserve"> </w:t>
      </w:r>
      <w:r>
        <w:t xml:space="preserve">input modes</w:t>
      </w:r>
      <w:r>
        <w:t xml:space="preserve">”</w:t>
      </w:r>
      <w:r>
        <w:t xml:space="preserve">, Scenario 1.)</w:t>
      </w:r>
    </w:p>
    <w:p>
      <w:pPr>
        <w:pStyle w:val="BodyText"/>
      </w:pPr>
      <w:r>
        <w:rPr>
          <w:bCs/>
          <w:b/>
        </w:rPr>
        <w:t xml:space="preserve">Logic:</w:t>
      </w:r>
    </w:p>
    <w:p>
      <w:pPr>
        <w:numPr>
          <w:ilvl w:val="0"/>
          <w:numId w:val="1002"/>
        </w:numPr>
        <w:pStyle w:val="Compact"/>
      </w:pPr>
      <w:r>
        <w:t xml:space="preserve">Build candidate set =</w:t>
      </w:r>
      <w:r>
        <w:t xml:space="preserve"> </w:t>
      </w:r>
      <w:r>
        <w:rPr>
          <w:bCs/>
          <w:b/>
        </w:rPr>
        <w:t xml:space="preserve">Standard Capacity Regions</w:t>
      </w:r>
      <w:r>
        <w:t xml:space="preserve"> </w:t>
      </w:r>
      <w:r>
        <w:t xml:space="preserve">in the chosen geography. Restricted regions are</w:t>
      </w:r>
      <w:r>
        <w:t xml:space="preserve"> </w:t>
      </w:r>
      <w:r>
        <w:t xml:space="preserve">excluded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scoring and never receive a score.</w:t>
      </w:r>
      <w:r>
        <w:t xml:space="preserve"> </w:t>
      </w:r>
      <w:r>
        <w:rPr>
          <w:rStyle w:val="VerbatimChar"/>
        </w:rPr>
        <w:t xml:space="preserve">[Undocumented — architectural judgement]</w:t>
      </w:r>
    </w:p>
    <w:p>
      <w:pPr>
        <w:numPr>
          <w:ilvl w:val="0"/>
          <w:numId w:val="1002"/>
        </w:numPr>
        <w:pStyle w:val="Compact"/>
      </w:pPr>
      <w:r>
        <w:t xml:space="preserve">Score every surviving candidate with</w:t>
      </w:r>
      <w:r>
        <w:t xml:space="preserve"> 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from the versioned regional snapshot.</w:t>
      </w:r>
    </w:p>
    <w:p>
      <w:pPr>
        <w:numPr>
          <w:ilvl w:val="0"/>
          <w:numId w:val="1002"/>
        </w:numPr>
        <w:pStyle w:val="Compact"/>
      </w:pPr>
      <w:r>
        <w:t xml:space="preserve">Select</w:t>
      </w:r>
      <w:r>
        <w:t xml:space="preserve"> </w:t>
      </w:r>
      <w:r>
        <w:rPr>
          <w:rStyle w:val="VerbatimChar"/>
        </w:rPr>
        <w:t xml:space="preserve">derived Prod anchor = argmax(PS_Prod)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Tie-break:</w:t>
      </w:r>
      <w:r>
        <w:t xml:space="preserve"> </w:t>
      </w:r>
      <w:r>
        <w:t xml:space="preserve">deterministic — first region in the Standard Capacity Region list order for that</w:t>
      </w:r>
      <w:r>
        <w:t xml:space="preserve"> </w:t>
      </w:r>
      <w:r>
        <w:t xml:space="preserve">geography (also the cold-start default when no snapshot exists or all scores tie).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2"/>
        </w:numPr>
        <w:pStyle w:val="Compact"/>
      </w:pPr>
      <w:r>
        <w:t xml:space="preserve">Then run sequential</w:t>
      </w:r>
      <w:r>
        <w:t xml:space="preserve"> </w:t>
      </w:r>
      <w:r>
        <w:rPr>
          <w:bCs/>
          <w:b/>
        </w:rPr>
        <w:t xml:space="preserve">CVAL → DR</w:t>
      </w:r>
      <w:r>
        <w:t xml:space="preserve"> </w:t>
      </w:r>
      <w:r>
        <w:t xml:space="preserve">selection on the same Standard region pool (Scenarios 5 &amp; 6),</w:t>
      </w:r>
      <w:r>
        <w:t xml:space="preserve"> </w:t>
      </w:r>
      <w:r>
        <w:t xml:space="preserve">applying Middle East handling where required.</w:t>
      </w:r>
    </w:p>
    <w:bookmarkStart w:id="25" w:name="X60865c8ef000494879763b0a962f4164984eda0"/>
    <w:p>
      <w:pPr>
        <w:pStyle w:val="Heading3"/>
      </w:pPr>
      <w:r>
        <w:rPr>
          <w:rStyle w:val="VerbatimChar"/>
        </w:rPr>
        <w:t xml:space="preserve">PS_Prod(r)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 </w:t>
      </w:r>
      <w:r>
        <w:t xml:space="preserve">(design_change_summary CR/CRG-7)</w:t>
      </w:r>
    </w:p>
    <w:p>
      <w:pPr>
        <w:pStyle w:val="SourceCode"/>
      </w:pPr>
      <w:r>
        <w:rPr>
          <w:rStyle w:val="VerbatimChar"/>
        </w:rPr>
        <w:t xml:space="preserve">PS_Prod(r) =</w:t>
      </w:r>
      <w:r>
        <w:br/>
      </w:r>
      <w:r>
        <w:rPr>
          <w:rStyle w:val="VerbatimChar"/>
        </w:rPr>
        <w:t xml:space="preserve">    0.30 × Clamp(nonprod_crg.effective_free / prod_crg.quantity)     ← α: NonProd headroom signal</w:t>
      </w:r>
      <w:r>
        <w:br/>
      </w:r>
      <w:r>
        <w:rPr>
          <w:rStyle w:val="VerbatimChar"/>
        </w:rPr>
        <w:t xml:space="preserve">  + 0.20 × Clamp(prod_crg.quota_headroom  / prod_crg.quota_limit)    ← β: Prod quota headroom</w:t>
      </w:r>
      <w:r>
        <w:br/>
      </w:r>
      <w:r>
        <w:rPr>
          <w:rStyle w:val="VerbatimChar"/>
        </w:rPr>
        <w:t xml:space="preserve">  + 0.25 × Clamp(1 - prod_customer_count  / total_customers)         ← γ: distribution fairness</w:t>
      </w:r>
      <w:r>
        <w:br/>
      </w:r>
      <w:r>
        <w:rPr>
          <w:rStyle w:val="VerbatimChar"/>
        </w:rPr>
        <w:t xml:space="preserve">  + 0.15 × Clamp(dr_crg.coverage_ratio)                              ← δ: DR readiness of likely DR target</w:t>
      </w:r>
      <w:r>
        <w:br/>
      </w:r>
      <w:r>
        <w:rPr>
          <w:rStyle w:val="VerbatimChar"/>
        </w:rPr>
        <w:t xml:space="preserve">  + 0.10 × Clamp(az_count / 3)                                       ← ε: zone diversity</w:t>
      </w:r>
    </w:p>
    <w:p>
      <w:pPr>
        <w:pStyle w:val="FirstParagraph"/>
      </w:pPr>
      <w:r>
        <w:rPr>
          <w:rStyle w:val="VerbatimChar"/>
        </w:rPr>
        <w:t xml:space="preserve">PS_Prod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dual-purpose</w:t>
      </w:r>
      <w:r>
        <w:t xml:space="preserve">: it derives the Prod region here, and it is reused for post-selection</w:t>
      </w:r>
      <w:r>
        <w:t xml:space="preserve"> </w:t>
      </w:r>
      <w:r>
        <w:t xml:space="preserve">validation in Scenario 2.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Determinism &amp; audit:</w:t>
      </w:r>
      <w:r>
        <w:t xml:space="preserve"> </w:t>
      </w:r>
      <w:r>
        <w:t xml:space="preserve">derivation is deterministic given a snapshot; the derived region, every</w:t>
      </w:r>
      <w:r>
        <w:t xml:space="preserve"> </w:t>
      </w:r>
      <w:r>
        <w:t xml:space="preserve">candidate score, and the policy version are written to the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for replay.</w:t>
      </w:r>
      <w:r>
        <w:t xml:space="preserve"> </w:t>
      </w:r>
      <w:r>
        <w:rPr>
          <w:rStyle w:val="VerbatimChar"/>
        </w:rPr>
        <w:t xml:space="preserve">[Derived]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Xd136628e22d047b29bae01e0c79707a08338990"/>
    <w:p>
      <w:pPr>
        <w:pStyle w:val="Heading2"/>
      </w:pPr>
      <w:r>
        <w:t xml:space="preserve">Scenario 2 — Prod region validation (customer supplies a</w:t>
      </w:r>
      <w:r>
        <w:t xml:space="preserve"> </w:t>
      </w:r>
      <w:r>
        <w:rPr>
          <w:iCs/>
          <w:i/>
        </w:rPr>
        <w:t xml:space="preserve">specific</w:t>
      </w:r>
      <w:r>
        <w:t xml:space="preserve"> </w:t>
      </w:r>
      <w:r>
        <w:t xml:space="preserve">region)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customer names an exact Azure region. (PRR §27 Scenario 2.)</w:t>
      </w:r>
    </w:p>
    <w:p>
      <w:pPr>
        <w:pStyle w:val="BodyText"/>
      </w:pPr>
      <w:r>
        <w:rPr>
          <w:bCs/>
          <w:b/>
        </w:rPr>
        <w:t xml:space="preserve">Logic (branch on region class):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Standard Capacity Region:</w:t>
      </w:r>
      <w:r>
        <w:t xml:space="preserve"> </w:t>
      </w:r>
      <w:r>
        <w:t xml:space="preserve">validate against</w:t>
      </w:r>
      <w:r>
        <w:t xml:space="preserve"> </w:t>
      </w:r>
      <w:r>
        <w:rPr>
          <w:bCs/>
          <w:b/>
        </w:rPr>
        <w:t xml:space="preserve">HC-1 … HC-10</w:t>
      </w:r>
      <w:r>
        <w:t xml:space="preserve"> </w:t>
      </w:r>
      <w:r>
        <w:t xml:space="preserve">(Scenario 7). If eligible, it becomes</w:t>
      </w:r>
      <w:r>
        <w:t xml:space="preserve"> </w:t>
      </w:r>
      <w:r>
        <w:t xml:space="preserve">the Prod anchor directly;</w:t>
      </w:r>
      <w:r>
        <w:t xml:space="preserve"> 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is computed only for</w:t>
      </w:r>
      <w:r>
        <w:t xml:space="preserve"> </w:t>
      </w:r>
      <w:r>
        <w:rPr>
          <w:bCs/>
          <w:b/>
        </w:rPr>
        <w:t xml:space="preserve">post-selection validation / audit</w:t>
      </w:r>
      <w:r>
        <w:t xml:space="preserve"> </w:t>
      </w:r>
      <w:r>
        <w:t xml:space="preserve">(not for</w:t>
      </w:r>
      <w:r>
        <w:t xml:space="preserve"> </w:t>
      </w:r>
      <w:r>
        <w:t xml:space="preserve">selection).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Restricted Capacity Region: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score — route to the Exception Deployment Workflow</w:t>
      </w:r>
      <w:r>
        <w:t xml:space="preserve"> </w:t>
      </w:r>
      <w:r>
        <w:t xml:space="preserve">(Scenario 3).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pStyle w:val="FirstParagraph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here — the customer’s choice is authoritative once it passes the hard constraints.</w:t>
      </w:r>
    </w:p>
    <w:p>
      <w:r>
        <w:pict>
          <v:rect style="width:0;height:1.5pt" o:hralign="center" o:hrstd="t" o:hr="t"/>
        </w:pict>
      </w:r>
    </w:p>
    <w:bookmarkEnd w:id="27"/>
    <w:bookmarkStart w:id="28" w:name="Xb6be7f2e377c008f777265fdccef7ef70a41418"/>
    <w:p>
      <w:pPr>
        <w:pStyle w:val="Heading2"/>
      </w:pPr>
      <w:r>
        <w:t xml:space="preserve">Scenario 3 — Restricted region request (exception path)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the requested (or only feasible) region is a</w:t>
      </w:r>
      <w:r>
        <w:t xml:space="preserve"> </w:t>
      </w:r>
      <w:r>
        <w:rPr>
          <w:bCs/>
          <w:b/>
        </w:rPr>
        <w:t xml:space="preserve">Restricted Capacity Region</w:t>
      </w:r>
      <w:r>
        <w:t xml:space="preserve">. (PRR §27</w:t>
      </w:r>
      <w:r>
        <w:t xml:space="preserve"> </w:t>
      </w:r>
      <w:r>
        <w:t xml:space="preserve">“</w:t>
      </w:r>
      <w:r>
        <w:t xml:space="preserve">Exception-Based Placement Workflow</w:t>
      </w:r>
      <w:r>
        <w:t xml:space="preserve">”</w:t>
      </w:r>
      <w:r>
        <w:t xml:space="preserve">.)</w:t>
      </w:r>
    </w:p>
    <w:p>
      <w:pPr>
        <w:pStyle w:val="BodyText"/>
      </w:pPr>
      <w:r>
        <w:rPr>
          <w:bCs/>
          <w:b/>
        </w:rPr>
        <w:t xml:space="preserve">Logic:</w:t>
      </w:r>
      <w:r>
        <w:t xml:space="preserve"> </w:t>
      </w:r>
      <w:r>
        <w:rPr>
          <w:bCs/>
          <w:b/>
        </w:rPr>
        <w:t xml:space="preserve">no scoring formula is evaluated.</w:t>
      </w:r>
      <w:r>
        <w:t xml:space="preserve"> </w:t>
      </w:r>
      <w:r>
        <w:t xml:space="preserve">The request is diverted to the manual Exception</w:t>
      </w:r>
      <w:r>
        <w:t xml:space="preserve"> </w:t>
      </w:r>
      <w:r>
        <w:t xml:space="preserve">Deployment Workflow (governance approval, validation rules VR-1..VR-11, HC-9/HC-10 governance controls).</w:t>
      </w:r>
      <w:r>
        <w:t xml:space="preserve"> </w:t>
      </w:r>
      <w:r>
        <w:t xml:space="preserve">Restricted regions never enter the scoring pipeline.</w:t>
      </w:r>
      <w:r>
        <w:t xml:space="preserve"> </w:t>
      </w: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28"/>
    <w:bookmarkStart w:id="29" w:name="Xe2b0d123ec32447fa12430c8b3e68810d8132b9"/>
    <w:p>
      <w:pPr>
        <w:pStyle w:val="Heading2"/>
      </w:pPr>
      <w:r>
        <w:t xml:space="preserve">Scenario 4 — Middle East three-region deployment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a Middle East deployment requiring three environments. (PRR §27</w:t>
      </w:r>
      <w:r>
        <w:t xml:space="preserve"> </w:t>
      </w:r>
      <w:r>
        <w:t xml:space="preserve">“</w:t>
      </w:r>
      <w:r>
        <w:t xml:space="preserve">Middle East Special</w:t>
      </w:r>
      <w:r>
        <w:t xml:space="preserve"> </w:t>
      </w:r>
      <w:r>
        <w:t xml:space="preserve">Handling</w:t>
      </w:r>
      <w:r>
        <w:t xml:space="preserve">”</w:t>
      </w:r>
      <w:r>
        <w:t xml:space="preserve">.)</w:t>
      </w:r>
    </w:p>
    <w:p>
      <w:pPr>
        <w:pStyle w:val="BodyText"/>
      </w:pPr>
      <w:r>
        <w:rPr>
          <w:bCs/>
          <w:b/>
        </w:rPr>
        <w:t xml:space="preserve">Logic:</w:t>
      </w:r>
    </w:p>
    <w:p>
      <w:pPr>
        <w:pStyle w:val="SourceCode"/>
      </w:pPr>
      <w:r>
        <w:rPr>
          <w:rStyle w:val="VerbatimChar"/>
        </w:rPr>
        <w:t xml:space="preserve">1. Candidate in-geo Standard regions = { Saudi Arabia, UAE North }   (both are Standard)</w:t>
      </w:r>
      <w:r>
        <w:br/>
      </w:r>
      <w:r>
        <w:rPr>
          <w:rStyle w:val="VerbatimChar"/>
        </w:rPr>
        <w:t xml:space="preserve">2. Score both with PS_Prod.</w:t>
      </w:r>
      <w:r>
        <w:br/>
      </w:r>
      <w:r>
        <w:rPr>
          <w:rStyle w:val="VerbatimChar"/>
        </w:rPr>
        <w:t xml:space="preserve">3. Prod  = argmax(PS_Prod) over the two.</w:t>
      </w:r>
      <w:r>
        <w:br/>
      </w:r>
      <w:r>
        <w:rPr>
          <w:rStyle w:val="VerbatimChar"/>
        </w:rPr>
        <w:t xml:space="preserve">4. CVAL  = the remaining in-geo region (deterministic — only one candidate left).</w:t>
      </w:r>
      <w:r>
        <w:br/>
      </w:r>
      <w:r>
        <w:rPr>
          <w:rStyle w:val="VerbatimChar"/>
        </w:rPr>
        <w:t xml:space="preserve">5. DR    = cross-geo extension region (e.g. Europe / Belgium Central) because no third</w:t>
      </w:r>
      <w:r>
        <w:br/>
      </w:r>
      <w:r>
        <w:rPr>
          <w:rStyle w:val="VerbatimChar"/>
        </w:rPr>
        <w:t xml:space="preserve">           in-geo Standard region exists to satisfy region separation.</w:t>
      </w:r>
    </w:p>
    <w:p>
      <w:pPr>
        <w:pStyle w:val="FirstParagraph"/>
      </w:pPr>
      <w:r>
        <w:t xml:space="preserve">Prod and CVAL use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rPr>
          <w:rStyle w:val="VerbatimChar"/>
        </w:rPr>
        <w:t xml:space="preserve">PS_Prod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PS_NonProd</w:t>
      </w:r>
      <w:r>
        <w:t xml:space="preserve"> </w:t>
      </w:r>
      <w:r>
        <w:t xml:space="preserve">math as elsewhere; only the</w:t>
      </w:r>
      <w:r>
        <w:t xml:space="preserve"> </w:t>
      </w:r>
      <w:r>
        <w:rPr>
          <w:bCs/>
          <w:b/>
        </w:rPr>
        <w:t xml:space="preserve">DR leg</w:t>
      </w:r>
      <w:r>
        <w:t xml:space="preserve"> </w:t>
      </w:r>
      <w:r>
        <w:t xml:space="preserve">is special</w:t>
      </w:r>
      <w:r>
        <w:t xml:space="preserve"> </w:t>
      </w:r>
      <w:r>
        <w:t xml:space="preserve">(cross-geo). Cross-geo extension constraints from PRR §27 apply to the DR region.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29"/>
    <w:bookmarkStart w:id="32" w:name="scenario-5-cval-nonprod-region-selection"/>
    <w:p>
      <w:pPr>
        <w:pStyle w:val="Heading2"/>
      </w:pPr>
      <w:r>
        <w:t xml:space="preserve">Scenario 5 — CVAL / NonProd region selection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sequential step after the Prod anchor is fixed. Selects</w:t>
      </w:r>
      <w:r>
        <w:t xml:space="preserve"> </w:t>
      </w:r>
      <w:r>
        <w:rPr>
          <w:rStyle w:val="VerbatimChar"/>
        </w:rPr>
        <w:t xml:space="preserve">argmax(PS_NonProd)</w:t>
      </w:r>
      <w:r>
        <w:t xml:space="preserve"> </w:t>
      </w:r>
      <w:r>
        <w:t xml:space="preserve">over eligible</w:t>
      </w:r>
      <w:r>
        <w:t xml:space="preserve"> </w:t>
      </w:r>
      <w:r>
        <w:t xml:space="preserve">Standard regions. (PRR §28.)</w:t>
      </w:r>
    </w:p>
    <w:bookmarkStart w:id="30" w:name="X9adcb44c5773d5d10ed6a0b640d7580f9f1b536"/>
    <w:p>
      <w:pPr>
        <w:pStyle w:val="Heading3"/>
      </w:pPr>
      <w:r>
        <w:rPr>
          <w:rStyle w:val="VerbatimChar"/>
        </w:rPr>
        <w:t xml:space="preserve">PS_NonProd(r)</w:t>
      </w:r>
      <w:r>
        <w:t xml:space="preserve"> </w:t>
      </w:r>
      <w:r>
        <w:t xml:space="preserve">— restructured model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 </w:t>
      </w:r>
      <w:r>
        <w:t xml:space="preserve">(design_change_summary CR/CRG-7)</w:t>
      </w:r>
    </w:p>
    <w:p>
      <w:pPr>
        <w:pStyle w:val="SourceCode"/>
      </w:pPr>
      <w:r>
        <w:rPr>
          <w:rStyle w:val="VerbatimChar"/>
        </w:rPr>
        <w:t xml:space="preserve">PS_NonProd(r) =</w:t>
      </w:r>
      <w:r>
        <w:br/>
      </w:r>
      <w:r>
        <w:rPr>
          <w:rStyle w:val="VerbatimChar"/>
        </w:rPr>
        <w:t xml:space="preserve">    0.30 × Clamp(nonprod_crg.effective_free / nonprod_crg.quantity)      ← α: effective NonProd headroom</w:t>
      </w:r>
      <w:r>
        <w:br/>
      </w:r>
      <w:r>
        <w:rPr>
          <w:rStyle w:val="VerbatimChar"/>
        </w:rPr>
        <w:t xml:space="preserve">  + 0.20 × Clamp(nonprod_crg.quota_headroom / nonprod_crg.quota_limit)   ← β: NonProd quota headroom</w:t>
      </w:r>
      <w:r>
        <w:br/>
      </w:r>
      <w:r>
        <w:rPr>
          <w:rStyle w:val="VerbatimChar"/>
        </w:rPr>
        <w:t xml:space="preserve">  + 0.25 × Clamp(1 - nonprod_customer_count / total_customers)           ← γ: distribution fairness</w:t>
      </w:r>
      <w:r>
        <w:br/>
      </w:r>
      <w:r>
        <w:rPr>
          <w:rStyle w:val="VerbatimChar"/>
        </w:rPr>
        <w:t xml:space="preserve">  + 0.15 × Clamp(nonprod_crg.effective_free / nonprod_crg.quantity)      ← δ: overflow capacity health</w:t>
      </w:r>
      <w:r>
        <w:br/>
      </w:r>
      <w:r>
        <w:rPr>
          <w:rStyle w:val="VerbatimChar"/>
        </w:rPr>
        <w:t xml:space="preserve">  + 0.10 × Clamp(az_count / 3)                                           ← ε: zone diversity</w:t>
      </w:r>
    </w:p>
    <w:bookmarkEnd w:id="30"/>
    <w:bookmarkStart w:id="31" w:name="X07efd9fb564dc694e40d213180d697d4e384195"/>
    <w:p>
      <w:pPr>
        <w:pStyle w:val="Heading3"/>
      </w:pPr>
      <w:r>
        <w:t xml:space="preserve">Corrected pilot variant</w:t>
      </w:r>
      <w:r>
        <w:t xml:space="preserve"> </w:t>
      </w:r>
      <w:r>
        <w:rPr>
          <w:rStyle w:val="VerbatimChar"/>
        </w:rPr>
        <w:t xml:space="preserve">[Undocumented — architectural judgement]</w:t>
      </w:r>
      <w:r>
        <w:t xml:space="preserve"> </w:t>
      </w:r>
      <w:r>
        <w:t xml:space="preserve">(PRR §28)</w:t>
      </w:r>
    </w:p>
    <w:p>
      <w:pPr>
        <w:pStyle w:val="FirstParagraph"/>
      </w:pPr>
      <w:r>
        <w:t xml:space="preserve">The PRR flags that the model above duplicates the same signal under α and δ (combined weight 0.45). The</w:t>
      </w:r>
      <w:r>
        <w:t xml:space="preserve"> </w:t>
      </w:r>
      <w:r>
        <w:t xml:space="preserve">PRR’s corrected pilot formula removes the duplication:</w:t>
      </w:r>
    </w:p>
    <w:p>
      <w:pPr>
        <w:pStyle w:val="SourceCode"/>
      </w:pPr>
      <w:r>
        <w:rPr>
          <w:rStyle w:val="VerbatimChar"/>
        </w:rPr>
        <w:t xml:space="preserve">PS_NonProd = 0.35 Capacity + 0.25 Quota + 0.25 Distribution</w:t>
      </w:r>
      <w:r>
        <w:br/>
      </w:r>
      <w:r>
        <w:rPr>
          <w:rStyle w:val="VerbatimChar"/>
        </w:rPr>
        <w:t xml:space="preserve">           + 0.05 DR_Overflow_Integrity + 0.10 Zones</w:t>
      </w:r>
      <w:r>
        <w:br/>
      </w:r>
      <w:r>
        <w:br/>
      </w:r>
      <w:r>
        <w:rPr>
          <w:rStyle w:val="VerbatimChar"/>
        </w:rPr>
        <w:t xml:space="preserve">Distribution = 1 - Region_Assigned_Demand / Total_Assigned_Demand   # demand units, not customer count</w:t>
      </w:r>
    </w:p>
    <w:p>
      <w:pPr>
        <w:pStyle w:val="BlockText"/>
      </w:pPr>
      <w:r>
        <w:t xml:space="preserve">Both variants are recorded. The restructured model (CR/CRG-7) is the design-of-record; the PRR</w:t>
      </w:r>
      <w:r>
        <w:t xml:space="preserve"> </w:t>
      </w:r>
      <w:r>
        <w:t xml:space="preserve">corrected variant is the reviewer-recommended pilot refinement. Neither is empirically validated yet.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scenario-6-dr-region-selection"/>
    <w:p>
      <w:pPr>
        <w:pStyle w:val="Heading2"/>
      </w:pPr>
      <w:r>
        <w:t xml:space="preserve">Scenario 6 — DR region selection</w:t>
      </w:r>
    </w:p>
    <w:p>
      <w:pPr>
        <w:pStyle w:val="FirstParagraph"/>
      </w:pPr>
      <w:r>
        <w:rPr>
          <w:bCs/>
          <w:b/>
        </w:rPr>
        <w:t xml:space="preserve">Trigger:</w:t>
      </w:r>
      <w:r>
        <w:t xml:space="preserve"> </w:t>
      </w:r>
      <w:r>
        <w:t xml:space="preserve">final sequential step. Selects</w:t>
      </w:r>
      <w:r>
        <w:t xml:space="preserve"> </w:t>
      </w:r>
      <w:r>
        <w:rPr>
          <w:rStyle w:val="VerbatimChar"/>
        </w:rPr>
        <w:t xml:space="preserve">argmax(PS_DR)</w:t>
      </w:r>
      <w:r>
        <w:t xml:space="preserve"> </w:t>
      </w:r>
      <w:r>
        <w:t xml:space="preserve">over eligible Standard regions (or the</w:t>
      </w:r>
      <w:r>
        <w:t xml:space="preserve"> </w:t>
      </w:r>
      <w:r>
        <w:t xml:space="preserve">cross-geo region for Middle East). (PRR §28.)</w:t>
      </w:r>
    </w:p>
    <w:bookmarkStart w:id="33" w:name="X177abe7778fc85230936586e7b1f3723f04047b"/>
    <w:p>
      <w:pPr>
        <w:pStyle w:val="Heading3"/>
      </w:pPr>
      <w:r>
        <w:rPr>
          <w:rStyle w:val="VerbatimChar"/>
        </w:rPr>
        <w:t xml:space="preserve">PS_DR(r)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 </w:t>
      </w:r>
      <w:r>
        <w:t xml:space="preserve">(design_change_summary CR/CRG-7)</w:t>
      </w:r>
    </w:p>
    <w:p>
      <w:pPr>
        <w:pStyle w:val="SourceCode"/>
      </w:pPr>
      <w:r>
        <w:rPr>
          <w:rStyle w:val="VerbatimChar"/>
        </w:rPr>
        <w:t xml:space="preserve">PS_DR(r) =</w:t>
      </w:r>
      <w:r>
        <w:br/>
      </w:r>
      <w:r>
        <w:rPr>
          <w:rStyle w:val="VerbatimChar"/>
        </w:rPr>
        <w:t xml:space="preserve">    0.30 × Clamp(dr_crg.free_slots / dr_crg.quantity)                   ← α: DR CRG headroom</w:t>
      </w:r>
      <w:r>
        <w:br/>
      </w:r>
      <w:r>
        <w:rPr>
          <w:rStyle w:val="VerbatimChar"/>
        </w:rPr>
        <w:t xml:space="preserve">  + 0.20 × Clamp(dr_crg.quota_headroom / dr_crg.quota_limit)           ← β: DR quota headroom</w:t>
      </w:r>
      <w:r>
        <w:br/>
      </w:r>
      <w:r>
        <w:rPr>
          <w:rStyle w:val="VerbatimChar"/>
        </w:rPr>
        <w:t xml:space="preserve">  + 0.25 × Clamp(1 - dr_customer_count / total_customers)              ← γ: distribution fairness</w:t>
      </w:r>
      <w:r>
        <w:br/>
      </w:r>
      <w:r>
        <w:rPr>
          <w:rStyle w:val="VerbatimChar"/>
        </w:rPr>
        <w:t xml:space="preserve">  + 0.15 × min(1.0, dr_crg.coverage_ratio / dr_ratio_target)          ← δ: coverage-ratio health</w:t>
      </w:r>
      <w:r>
        <w:br/>
      </w:r>
      <w:r>
        <w:rPr>
          <w:rStyle w:val="VerbatimChar"/>
        </w:rPr>
        <w:t xml:space="preserve">  + 0.10 × Clamp(az_count / 3)                                         ← ε: zone diversity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17664e92b20aeab89b0f97bcbd92c37d753b681"/>
    <w:p>
      <w:pPr>
        <w:pStyle w:val="Heading2"/>
      </w:pPr>
      <w:r>
        <w:t xml:space="preserve">Scenario 7 — Hard-constraint eligibility gate (arithmetic constraints)</w:t>
      </w:r>
    </w:p>
    <w:p>
      <w:pPr>
        <w:pStyle w:val="FirstParagraph"/>
      </w:pPr>
      <w:r>
        <w:t xml:space="preserve">Before any region is scored (Scenario 1) or accepted (Scenario 2), it must pass the hard constraints.</w:t>
      </w:r>
      <w:r>
        <w:t xml:space="preserve"> </w:t>
      </w:r>
      <w:r>
        <w:t xml:space="preserve">The calculation-bearing ones are below. (design_change_summary QG-5, CR/CRG-6, QG-6.)</w:t>
      </w:r>
    </w:p>
    <w:bookmarkStart w:id="35" w:name="hc-3-quota_floor-per-environment-decided"/>
    <w:p>
      <w:pPr>
        <w:pStyle w:val="Heading3"/>
      </w:pPr>
      <w:r>
        <w:t xml:space="preserve">HC-3 QUOTA_FLOOR (per environment)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Prod:    Prod_Group_headroom(R)  ≥ requested_vm_count × vCPU</w:t>
      </w:r>
      <w:r>
        <w:br/>
      </w:r>
      <w:r>
        <w:rPr>
          <w:rStyle w:val="VerbatimChar"/>
        </w:rPr>
        <w:t xml:space="preserve">NonProd: nonprod_headroom(R)     ≥ requested_vm_count × vCPU      # uses effective_nonprod_ceiling</w:t>
      </w:r>
      <w:r>
        <w:br/>
      </w:r>
      <w:r>
        <w:rPr>
          <w:rStyle w:val="VerbatimChar"/>
        </w:rPr>
        <w:t xml:space="preserve">DR:      dr_headroom(R)          ≥ target_dr_qty     × vCPU</w:t>
      </w:r>
    </w:p>
    <w:bookmarkEnd w:id="35"/>
    <w:bookmarkStart w:id="36" w:name="hc-6-dr_coverage_floor-decided"/>
    <w:p>
      <w:pPr>
        <w:pStyle w:val="Heading3"/>
      </w:pPr>
      <w:r>
        <w:t xml:space="preserve">HC-6 DR_COVERAGE_FLOOR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Region ineligible for DR if:</w:t>
      </w:r>
      <w:r>
        <w:br/>
      </w:r>
      <w:r>
        <w:rPr>
          <w:rStyle w:val="VerbatimChar"/>
        </w:rPr>
        <w:t xml:space="preserve">    (dr_crg.free_slots + nonprod_crg.effective_free) &lt; customer_requested_dr_slots</w:t>
      </w:r>
    </w:p>
    <w:bookmarkEnd w:id="36"/>
    <w:bookmarkStart w:id="37" w:name="hc-7-dr_floor_integrity-decided"/>
    <w:p>
      <w:pPr>
        <w:pStyle w:val="Heading3"/>
      </w:pPr>
      <w:r>
        <w:t xml:space="preserve">HC-7 DR_FLOOR_INTEGRITY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REJECT NonProd placement in region R if:</w:t>
      </w:r>
      <w:r>
        <w:br/>
      </w:r>
      <w:r>
        <w:rPr>
          <w:rStyle w:val="VerbatimChar"/>
        </w:rPr>
        <w:t xml:space="preserve">    nonprod_quota_used(R) + (requested_vm_count × vCPU) &gt; effective_nonprod_ceiling(R)</w:t>
      </w:r>
    </w:p>
    <w:p>
      <w:pPr>
        <w:pStyle w:val="FirstParagraph"/>
      </w:pPr>
      <w:r>
        <w:t xml:space="preserve">HC-3 checks raw group headroom; HC-7 additionally enforces floor compliance. Both must pass. On breach:</w:t>
      </w:r>
      <w:r>
        <w:t xml:space="preserve"> </w:t>
      </w:r>
      <w:r>
        <w:t xml:space="preserve">alert</w:t>
      </w:r>
      <w:r>
        <w:t xml:space="preserve"> </w:t>
      </w:r>
      <w:r>
        <w:rPr>
          <w:rStyle w:val="VerbatimChar"/>
        </w:rPr>
        <w:t xml:space="preserve">DRFloorViolationDetected</w:t>
      </w:r>
      <w:r>
        <w:t xml:space="preserve"> </w:t>
      </w:r>
      <w:r>
        <w:t xml:space="preserve">(Critical).</w:t>
      </w:r>
    </w:p>
    <w:bookmarkEnd w:id="37"/>
    <w:bookmarkStart w:id="38" w:name="X5fa5b7a660b88cbc72ded2cde7c05b2e9b525cf"/>
    <w:p>
      <w:pPr>
        <w:pStyle w:val="Heading3"/>
      </w:pPr>
      <w:r>
        <w:t xml:space="preserve">Minimum-headroom policy defaults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 </w:t>
      </w:r>
      <w:r>
        <w:t xml:space="preserve">(design_change_summary QG-10)</w:t>
      </w:r>
    </w:p>
    <w:p>
      <w:pPr>
        <w:pStyle w:val="SourceCode"/>
      </w:pPr>
      <w:r>
        <w:rPr>
          <w:rStyle w:val="VerbatimChar"/>
        </w:rPr>
        <w:t xml:space="preserve">min_prod_quota_headroom_vcpu    = 20</w:t>
      </w:r>
      <w:r>
        <w:br/>
      </w:r>
      <w:r>
        <w:rPr>
          <w:rStyle w:val="VerbatimChar"/>
        </w:rPr>
        <w:t xml:space="preserve">min_nonprod_quota_headroom_vcpu = 20</w:t>
      </w:r>
      <w:r>
        <w:br/>
      </w:r>
      <w:r>
        <w:rPr>
          <w:rStyle w:val="VerbatimChar"/>
        </w:rPr>
        <w:t xml:space="preserve">min_dr_headroom_vcpu            = 16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scenario-8-quota-group-sizing-per-region"/>
    <w:p>
      <w:pPr>
        <w:pStyle w:val="Heading2"/>
      </w:pPr>
      <w:r>
        <w:t xml:space="preserve">Scenario 8 — Quota group sizing (per region)</w:t>
      </w:r>
    </w:p>
    <w:p>
      <w:pPr>
        <w:pStyle w:val="FirstParagraph"/>
      </w:pPr>
      <w:r>
        <w:t xml:space="preserve">Every managed region has exactly two Azure Quota Groups. (design_change_summary QG-1, QG-3; PRR §26.)</w:t>
      </w:r>
    </w:p>
    <w:p>
      <w:pPr>
        <w:pStyle w:val="SourceCode"/>
      </w:pPr>
      <w:r>
        <w:rPr>
          <w:rStyle w:val="VerbatimChar"/>
        </w:rPr>
        <w:t xml:space="preserve">Prod_Group_Limit(region) =</w:t>
      </w:r>
      <w:r>
        <w:br/>
      </w:r>
      <w:r>
        <w:rPr>
          <w:rStyle w:val="VerbatimChar"/>
        </w:rPr>
        <w:t xml:space="preserve">    Prod_CRG_quantity × vCPU × (1 + prod_growth_buffer)</w:t>
      </w:r>
      <w:r>
        <w:br/>
      </w:r>
      <w:r>
        <w:rPr>
          <w:rStyle w:val="VerbatimChar"/>
        </w:rPr>
        <w:t xml:space="preserve">    prod_growth_buffer = 0.20</w:t>
      </w:r>
      <w:r>
        <w:br/>
      </w:r>
      <w:r>
        <w:br/>
      </w:r>
      <w:r>
        <w:rPr>
          <w:rStyle w:val="VerbatimChar"/>
        </w:rPr>
        <w:t xml:space="preserve">NonProd_DR_Group_Limit(region) =</w:t>
      </w:r>
      <w:r>
        <w:br/>
      </w:r>
      <w:r>
        <w:rPr>
          <w:rStyle w:val="VerbatimChar"/>
        </w:rPr>
        <w:t xml:space="preserve">      NonProd_CRG_quantity × vCPU × (1 + nonprod_growth_buffer)      # nonprod_growth_buffer = 0.20</w:t>
      </w:r>
      <w:r>
        <w:br/>
      </w:r>
      <w:r>
        <w:rPr>
          <w:rStyle w:val="VerbatimChar"/>
        </w:rPr>
        <w:t xml:space="preserve">    + DR_CRG_quantity      × vCPU</w:t>
      </w:r>
      <w:r>
        <w:br/>
      </w:r>
      <w:r>
        <w:rPr>
          <w:rStyle w:val="VerbatimChar"/>
        </w:rPr>
        <w:t xml:space="preserve">    + emergency_transfer_headroom_vcpu</w:t>
      </w:r>
      <w:r>
        <w:br/>
      </w:r>
      <w:r>
        <w:br/>
      </w:r>
      <w:r>
        <w:rPr>
          <w:rStyle w:val="VerbatimChar"/>
        </w:rPr>
        <w:t xml:space="preserve">emergency_transfer_headroom_vcpu = max_emergency_transfer_qty × vCPU</w:t>
      </w:r>
      <w:r>
        <w:br/>
      </w:r>
      <w:r>
        <w:rPr>
          <w:rStyle w:val="VerbatimChar"/>
        </w:rPr>
        <w:t xml:space="preserve">max_emergency_transfer_qty       = potential_dr_demand × emergency_transfer_pct   # emergency_transfer_pct = 0.30</w:t>
      </w:r>
    </w:p>
    <w:p>
      <w:pPr>
        <w:pStyle w:val="FirstParagraph"/>
      </w:pPr>
      <w:r>
        <w:rPr>
          <w:rStyle w:val="VerbatimChar"/>
        </w:rPr>
        <w:t xml:space="preserve">[Decided]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emergency_transfer_headroom_vcpu</w:t>
      </w:r>
      <w:r>
        <w:t xml:space="preserve"> </w:t>
      </w:r>
      <w:r>
        <w:t xml:space="preserve">term is what makes Tier 3 DR expansion quota-neutral</w:t>
      </w:r>
      <w:r>
        <w:t xml:space="preserve"> </w:t>
      </w:r>
      <w:r>
        <w:t xml:space="preserve">(Scenario 13).</w:t>
      </w:r>
    </w:p>
    <w:p>
      <w:r>
        <w:pict>
          <v:rect style="width:0;height:1.5pt" o:hralign="center" o:hrstd="t" o:hr="t"/>
        </w:pict>
      </w:r>
    </w:p>
    <w:bookmarkEnd w:id="40"/>
    <w:bookmarkStart w:id="42" w:name="Xfc4555643373b9f00b0863c82e20430fcaf257b"/>
    <w:p>
      <w:pPr>
        <w:pStyle w:val="Heading2"/>
      </w:pPr>
      <w:r>
        <w:t xml:space="preserve">Scenario 9 — DR floor accounting (engine-enforced sub-limit)</w:t>
      </w:r>
    </w:p>
    <w:p>
      <w:pPr>
        <w:pStyle w:val="FirstParagraph"/>
      </w:pPr>
      <w:r>
        <w:t xml:space="preserve">Azure Quota Groups have</w:t>
      </w:r>
      <w:r>
        <w:t xml:space="preserve"> </w:t>
      </w:r>
      <w:r>
        <w:rPr>
          <w:bCs/>
          <w:b/>
        </w:rPr>
        <w:t xml:space="preserve">no native intra-group sub-reservation</w:t>
      </w:r>
      <w:r>
        <w:t xml:space="preserve">, so the engine enforces the DR floor by</w:t>
      </w:r>
      <w:r>
        <w:t xml:space="preserve"> </w:t>
      </w:r>
      <w:r>
        <w:t xml:space="preserve">arithmetic. (PRR §26 Formulas; design_change_summary CR/CRG-2, QG-4.)</w:t>
      </w:r>
    </w:p>
    <w:p>
      <w:pPr>
        <w:pStyle w:val="SourceCode"/>
      </w:pPr>
      <w:r>
        <w:rPr>
          <w:rStyle w:val="VerbatimChar"/>
        </w:rPr>
        <w:t xml:space="preserve">DR_Floor_vCPU(region)        = potential_dr_demand × vCPU × dr_ratio_max        # dr_ratio_max = 0.40</w:t>
      </w:r>
      <w:r>
        <w:br/>
      </w:r>
      <w:r>
        <w:rPr>
          <w:rStyle w:val="VerbatimChar"/>
        </w:rPr>
        <w:t xml:space="preserve">Effective_NonProd_Ceiling    = NonProd_DR_Group_Limit - DR_Floor_vCPU</w:t>
      </w:r>
      <w:r>
        <w:br/>
      </w:r>
      <w:r>
        <w:rPr>
          <w:rStyle w:val="VerbatimChar"/>
        </w:rPr>
        <w:t xml:space="preserve">NonProd_Headroom             = Effective_NonProd_Ceiling - NonProd_Used_vCPU</w:t>
      </w:r>
      <w:r>
        <w:br/>
      </w:r>
      <w:r>
        <w:rPr>
          <w:rStyle w:val="VerbatimChar"/>
        </w:rPr>
        <w:t xml:space="preserve">Group_Headroom               = Group_Limit - Group_Used</w:t>
      </w:r>
      <w:r>
        <w:br/>
      </w:r>
      <w:r>
        <w:rPr>
          <w:rStyle w:val="VerbatimChar"/>
        </w:rPr>
        <w:t xml:space="preserve">dr_crg.coverage_ratio        = dr_crg.quantity / potential_dr_demand</w:t>
      </w:r>
    </w:p>
    <w:p>
      <w:pPr>
        <w:pStyle w:val="FirstParagraph"/>
      </w:pPr>
      <w:r>
        <w:rPr>
          <w:bCs/>
          <w:b/>
        </w:rPr>
        <w:t xml:space="preserve">Dual-validation control:</w:t>
      </w:r>
      <w:r>
        <w:t xml:space="preserve"> </w:t>
      </w:r>
      <w:r>
        <w:t xml:space="preserve">a separate detector recomputes the DR floor from authoritative assignment</w:t>
      </w:r>
      <w:r>
        <w:t xml:space="preserve"> </w:t>
      </w:r>
      <w:r>
        <w:t xml:space="preserve">data; any disagreement between command-time and detector values disables automatic NonProd expansion.</w:t>
      </w:r>
      <w:r>
        <w:t xml:space="preserve"> </w:t>
      </w:r>
      <w:r>
        <w:rPr>
          <w:rStyle w:val="VerbatimChar"/>
        </w:rPr>
        <w:t xml:space="preserve">[Undocumented — architectural judgement]</w:t>
      </w:r>
    </w:p>
    <w:bookmarkStart w:id="41" w:name="worked-topology-poc-gp-06-decided"/>
    <w:p>
      <w:pPr>
        <w:pStyle w:val="Heading3"/>
      </w:pPr>
      <w:r>
        <w:t xml:space="preserve">Worked topology (POC GP-06)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SourceCode"/>
      </w:pPr>
      <w:r>
        <w:rPr>
          <w:rStyle w:val="VerbatimChar"/>
        </w:rPr>
        <w:t xml:space="preserve">Prod group          = 128 vCPU  (32 × D4s_v3)</w:t>
      </w:r>
      <w:r>
        <w:br/>
      </w:r>
      <w:r>
        <w:rPr>
          <w:rStyle w:val="VerbatimChar"/>
        </w:rPr>
        <w:t xml:space="preserve">NonProdDR group     =  80 vCPU</w:t>
      </w:r>
      <w:r>
        <w:br/>
      </w:r>
      <w:r>
        <w:rPr>
          <w:rStyle w:val="VerbatimChar"/>
        </w:rPr>
        <w:t xml:space="preserve">DR floor            =  32 vCPU   (= 40% of 20 potential DR VMs × vCPU)</w:t>
      </w:r>
      <w:r>
        <w:br/>
      </w:r>
      <w:r>
        <w:rPr>
          <w:rStyle w:val="VerbatimChar"/>
        </w:rPr>
        <w:t xml:space="preserve">Effective NonProd ceiling = 48 vCPU  (80 - 32)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ca742342fb9d7ba19481af912bb7724261a3e15"/>
    <w:p>
      <w:pPr>
        <w:pStyle w:val="Heading2"/>
      </w:pPr>
      <w:r>
        <w:t xml:space="preserve">Scenario 10 — Environment quota scoring (</w:t>
      </w:r>
      <w:r>
        <w:rPr>
          <w:rStyle w:val="VerbatimChar"/>
        </w:rPr>
        <w:t xml:space="preserve">β</w:t>
      </w:r>
      <w:r>
        <w:t xml:space="preserve"> </w:t>
      </w:r>
      <w:r>
        <w:t xml:space="preserve">component detail)</w:t>
      </w:r>
    </w:p>
    <w:p>
      <w:pPr>
        <w:pStyle w:val="FirstParagraph"/>
      </w:pPr>
      <w:r>
        <w:t xml:space="preserve">The generic</w:t>
      </w:r>
      <w:r>
        <w:t xml:space="preserve"> </w:t>
      </w:r>
      <w:r>
        <w:rPr>
          <w:rStyle w:val="VerbatimChar"/>
        </w:rPr>
        <w:t xml:space="preserve">Quota_Score</w:t>
      </w:r>
      <w:r>
        <w:t xml:space="preserve"> </w:t>
      </w:r>
      <w:r>
        <w:t xml:space="preserve">is dispatched by environment type. (design_change_summary QG-7.)</w:t>
      </w:r>
    </w:p>
    <w:p>
      <w:pPr>
        <w:pStyle w:val="SourceCode"/>
      </w:pPr>
      <w:r>
        <w:rPr>
          <w:rStyle w:val="VerbatimChar"/>
        </w:rPr>
        <w:t xml:space="preserve">Quota_Score_Prod(r)    = prod_group_headroom_vcpu   / prod_group_limit_vcpu</w:t>
      </w:r>
      <w:r>
        <w:br/>
      </w:r>
      <w:r>
        <w:rPr>
          <w:rStyle w:val="VerbatimChar"/>
        </w:rPr>
        <w:t xml:space="preserve">Quota_Score_NonProd(r) = nonprod_headroom_vcpu       / effective_nonprod_ceiling_vcpu</w:t>
      </w:r>
      <w:r>
        <w:br/>
      </w:r>
      <w:r>
        <w:rPr>
          <w:rStyle w:val="VerbatimChar"/>
        </w:rPr>
        <w:t xml:space="preserve">Quota_Score_DR(r)      = dr_headroom_vcpu            / dr_floor_vcpu</w:t>
      </w:r>
    </w:p>
    <w:p>
      <w:pPr>
        <w:pStyle w:val="FirstParagraph"/>
      </w:pPr>
      <w:r>
        <w:t xml:space="preserve">Semantics differ by type: a DR score of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means</w:t>
      </w:r>
      <w:r>
        <w:t xml:space="preserve"> </w:t>
      </w:r>
      <w:r>
        <w:rPr>
          <w:bCs/>
          <w:b/>
        </w:rPr>
        <w:t xml:space="preserve">maximum expansion room</w:t>
      </w:r>
      <w:r>
        <w:t xml:space="preserve"> </w:t>
      </w:r>
      <w:r>
        <w:t xml:space="preserve">(DR CRG at zero), not</w:t>
      </w:r>
      <w:r>
        <w:t xml:space="preserve"> </w:t>
      </w:r>
      <w:r>
        <w:t xml:space="preserve">maximum quota consumed. Zero-denominator guards apply.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43"/>
    <w:bookmarkStart w:id="44" w:name="scenario-11-capacity-forecast-cr-sizing"/>
    <w:p>
      <w:pPr>
        <w:pStyle w:val="Heading2"/>
      </w:pPr>
      <w:r>
        <w:t xml:space="preserve">Scenario 11 — Capacity forecast / CR sizing</w:t>
      </w:r>
    </w:p>
    <w:p>
      <w:pPr>
        <w:pStyle w:val="FirstParagraph"/>
      </w:pPr>
      <w:r>
        <w:t xml:space="preserve">Advisory forecast used to size CR quantity over a horizon. (PRR §28 Forecast formula.)</w:t>
      </w:r>
    </w:p>
    <w:p>
      <w:pPr>
        <w:pStyle w:val="SourceCode"/>
      </w:pPr>
      <w:r>
        <w:rPr>
          <w:rStyle w:val="VerbatimChar"/>
        </w:rPr>
        <w:t xml:space="preserve">Forecast_Quantity = ceil( Forecast_Peak × (1 + Growth_Buffer) + DR_Buffer )</w:t>
      </w:r>
      <w:r>
        <w:br/>
      </w:r>
      <w:r>
        <w:br/>
      </w:r>
      <w:r>
        <w:rPr>
          <w:rStyle w:val="VerbatimChar"/>
        </w:rPr>
        <w:t xml:space="preserve">Forecast_Peak   = predicted peak associated-VM demand in the horizon   [Derived]</w:t>
      </w:r>
      <w:r>
        <w:br/>
      </w:r>
      <w:r>
        <w:rPr>
          <w:rStyle w:val="VerbatimChar"/>
        </w:rPr>
        <w:t xml:space="preserve">Growth_Buffer   = policy % for forecast uncertainty                    [Assumed]</w:t>
      </w:r>
      <w:r>
        <w:br/>
      </w:r>
      <w:r>
        <w:rPr>
          <w:rStyle w:val="VerbatimChar"/>
        </w:rPr>
        <w:t xml:space="preserve">DR_Buffer       = extra units required by approved recovery policy      [Assumed]</w:t>
      </w:r>
      <w:r>
        <w:br/>
      </w:r>
      <w:r>
        <w:rPr>
          <w:rStyle w:val="VerbatimChar"/>
        </w:rPr>
        <w:t xml:space="preserve">Forecast_Horizon∈ { 30, 60, 90 } days                                  [Assumed]</w:t>
      </w:r>
    </w:p>
    <w:p>
      <w:pPr>
        <w:pStyle w:val="FirstParagraph"/>
      </w:pPr>
      <w:r>
        <w:t xml:space="preserve">Forecast recommendations remain advisory until model accuracy and false-positive rates are measured.</w:t>
      </w:r>
    </w:p>
    <w:p>
      <w:r>
        <w:pict>
          <v:rect style="width:0;height:1.5pt" o:hralign="center" o:hrstd="t" o:hr="t"/>
        </w:pict>
      </w:r>
    </w:p>
    <w:bookmarkEnd w:id="44"/>
    <w:bookmarkStart w:id="45" w:name="Xbee338c6e77a082e45128efcc8dd6933443aada"/>
    <w:p>
      <w:pPr>
        <w:pStyle w:val="Heading2"/>
      </w:pPr>
      <w:r>
        <w:t xml:space="preserve">Scenario 12 — Auto-increase trigger (steady-state capacity lifecycle)</w:t>
      </w:r>
    </w:p>
    <w:p>
      <w:pPr>
        <w:pStyle w:val="FirstParagraph"/>
      </w:pPr>
      <w:r>
        <w:t xml:space="preserve">When utilisation crosses a threshold, an increase request is raised. (design_change_summary G-9;</w:t>
      </w:r>
      <w:r>
        <w:t xml:space="preserve"> </w:t>
      </w:r>
      <w:r>
        <w:t xml:space="preserve">PRR §30.)</w:t>
      </w:r>
    </w:p>
    <w:p>
      <w:pPr>
        <w:pStyle w:val="SourceCode"/>
      </w:pPr>
      <w:r>
        <w:rPr>
          <w:rStyle w:val="VerbatimChar"/>
        </w:rPr>
        <w:t xml:space="preserve">Trigger auto-increase when utilisation ≥ threshold:</w:t>
      </w:r>
      <w:r>
        <w:br/>
      </w:r>
      <w:r>
        <w:rPr>
          <w:rStyle w:val="VerbatimChar"/>
        </w:rPr>
        <w:t xml:space="preserve">    dr_autoincrease_threshold           = 0.35</w:t>
      </w:r>
      <w:r>
        <w:br/>
      </w:r>
      <w:r>
        <w:rPr>
          <w:rStyle w:val="VerbatimChar"/>
        </w:rPr>
        <w:t xml:space="preserve">    prod_autoincrease_threshold         = 0.20</w:t>
      </w:r>
      <w:r>
        <w:br/>
      </w:r>
      <w:r>
        <w:rPr>
          <w:rStyle w:val="VerbatimChar"/>
        </w:rPr>
        <w:t xml:space="preserve">    nonprod_autoincrease_threshold      = 0.20</w:t>
      </w:r>
      <w:r>
        <w:br/>
      </w:r>
      <w:r>
        <w:br/>
      </w:r>
      <w:r>
        <w:rPr>
          <w:rStyle w:val="VerbatimChar"/>
        </w:rPr>
        <w:t xml:space="preserve">Debounce cooldown = 30 min per (region + CRG type) after a trigger</w:t>
      </w:r>
    </w:p>
    <w:p>
      <w:pPr>
        <w:pStyle w:val="FirstParagraph"/>
      </w:pPr>
      <w:r>
        <w:t xml:space="preserve">Phase 1 requires operator approval; target quantity is computed via the Steady-State Capacity Lifecycle</w:t>
      </w:r>
      <w:r>
        <w:t xml:space="preserve"> </w:t>
      </w:r>
      <w:r>
        <w:t xml:space="preserve">(re-read state →</w:t>
      </w:r>
      <w:r>
        <w:t xml:space="preserve"> </w:t>
      </w:r>
      <w:r>
        <w:rPr>
          <w:rStyle w:val="VerbatimChar"/>
        </w:rPr>
        <w:t xml:space="preserve">CapacityIncreaseRequest</w:t>
      </w:r>
      <w:r>
        <w:t xml:space="preserve"> </w:t>
      </w:r>
      <w:r>
        <w:t xml:space="preserve">→ calculate target → approve → submit quota → confirm). Auto-</w:t>
      </w:r>
      <w:r>
        <w:t xml:space="preserve"> </w:t>
      </w:r>
      <w:r>
        <w:t xml:space="preserve">decrease is excluded from Phase 1.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[Undocumented — architectural judgement]</w:t>
      </w:r>
    </w:p>
    <w:p>
      <w:r>
        <w:pict>
          <v:rect style="width:0;height:1.5pt" o:hralign="center" o:hrstd="t" o:hr="t"/>
        </w:pict>
      </w:r>
    </w:p>
    <w:bookmarkEnd w:id="45"/>
    <w:bookmarkStart w:id="47" w:name="X39d36b000215781ebb6b0df35c4dac6d58fbcc0"/>
    <w:p>
      <w:pPr>
        <w:pStyle w:val="Heading2"/>
      </w:pPr>
      <w:r>
        <w:t xml:space="preserve">Scenario 13 — Emergency transfer &amp; tier escalation (DR event active)</w:t>
      </w:r>
    </w:p>
    <w:p>
      <w:pPr>
        <w:pStyle w:val="FirstParagraph"/>
      </w:pPr>
      <w:r>
        <w:t xml:space="preserve">During an active DR event, emergency capacity is obtained by tier. (PRR §32; design_change_summary</w:t>
      </w:r>
      <w:r>
        <w:t xml:space="preserve"> </w:t>
      </w:r>
      <w:r>
        <w:t xml:space="preserve">G-10..G-13, QG-9.)</w:t>
      </w:r>
    </w:p>
    <w:p>
      <w:pPr>
        <w:pStyle w:val="SourceCode"/>
      </w:pPr>
      <w:r>
        <w:rPr>
          <w:rStyle w:val="VerbatimChar"/>
        </w:rPr>
        <w:t xml:space="preserve">Tier 1  DirectExpansion      — additive DR expansion using existing headroom. Automated.</w:t>
      </w:r>
      <w:r>
        <w:br/>
      </w:r>
      <w:r>
        <w:rPr>
          <w:rStyle w:val="VerbatimChar"/>
        </w:rPr>
        <w:t xml:space="preserve">Tier 2  QuotaNeutralTransfer — reduce NonProd reservation, expand DR within the SAME quota group.</w:t>
      </w:r>
      <w:r>
        <w:br/>
      </w:r>
      <w:r>
        <w:rPr>
          <w:rStyle w:val="VerbatimChar"/>
        </w:rPr>
        <w:t xml:space="preserve">                               Policy-gated. Quota-neutral (see below).</w:t>
      </w:r>
      <w:r>
        <w:br/>
      </w:r>
      <w:r>
        <w:rPr>
          <w:rStyle w:val="VerbatimChar"/>
        </w:rPr>
        <w:t xml:space="preserve">Tier 3  DestructiveTransfer  — changes VM associations. Operator dual-approval + elevated RBAC.</w:t>
      </w:r>
      <w:r>
        <w:br/>
      </w:r>
      <w:r>
        <w:rPr>
          <w:rStyle w:val="VerbatimChar"/>
        </w:rPr>
        <w:t xml:space="preserve">                               NOT automated in Phase 1.</w:t>
      </w:r>
    </w:p>
    <w:bookmarkStart w:id="46" w:name="X0619e122a40a81d5940d4afb7bbf7d19eb17b99"/>
    <w:p>
      <w:pPr>
        <w:pStyle w:val="Heading3"/>
      </w:pPr>
      <w:r>
        <w:t xml:space="preserve">Quota-neutral math for Tier 2/3</w:t>
      </w:r>
      <w:r>
        <w:t xml:space="preserve"> </w:t>
      </w:r>
      <w:r>
        <w:rPr>
          <w:rStyle w:val="VerbatimChar"/>
        </w:rPr>
        <w:t xml:space="preserve">[Derived — POC-31/32]</w:t>
      </w:r>
    </w:p>
    <w:p>
      <w:pPr>
        <w:pStyle w:val="SourceCode"/>
      </w:pPr>
      <w:r>
        <w:rPr>
          <w:rStyle w:val="VerbatimChar"/>
        </w:rPr>
        <w:t xml:space="preserve">Because NonProd CR and DR CR draw from the SAME NonProd+DR quota group:</w:t>
      </w:r>
      <w:r>
        <w:br/>
      </w:r>
      <w:r>
        <w:rPr>
          <w:rStyle w:val="VerbatimChar"/>
        </w:rPr>
        <w:t xml:space="preserve">    NonProd CR reduction  → releases q × vCPU back to the GROUP pool</w:t>
      </w:r>
      <w:r>
        <w:br/>
      </w:r>
      <w:r>
        <w:rPr>
          <w:rStyle w:val="VerbatimChar"/>
        </w:rPr>
        <w:t xml:space="preserve">    DR CR expansion       → consumes q × vCPU from the SAME GROUP pool</w:t>
      </w:r>
      <w:r>
        <w:br/>
      </w:r>
      <w:r>
        <w:rPr>
          <w:rStyle w:val="VerbatimChar"/>
        </w:rPr>
        <w:t xml:space="preserve">    Net group headroom change ≈ 0   → no Azure quota-increase request needed</w:t>
      </w:r>
      <w:r>
        <w:br/>
      </w:r>
      <w:r>
        <w:rPr>
          <w:rStyle w:val="VerbatimChar"/>
        </w:rPr>
        <w:t xml:space="preserve">    Tier RTO gated only by ARM operation time (minutes), not quota approval (hours)</w:t>
      </w:r>
      <w:r>
        <w:br/>
      </w:r>
      <w:r>
        <w:br/>
      </w:r>
      <w:r>
        <w:rPr>
          <w:rStyle w:val="VerbatimChar"/>
        </w:rPr>
        <w:t xml:space="preserve">max_emergency_transfer_qty = potential_dr_demand × emergency_transfer_pct   # 0.30</w:t>
      </w:r>
    </w:p>
    <w:p>
      <w:pPr>
        <w:pStyle w:val="FirstParagraph"/>
      </w:pPr>
      <w:r>
        <w:t xml:space="preserve">Escalation order:</w:t>
      </w:r>
      <w:r>
        <w:t xml:space="preserve"> </w:t>
      </w:r>
      <w:r>
        <w:rPr>
          <w:rStyle w:val="VerbatimChar"/>
        </w:rPr>
        <w:t xml:space="preserve">Tier 1 headroom? → else Tier 2 approved? → else Tier 3 allowed? → else 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scenario-14-scaling-api-budget-model"/>
    <w:p>
      <w:pPr>
        <w:pStyle w:val="Heading2"/>
      </w:pPr>
      <w:r>
        <w:t xml:space="preserve">Scenario 14 — Scaling &amp; API-budget model</w:t>
      </w:r>
    </w:p>
    <w:p>
      <w:pPr>
        <w:pStyle w:val="FirstParagraph"/>
      </w:pPr>
      <w:r>
        <w:t xml:space="preserve">Used to size the estate and stay within Azure Resource Manager throttling budgets. (PRR §10.)</w:t>
      </w:r>
    </w:p>
    <w:p>
      <w:pPr>
        <w:pStyle w:val="SourceCode"/>
      </w:pPr>
      <w:r>
        <w:rPr>
          <w:rStyle w:val="VerbatimChar"/>
        </w:rPr>
        <w:t xml:space="preserve">CRG_lower_bound = 3 × R                                              # 3 CRGs (Prod/NonProd/DR) per region</w:t>
      </w:r>
      <w:r>
        <w:br/>
      </w:r>
      <w:r>
        <w:rPr>
          <w:rStyle w:val="VerbatimChar"/>
        </w:rPr>
        <w:t xml:space="preserve">CRG_total       = R × Eclass × Z × SKUset × IsolationFactor         # Eclass = 3 environment classes</w:t>
      </w:r>
      <w:r>
        <w:br/>
      </w:r>
      <w:r>
        <w:br/>
      </w:r>
      <w:r>
        <w:rPr>
          <w:rStyle w:val="VerbatimChar"/>
        </w:rPr>
        <w:t xml:space="preserve">Requests_per_cycle       = CRG_reads + CR_reads + sharing_reads + quota_reads + association_reads</w:t>
      </w:r>
      <w:r>
        <w:br/>
      </w:r>
      <w:r>
        <w:rPr>
          <w:rStyle w:val="VerbatimChar"/>
        </w:rPr>
        <w:t xml:space="preserve">Average_requests_per_second = Requests_per_cycle / 300               # 5-minute (300 s) cycle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= managed regions;</w:t>
      </w:r>
      <w:r>
        <w:t xml:space="preserve"> </w:t>
      </w:r>
      <w:r>
        <w:rPr>
          <w:rStyle w:val="VerbatimChar"/>
        </w:rPr>
        <w:t xml:space="preserve">Z</w:t>
      </w:r>
      <w:r>
        <w:t xml:space="preserve">,</w:t>
      </w:r>
      <w:r>
        <w:t xml:space="preserve"> </w:t>
      </w:r>
      <w:r>
        <w:rPr>
          <w:rStyle w:val="VerbatimChar"/>
        </w:rPr>
        <w:t xml:space="preserve">SKUset</w:t>
      </w:r>
      <w:r>
        <w:t xml:space="preserve">,</w:t>
      </w:r>
      <w:r>
        <w:t xml:space="preserve"> </w:t>
      </w:r>
      <w:r>
        <w:rPr>
          <w:rStyle w:val="VerbatimChar"/>
        </w:rPr>
        <w:t xml:space="preserve">IsolationFactor</w:t>
      </w:r>
      <w:r>
        <w:t xml:space="preserve"> </w:t>
      </w:r>
      <w:r>
        <w:t xml:space="preserve">are measured estate multipliers. These are</w:t>
      </w:r>
      <w:r>
        <w:t xml:space="preserve"> </w:t>
      </w:r>
      <w:r>
        <w:t xml:space="preserve">illustrative sizing calculations,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platform commitments.</w:t>
      </w:r>
      <w:r>
        <w:t xml:space="preserve"> </w:t>
      </w:r>
      <w:r>
        <w:rPr>
          <w:rStyle w:val="VerbatimChar"/>
        </w:rPr>
        <w:t xml:space="preserve">[Derived]</w:t>
      </w:r>
    </w:p>
    <w:bookmarkStart w:id="48" w:name="X7d294b2d0f69d34750fa4537eb811a913bd33af"/>
    <w:p>
      <w:pPr>
        <w:pStyle w:val="Heading3"/>
      </w:pPr>
      <w:r>
        <w:t xml:space="preserve">Documented ARM throttle baselines</w:t>
      </w:r>
      <w:r>
        <w:t xml:space="preserve"> </w:t>
      </w:r>
      <w:r>
        <w:rPr>
          <w:rStyle w:val="VerbatimChar"/>
        </w:rPr>
        <w:t xml:space="preserve">[Documented]</w:t>
      </w:r>
      <w:r>
        <w:t xml:space="preserve"> </w:t>
      </w:r>
      <w:r>
        <w:t xml:space="preserve">(PRR §7, FC-16)</w:t>
      </w:r>
    </w:p>
    <w:p>
      <w:pPr>
        <w:pStyle w:val="SourceCode"/>
      </w:pPr>
      <w:r>
        <w:rPr>
          <w:rStyle w:val="VerbatimChar"/>
        </w:rPr>
        <w:t xml:space="preserve">Compute RP read  limit = 250   requests / 5 min / subscription</w:t>
      </w:r>
      <w:r>
        <w:br/>
      </w:r>
      <w:r>
        <w:rPr>
          <w:rStyle w:val="VerbatimChar"/>
        </w:rPr>
        <w:t xml:space="preserve">Compute RP write limit = 1,200 requests / hour  / subscription</w:t>
      </w:r>
    </w:p>
    <w:p>
      <w:pPr>
        <w:pStyle w:val="FirstParagraph"/>
      </w:pPr>
      <w:r>
        <w:t xml:space="preserve">The adaptive throttle manager is</w:t>
      </w:r>
      <w:r>
        <w:t xml:space="preserve"> </w:t>
      </w:r>
      <w:r>
        <w:rPr>
          <w:bCs/>
          <w:b/>
        </w:rPr>
        <w:t xml:space="preserve">initialised</w:t>
      </w:r>
      <w:r>
        <w:t xml:space="preserve"> </w:t>
      </w:r>
      <w:r>
        <w:t xml:space="preserve">with these baselines (not hardcoded constants) and adapts</w:t>
      </w:r>
      <w:r>
        <w:t xml:space="preserve"> </w:t>
      </w:r>
      <w:r>
        <w:t xml:space="preserve">to observed 429/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responses.</w:t>
      </w:r>
    </w:p>
    <w:bookmarkEnd w:id="48"/>
    <w:bookmarkStart w:id="49" w:name="reconciliation-cadence-assumed-derived"/>
    <w:p>
      <w:pPr>
        <w:pStyle w:val="Heading3"/>
      </w:pPr>
      <w:r>
        <w:t xml:space="preserve">Reconciliation cadence</w:t>
      </w:r>
      <w:r>
        <w:t xml:space="preserve"> </w:t>
      </w:r>
      <w:r>
        <w:rPr>
          <w:rStyle w:val="VerbatimChar"/>
        </w:rPr>
        <w:t xml:space="preserve">[Assumed]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pStyle w:val="SourceCode"/>
      </w:pPr>
      <w:r>
        <w:rPr>
          <w:rStyle w:val="VerbatimChar"/>
        </w:rPr>
        <w:t xml:space="preserve">Reconciliation loop target       = 5 min for ≤ 500 managed CRGs</w:t>
      </w:r>
      <w:r>
        <w:br/>
      </w:r>
      <w:r>
        <w:rPr>
          <w:rStyle w:val="VerbatimChar"/>
        </w:rPr>
        <w:t xml:space="preserve">Critical targeted reconcile P95  &lt; 2 min</w:t>
      </w:r>
      <w:r>
        <w:br/>
      </w:r>
      <w:r>
        <w:rPr>
          <w:rStyle w:val="VerbatimChar"/>
        </w:rPr>
        <w:t xml:space="preserve">Stable-resource state age  P95   &lt; 15 min</w:t>
      </w:r>
      <w:r>
        <w:br/>
      </w:r>
      <w:r>
        <w:rPr>
          <w:rStyle w:val="VerbatimChar"/>
        </w:rPr>
        <w:t xml:space="preserve">Drift detection                  ≤ 2 reconciliation cycles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158adabc6ef130823fb02e1a02f58c72e400b23"/>
    <w:p>
      <w:pPr>
        <w:pStyle w:val="Heading2"/>
      </w:pPr>
      <w:r>
        <w:t xml:space="preserve">Scenario 15 — DR ratio parameters (governs Scenarios 6, 9, 13)</w:t>
      </w:r>
    </w:p>
    <w:p>
      <w:pPr>
        <w:pStyle w:val="SourceCode"/>
      </w:pPr>
      <w:r>
        <w:rPr>
          <w:rStyle w:val="VerbatimChar"/>
        </w:rPr>
        <w:t xml:space="preserve">dr_ratio_min    = 0.30      # HC-6 lower bound</w:t>
      </w:r>
      <w:r>
        <w:br/>
      </w:r>
      <w:r>
        <w:rPr>
          <w:rStyle w:val="VerbatimChar"/>
        </w:rPr>
        <w:t xml:space="preserve">dr_ratio_max    = 0.40      # used in DR_Floor_vCPU — engine always sizes to the ceiling</w:t>
      </w:r>
      <w:r>
        <w:br/>
      </w:r>
      <w:r>
        <w:rPr>
          <w:rStyle w:val="VerbatimChar"/>
        </w:rPr>
        <w:t xml:space="preserve">dr_ratio_target = [0.30, 0.40]</w:t>
      </w:r>
      <w:r>
        <w:br/>
      </w:r>
      <w:r>
        <w:rPr>
          <w:rStyle w:val="VerbatimChar"/>
        </w:rPr>
        <w:t xml:space="preserve">emergency_transfer_pct = 0.30</w:t>
      </w:r>
      <w:r>
        <w:br/>
      </w:r>
      <w:r>
        <w:rPr>
          <w:rStyle w:val="VerbatimChar"/>
        </w:rPr>
        <w:t xml:space="preserve">prod_growth_buffer     = 0.20</w:t>
      </w:r>
      <w:r>
        <w:br/>
      </w:r>
      <w:r>
        <w:rPr>
          <w:rStyle w:val="VerbatimChar"/>
        </w:rPr>
        <w:t xml:space="preserve">nonprod_growth_buffer  = 0.20</w:t>
      </w:r>
    </w:p>
    <w:p>
      <w:pPr>
        <w:pStyle w:val="FirstParagraph"/>
      </w:pPr>
      <w:r>
        <w:rPr>
          <w:bCs/>
          <w:b/>
        </w:rPr>
        <w:t xml:space="preserve">Decision D7:</w:t>
      </w:r>
      <w:r>
        <w:t xml:space="preserve"> </w:t>
      </w:r>
      <w:r>
        <w:t xml:space="preserve">the DR floor always uses</w:t>
      </w:r>
      <w:r>
        <w:t xml:space="preserve"> </w:t>
      </w:r>
      <w:r>
        <w:rPr>
          <w:rStyle w:val="VerbatimChar"/>
        </w:rPr>
        <w:t xml:space="preserve">dr_ratio_max</w:t>
      </w:r>
      <w:r>
        <w:t xml:space="preserve"> </w:t>
      </w:r>
      <w:r>
        <w:t xml:space="preserve">(not the current operating ratio) to prevent</w:t>
      </w:r>
      <w:r>
        <w:t xml:space="preserve"> </w:t>
      </w:r>
      <w:r>
        <w:t xml:space="preserve">undersizing if the ratio is later raised.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51"/>
    <w:bookmarkStart w:id="52" w:name="consolidated-policy-constant-table"/>
    <w:p>
      <w:pPr>
        <w:pStyle w:val="Heading2"/>
      </w:pPr>
      <w:r>
        <w:t xml:space="preserve">Consolidated policy-constant 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 scenario(s)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alpha / beta / gamma / delta / epsilon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/ 0.20 / 0.25 / 0.15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1, 5, 6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dr_ratio_target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[0.30, 0.40]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prod_growth_buffer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nonprod_growth_buffer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emergency_transfer_pct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min_prod_quota_headroom_vcpu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min_nonprod_quota_headroom_vcpu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min_dr_headroom_vcpu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prod/nonprod_autoincrease_threshold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debounce cooldown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 loop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min (≤500 CRGs)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 read / write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per 5 min / 1,200 per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Forecast_Horizon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60 /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evidence-maturity-note"/>
    <w:p>
      <w:pPr>
        <w:pStyle w:val="Heading2"/>
      </w:pPr>
      <w:r>
        <w:t xml:space="preserve">Evidence &amp; maturity note</w:t>
      </w:r>
    </w:p>
    <w:p>
      <w:pPr>
        <w:pStyle w:val="FirstParagraph"/>
      </w:pPr>
      <w:r>
        <w:t xml:space="preserve">Several placement formulas (</w:t>
      </w:r>
      <w:r>
        <w:rPr>
          <w:rStyle w:val="VerbatimChar"/>
        </w:rPr>
        <w:t xml:space="preserve">PS_Prod</w:t>
      </w:r>
      <w:r>
        <w:t xml:space="preserve">, restructured</w:t>
      </w:r>
      <w:r>
        <w:t xml:space="preserve"> </w:t>
      </w:r>
      <w:r>
        <w:rPr>
          <w:rStyle w:val="VerbatimChar"/>
        </w:rPr>
        <w:t xml:space="preserve">PS_NonProd</w:t>
      </w:r>
      <w:r>
        <w:t xml:space="preserve">/</w:t>
      </w:r>
      <w:r>
        <w:rPr>
          <w:rStyle w:val="VerbatimChar"/>
        </w:rPr>
        <w:t xml:space="preserve">PS_DR</w:t>
      </w:r>
      <w:r>
        <w:t xml:space="preserve">, HC-6, per-CRG-type snapshot</w:t>
      </w:r>
      <w:r>
        <w:t xml:space="preserve"> </w:t>
      </w:r>
      <w:r>
        <w:t xml:space="preserve">fields) are</w:t>
      </w:r>
      <w:r>
        <w:t xml:space="preserve"> </w:t>
      </w:r>
      <w:r>
        <w:rPr>
          <w:rStyle w:val="VerbatimChar"/>
          <w:bCs/>
          <w:b/>
        </w:rPr>
        <w:t xml:space="preserve">[Decided]</w:t>
      </w:r>
      <w:r>
        <w:rPr>
          <w:bCs/>
          <w:b/>
        </w:rPr>
        <w:t xml:space="preserve"> </w:t>
      </w:r>
      <w:r>
        <w:rPr>
          <w:bCs/>
          <w:b/>
        </w:rPr>
        <w:t xml:space="preserve">but were flagged in the PRR as not-yet-empirically-validated</w:t>
      </w:r>
      <w:r>
        <w:t xml:space="preserve"> </w:t>
      </w:r>
      <w:r>
        <w:t xml:space="preserve">— they are</w:t>
      </w:r>
      <w:r>
        <w:t xml:space="preserve"> </w:t>
      </w:r>
      <w:r>
        <w:t xml:space="preserve">suitable for</w:t>
      </w:r>
      <w:r>
        <w:t xml:space="preserve"> </w:t>
      </w:r>
      <w:r>
        <w:rPr>
          <w:bCs/>
          <w:b/>
        </w:rPr>
        <w:t xml:space="preserve">shadow / recommendation mode</w:t>
      </w:r>
      <w:r>
        <w:t xml:space="preserve">, not autonomous placement, until normalized, versioned,</w:t>
      </w:r>
      <w:r>
        <w:t xml:space="preserve"> </w:t>
      </w:r>
      <w:r>
        <w:t xml:space="preserve">replay-tested, and compared against capacity-weighted alternatives (PRR §4</w:t>
      </w:r>
      <w:r>
        <w:t xml:space="preserve"> </w:t>
      </w:r>
      <w:r>
        <w:t xml:space="preserve">“</w:t>
      </w:r>
      <w:r>
        <w:t xml:space="preserve">Scoring formulas</w:t>
      </w:r>
      <w:r>
        <w:t xml:space="preserve">”</w:t>
      </w:r>
      <w:r>
        <w:t xml:space="preserve">, §14</w:t>
      </w:r>
      <w:r>
        <w:t xml:space="preserve"> </w:t>
      </w:r>
      <w:r>
        <w:t xml:space="preserve">Scorecard: Placement engine = 5/10). The quota-neutral Tier 2/3 math depends on POC-31/POC-32 execution.</w:t>
      </w:r>
      <w:r>
        <w:t xml:space="preserve"> </w:t>
      </w:r>
      <w:r>
        <w:t xml:space="preserve">All constants above are policy defaults (</w:t>
      </w:r>
      <w:r>
        <w:rPr>
          <w:rStyle w:val="VerbatimChar"/>
        </w:rPr>
        <w:t xml:space="preserve">PlacementPolicy</w:t>
      </w:r>
      <w:r>
        <w:t xml:space="preserve">, config-as-code, versioned) and are tunable.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2026-08-24T08:19:57Z</dcterms:created>
  <dcterms:modified xsi:type="dcterms:W3CDTF">2026-08-24T08:19:57Z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