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3b65f5e4429a488015b471a093ad2c39bf14e2d"/>
    <w:p>
      <w:pPr>
        <w:pStyle w:val="Heading1"/>
      </w:pPr>
      <w:r>
        <w:t xml:space="preserve">ACRME Calculation Logic Reference — All Scenarios (v2.2)</w:t>
      </w:r>
    </w:p>
    <w:p>
      <w:pPr>
        <w:pStyle w:val="BlockText"/>
      </w:pPr>
      <w:r>
        <w:rPr>
          <w:bCs/>
          <w:b/>
        </w:rPr>
        <w:t xml:space="preserve">Revision v2.2 — 27 August 2026.</w:t>
      </w:r>
      <w:r>
        <w:t xml:space="preserve"> </w:t>
      </w:r>
      <w:r>
        <w:t xml:space="preserve">This document supersedes the previous calculation logic reference. Key changes in v2.2: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sizing formula replaced</w:t>
      </w:r>
      <w:r>
        <w:t xml:space="preserve">: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percentage approach (v1) is superseded by the</w:t>
      </w:r>
      <w:r>
        <w:t xml:space="preserve"> </w:t>
      </w:r>
      <w:r>
        <w:rPr>
          <w:bCs/>
          <w:b/>
        </w:rPr>
        <w:t xml:space="preserve">max-not-sum distributed-portion formula</w:t>
      </w:r>
      <w:r>
        <w:t xml:space="preserve"> </w:t>
      </w:r>
      <w:r>
        <w:t xml:space="preserve">(Requirements v2.1 Appendix A.6 / Appendix 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Reservation target floor formula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Allocated VM Count + Configured Buffer</w:t>
      </w:r>
      <w:r>
        <w:t xml:space="preserve"> </w:t>
      </w:r>
      <w:r>
        <w:t xml:space="preserve">(CAP-003),</w:t>
      </w:r>
      <w:r>
        <w:t xml:space="preserve"> </w:t>
      </w:r>
      <w:r>
        <w:t xml:space="preserve">distinct from the forecast-based growth formula.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Four new scenarios added</w:t>
      </w:r>
      <w:r>
        <w:t xml:space="preserve">: DR destination requirement (max-not-sum), standby activation,</w:t>
      </w:r>
      <w:r>
        <w:t xml:space="preserve"> </w:t>
      </w:r>
      <w:r>
        <w:t xml:space="preserve">deployment readiness gate, and customer seed record.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EU cross-geo DR region corrected</w:t>
      </w:r>
      <w:r>
        <w:t xml:space="preserve">: Belgium Central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throughout.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Scenario 15</w:t>
      </w:r>
      <w:r>
        <w:t xml:space="preserve"> </w:t>
      </w:r>
      <w:r>
        <w:t xml:space="preserve">(fixed DR ratio parameters) retained for reference but marked</w:t>
      </w:r>
      <w:r>
        <w:t xml:space="preserve"> </w:t>
      </w:r>
      <w:r>
        <w:rPr>
          <w:bCs/>
          <w:b/>
        </w:rPr>
        <w:t xml:space="preserve">superseded</w:t>
      </w:r>
      <w:r>
        <w:t xml:space="preserve">.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calculation logic</w:t>
      </w:r>
      <w:r>
        <w:t xml:space="preserve"> </w:t>
      </w:r>
      <w:r>
        <w:t xml:space="preserve">used by the Azure Capacity Reservation</w:t>
      </w:r>
      <w:r>
        <w:t xml:space="preserve"> </w:t>
      </w:r>
      <w:r>
        <w:t xml:space="preserve">Management Engine (ACRME), organized by the scenario in which it fires. Each formula carries an</w:t>
      </w:r>
      <w:r>
        <w:t xml:space="preserve"> </w:t>
      </w:r>
      <w:r>
        <w:t xml:space="preserve">evidence tag: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Azure platform documentation.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ADR Decision Log.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hypothesis, tunable and not yet empirically validated.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t xml:space="preserve">Requirements Baseline v2.1/v2.2 (Appendix A–D); ADR-001 through ADR-004 v1.2;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(PRR §26–§32).</w:t>
      </w:r>
    </w:p>
    <w:p>
      <w:pPr>
        <w:pStyle w:val="BlockText"/>
      </w:pPr>
      <w:r>
        <w:rPr>
          <w:bCs/>
          <w:b/>
        </w:rPr>
        <w:t xml:space="preserve">Convention.</w:t>
      </w:r>
      <w:r>
        <w:t xml:space="preserve"> </w:t>
      </w:r>
      <w:r>
        <w:rPr>
          <w:rStyle w:val="VerbatimChar"/>
        </w:rPr>
        <w:t xml:space="preserve">vCPU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vCPU_per_instance</w:t>
      </w:r>
      <w:r>
        <w:t xml:space="preserve"> </w:t>
      </w:r>
      <w:r>
        <w:t xml:space="preserve">for the SKU family.</w:t>
      </w:r>
      <w:r>
        <w:t xml:space="preserve"> </w:t>
      </w:r>
      <w:r>
        <w:rPr>
          <w:rStyle w:val="VerbatimChar"/>
        </w:rPr>
        <w:t xml:space="preserve">CVAL</w:t>
      </w:r>
      <w:r>
        <w:t xml:space="preserve"> </w:t>
      </w:r>
      <w:r>
        <w:t xml:space="preserve">(Customer Validation) and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are interchangeable; scoring identifiers keep the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spelling for engineering</w:t>
      </w:r>
      <w:r>
        <w:t xml:space="preserve"> </w:t>
      </w:r>
      <w:r>
        <w:t xml:space="preserve">consistency. All raw ratios are clamped with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 </w:t>
      </w:r>
      <w:r>
        <w:t xml:space="preserve">before weighting.</w:t>
      </w:r>
    </w:p>
    <w:p>
      <w:r>
        <w:pict>
          <v:rect style="width:0;height:1.5pt" o:hralign="center" o:hrstd="t" o:hr="t"/>
        </w:pict>
      </w:r>
    </w:p>
    <w:bookmarkStart w:id="20" w:name="index-of-scenarios"/>
    <w:p>
      <w:pPr>
        <w:pStyle w:val="Heading2"/>
      </w:pPr>
      <w:r>
        <w:t xml:space="preserve">Index of Scenarios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derivation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validation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specific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HC-1..HC-10 gate +</w:t>
            </w:r>
            <w:r>
              <w:t xml:space="preserve"> </w:t>
            </w:r>
            <w:r>
              <w:rPr>
                <w:rStyle w:val="VerbatimChar"/>
              </w:rPr>
              <w:t xml:space="preserve">PS_Prod</w:t>
            </w:r>
            <w:r>
              <w:t xml:space="preserve"> </w:t>
            </w:r>
            <w:r>
              <w:t xml:space="preserve">post-validation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workflow (no scoring)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three-region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in-geo +</w:t>
            </w:r>
            <w:r>
              <w:t xml:space="preserve"> </w:t>
            </w:r>
            <w:r>
              <w:rPr>
                <w:bCs/>
                <w:b/>
              </w:rPr>
              <w:t xml:space="preserve">Switzerland North</w:t>
            </w:r>
            <w:r>
              <w:t xml:space="preserve"> </w:t>
            </w: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/ NonProd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HC-6, HC-7 arithmetic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&amp; NonProd+DR group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DR_Floor_vCPU</w:t>
            </w:r>
            <w:r>
              <w:t xml:space="preserve">, effective ceiling,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quota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Quota_Score_{Prod,NonProd,DR}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forecast / CR sizing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Auto-increase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thresholds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transfer &amp; tier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1/2/3, quota-neutral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&amp; API-budget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cardinality, request-per-cycle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ratio parameters (fixed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dr_ratio_min/max/target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 by Scenario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target &amp; reconciliation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VM Count + Buffer</w:t>
            </w:r>
            <w:r>
              <w:t xml:space="preserve"> </w:t>
            </w:r>
            <w:r>
              <w:t xml:space="preserve">(CAP-003)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destination requirement — max-not-sum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 per destination)</w:t>
            </w:r>
            <w:r>
              <w:t xml:space="preserve"> </w:t>
            </w:r>
            <w:r>
              <w:t xml:space="preserve">(A.6)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Standby activation (DR-019)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associated → allocated</w:t>
            </w:r>
            <w:r>
              <w:t xml:space="preserve"> </w:t>
            </w:r>
            <w:r>
              <w:t xml:space="preserve">staged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readiness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 / QUOTA_DEFICIT / STALE_STATE / …</w:t>
            </w:r>
            <w:r>
              <w:t xml:space="preserve"> </w:t>
            </w:r>
            <w:r>
              <w:t xml:space="preserve">(RDY-002)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placement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First-placement persistence + reuse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25b4b3b8eec9611db1abf6f7df9b21bf6d1495c"/>
    <w:p>
      <w:pPr>
        <w:pStyle w:val="Heading2"/>
      </w:pPr>
      <w:r>
        <w:t xml:space="preserve">Shared Building Blocks (used by several scenarios)</w:t>
      </w:r>
    </w:p>
    <w:bookmarkStart w:id="21" w:name="default-scoring-weights-assumed"/>
    <w:p>
      <w:pPr>
        <w:pStyle w:val="Heading3"/>
      </w:pPr>
      <w:r>
        <w:t xml:space="preserve">Default scoring weights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alpha (α) = 0.30   # capacity / headroom signal</w:t>
      </w:r>
      <w:r>
        <w:br/>
      </w:r>
      <w:r>
        <w:rPr>
          <w:rStyle w:val="VerbatimChar"/>
        </w:rPr>
        <w:t xml:space="preserve">beta  (β) = 0.20   # quota headroom signal</w:t>
      </w:r>
      <w:r>
        <w:br/>
      </w:r>
      <w:r>
        <w:rPr>
          <w:rStyle w:val="VerbatimChar"/>
        </w:rPr>
        <w:t xml:space="preserve">gamma (γ) = 0.25   # capacity-weighted distribution</w:t>
      </w:r>
      <w:r>
        <w:br/>
      </w:r>
      <w:r>
        <w:rPr>
          <w:rStyle w:val="VerbatimChar"/>
        </w:rPr>
        <w:t xml:space="preserve">delta (δ) = 0.15   # DR-coverage / overflow-integrity signal</w:t>
      </w:r>
      <w:r>
        <w:br/>
      </w:r>
      <w:r>
        <w:rPr>
          <w:rStyle w:val="VerbatimChar"/>
        </w:rPr>
        <w:t xml:space="preserve">epsilon(ε)= 0.10   # zone diversity</w:t>
      </w:r>
      <w:r>
        <w:br/>
      </w:r>
      <w:r>
        <w:rPr>
          <w:rStyle w:val="VerbatimChar"/>
        </w:rPr>
        <w:t xml:space="preserve">Clamp(x)  = max(0, min(1, x))       # every component clamped to [0,1] before weighting</w:t>
      </w:r>
    </w:p>
    <w:p>
      <w:pPr>
        <w:pStyle w:val="FirstParagraph"/>
      </w:pPr>
      <w:r>
        <w:t xml:space="preserve">All five weights are tunable policy constants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</w:t>
      </w:r>
      <w:r>
        <w:t xml:space="preserve"> </w:t>
      </w:r>
      <w:r>
        <w:t xml:space="preserve">They sum to exactly 1.0 and apply across all three environment scoring formulas.</w:t>
      </w:r>
      <w:r>
        <w:t xml:space="preserve"> </w:t>
      </w:r>
      <w:r>
        <w:rPr>
          <w:rStyle w:val="VerbatimChar"/>
        </w:rPr>
        <w:t xml:space="preserve">[Assumed]</w:t>
      </w:r>
    </w:p>
    <w:bookmarkEnd w:id="21"/>
    <w:bookmarkStart w:id="22" w:name="X3cc1aed25001fc65453c48f5cb86688dfb22d46"/>
    <w:p>
      <w:pPr>
        <w:pStyle w:val="Heading3"/>
      </w:pPr>
      <w:r>
        <w:t xml:space="preserve">Named regional-snapshot quantities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nonprod_crg.effective_free = nonprod_crg.free_slots - dr_overflow_reserve</w:t>
      </w:r>
      <w:r>
        <w:br/>
      </w:r>
      <w:r>
        <w:rPr>
          <w:rStyle w:val="VerbatimChar"/>
        </w:rPr>
        <w:t xml:space="preserve">dr_crg.coverage_ratio      = dr_crg.quantity / potential_dr_demand</w:t>
      </w:r>
      <w:r>
        <w:br/>
      </w:r>
      <w:r>
        <w:rPr>
          <w:rStyle w:val="VerbatimChar"/>
        </w:rPr>
        <w:t xml:space="preserve">potential_dr_demand(region)= Σ prod_allocated  for all customers whose dr_region = region</w:t>
      </w:r>
    </w:p>
    <w:bookmarkEnd w:id="22"/>
    <w:bookmarkStart w:id="23" w:name="key-formula-disambiguation"/>
    <w:p>
      <w:pPr>
        <w:pStyle w:val="Heading3"/>
      </w:pPr>
      <w:r>
        <w:t xml:space="preserve">Key formula disambiguation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+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reconciliation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 = ceil(Peak × (1+Growth)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growth ahead of demand (Scenario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 DR Requirement(d) = 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A.6 /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constants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(Scenario 15) — configuration reference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6" w:name="X78430263a8ee2dcc888d57672b709789d776cf0"/>
    <w:p>
      <w:pPr>
        <w:pStyle w:val="Heading2"/>
      </w:pPr>
      <w:r>
        <w:t xml:space="preserve">Scenario 1 — Prod Region Derivation (Customer Chooses a Geography)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supplies a geography (e.g. </w:t>
      </w:r>
      <w:r>
        <w:t xml:space="preserve">“</w:t>
      </w:r>
      <w:r>
        <w:t xml:space="preserve">Europe</w:t>
      </w:r>
      <w:r>
        <w:t xml:space="preserve">”</w:t>
      </w:r>
      <w:r>
        <w:t xml:space="preserve">), not a specific region.</w:t>
      </w:r>
      <w:r>
        <w:br/>
      </w:r>
      <w:r>
        <w:rPr>
          <w:bCs/>
          <w:b/>
        </w:rPr>
        <w:t xml:space="preserve">Note (PLC-001/PLC-002):</w:t>
      </w:r>
      <w:r>
        <w:t xml:space="preserve"> </w:t>
      </w:r>
      <w:r>
        <w:t xml:space="preserve">Exact-region input (Scenario 2) is the preferred default. Geography-based</w:t>
      </w:r>
      <w:r>
        <w:t xml:space="preserve"> </w:t>
      </w:r>
      <w:r>
        <w:t xml:space="preserve">selection is an exception path requiring approval and customer acknowledgement.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2"/>
        </w:numPr>
        <w:pStyle w:val="Compact"/>
      </w:pPr>
      <w:r>
        <w:t xml:space="preserve">Build candidate set =</w:t>
      </w:r>
      <w:r>
        <w:t xml:space="preserve"> </w:t>
      </w:r>
      <w:r>
        <w:rPr>
          <w:bCs/>
          <w:b/>
        </w:rPr>
        <w:t xml:space="preserve">Standard Capacity Regions</w:t>
      </w:r>
      <w:r>
        <w:t xml:space="preserve"> </w:t>
      </w:r>
      <w:r>
        <w:t xml:space="preserve">in the chosen geography. Restricted regions are</w:t>
      </w:r>
      <w:r>
        <w:t xml:space="preserve"> </w:t>
      </w:r>
      <w:r>
        <w:t xml:space="preserve">excluded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Score every candidate with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from the versioned regional snapshot.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derived Prod anchor = argmax(PS_Prod)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Tie-break:</w:t>
      </w:r>
      <w:r>
        <w:t xml:space="preserve"> </w:t>
      </w:r>
      <w:r>
        <w:t xml:space="preserve">deterministic — first region in the Standard Capacity Region list order for that</w:t>
      </w:r>
      <w:r>
        <w:t xml:space="preserve"> </w:t>
      </w:r>
      <w:r>
        <w:t xml:space="preserve">geography; also the cold-start default when no snapshot exists.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  <w:pStyle w:val="Compact"/>
      </w:pPr>
      <w:r>
        <w:t xml:space="preserve">Run sequential CVAL → DR selection (Scenarios 5 &amp; 6) on the same Standard region pool.</w:t>
      </w:r>
    </w:p>
    <w:bookmarkStart w:id="25" w:name="ps_prodr-decided"/>
    <w:p>
      <w:pPr>
        <w:pStyle w:val="Heading3"/>
      </w:pPr>
      <w:r>
        <w:rPr>
          <w:rStyle w:val="VerbatimChar"/>
        </w:rPr>
        <w:t xml:space="preserve">PS_Prod(r)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Clamp(nonprod_crg.effective_free / prod_crg.quantity)     ← α: NonProd headroom signal</w:t>
      </w:r>
      <w:r>
        <w:br/>
      </w:r>
      <w:r>
        <w:rPr>
          <w:rStyle w:val="VerbatimChar"/>
        </w:rPr>
        <w:t xml:space="preserve">  + 0.20 × Clamp(prod_crg.quota_headroom  / prod_crg.quota_limit)    ← β: Prod quota headroom</w:t>
      </w:r>
      <w:r>
        <w:br/>
      </w:r>
      <w:r>
        <w:rPr>
          <w:rStyle w:val="VerbatimChar"/>
        </w:rPr>
        <w:t xml:space="preserve">  + 0.25 × Clamp(1 - prod_customer_count  / total_customers)         ← γ: distribution fairness</w:t>
      </w:r>
      <w:r>
        <w:br/>
      </w:r>
      <w:r>
        <w:rPr>
          <w:rStyle w:val="VerbatimChar"/>
        </w:rPr>
        <w:t xml:space="preserve">  + 0.15 × Clamp(dr_crg.coverage_ratio)                              ← δ: DR readiness signal</w:t>
      </w:r>
      <w:r>
        <w:br/>
      </w:r>
      <w:r>
        <w:rPr>
          <w:rStyle w:val="VerbatimChar"/>
        </w:rPr>
        <w:t xml:space="preserve">  + 0.10 × Clamp(az_count / 3)                                       ← ε: zone diversity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dual-purpose</w:t>
      </w:r>
      <w:r>
        <w:t xml:space="preserve">: derives the Prod region in Scenario 1 and is reused for post-selection</w:t>
      </w:r>
      <w:r>
        <w:t xml:space="preserve"> </w:t>
      </w:r>
      <w:r>
        <w:t xml:space="preserve">validation in Scenario 2. Every candidate score and the policy 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[Derived]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d136628e22d047b29bae01e0c79707a08338990"/>
    <w:p>
      <w:pPr>
        <w:pStyle w:val="Heading2"/>
      </w:pPr>
      <w:r>
        <w:t xml:space="preserve">Scenario 2 — Prod Region Validation (Customer Supplies a Specific Region)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names an exact Azure region — the preferred/default input mode (PLC-001).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Capacity Region:</w:t>
      </w:r>
      <w:r>
        <w:t xml:space="preserve"> </w:t>
      </w:r>
      <w:r>
        <w:t xml:space="preserve">validate against HC-1..HC-10 (Scenario 7). If eligible, it becomes the</w:t>
      </w:r>
      <w:r>
        <w:t xml:space="preserve"> </w:t>
      </w:r>
      <w:r>
        <w:t xml:space="preserve">Prod anchor directly.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computed for post-selection validation/audit only, not for selection.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Restricted Capacity Region:</w:t>
      </w:r>
      <w:r>
        <w:t xml:space="preserve"> </w:t>
      </w:r>
      <w:r>
        <w:t xml:space="preserve">do not score — route to the Exception Deployment Workflow (Scenario 3).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here. The customer’s choice is authoritative once it passes the hard constraints.</w:t>
      </w:r>
      <w:r>
        <w:t xml:space="preserve"> </w:t>
      </w:r>
      <w:r>
        <w:t xml:space="preserve">The first approved placement writes the</w:t>
      </w:r>
      <w:r>
        <w:t xml:space="preserve"> </w:t>
      </w:r>
      <w:r>
        <w:rPr>
          <w:bCs/>
          <w:b/>
        </w:rPr>
        <w:t xml:space="preserve">Customer Seed Record</w:t>
      </w:r>
      <w:r>
        <w:t xml:space="preserve"> </w:t>
      </w:r>
      <w:r>
        <w:t xml:space="preserve">(Scenario 20).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7"/>
    <w:bookmarkStart w:id="28" w:name="Xb6be7f2e377c008f777265fdccef7ef70a41418"/>
    <w:p>
      <w:pPr>
        <w:pStyle w:val="Heading2"/>
      </w:pPr>
      <w:r>
        <w:t xml:space="preserve">Scenario 3 — Restricted Region Request (Exception Path)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the requested or only feasible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Logic:</w:t>
      </w:r>
      <w:r>
        <w:t xml:space="preserve"> </w:t>
      </w:r>
      <w:r>
        <w:t xml:space="preserve">no scoring formula is evaluated. The request diverts to the manual Exception Deployment</w:t>
      </w:r>
      <w:r>
        <w:t xml:space="preserve"> </w:t>
      </w:r>
      <w:r>
        <w:t xml:space="preserve">Workflow (governance approval, EC-1..EC-4, VR-1..VR-11, HC-9/HC-10 controls). Restricted regions</w:t>
      </w:r>
      <w:r>
        <w:t xml:space="preserve"> </w:t>
      </w:r>
      <w:r>
        <w:t xml:space="preserve">never enter the scoring pipeline.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conditions: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requires the specific restricted region by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Standard region in the geography can supply sufficient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Data-residency requirement binds to the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 — restricted regions can never be engine-derived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e61e3cacba9a44c6d5084e954b5fced851a3f92"/>
    <w:p>
      <w:pPr>
        <w:pStyle w:val="Heading2"/>
      </w:pPr>
      <w:r>
        <w:t xml:space="preserve">Scenario 4 — Middle East Three-Region Deployment (Updated — Switzerland North)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 Middle East deployment requiring three environments.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pStyle w:val="SourceCode"/>
      </w:pPr>
      <w:r>
        <w:rPr>
          <w:rStyle w:val="VerbatimChar"/>
        </w:rPr>
        <w:t xml:space="preserve">1. Candidate in-geo Standard regions = { Saudi Arabia Central, UAE North }   (both Standard)</w:t>
      </w:r>
      <w:r>
        <w:br/>
      </w:r>
      <w:r>
        <w:rPr>
          <w:rStyle w:val="VerbatimChar"/>
        </w:rPr>
        <w:t xml:space="preserve">2. Score both with PS_Prod.</w:t>
      </w:r>
      <w:r>
        <w:br/>
      </w:r>
      <w:r>
        <w:rPr>
          <w:rStyle w:val="VerbatimChar"/>
        </w:rPr>
        <w:t xml:space="preserve">3. Prod  = argmax(PS_Prod) over the two.</w:t>
      </w:r>
      <w:r>
        <w:br/>
      </w:r>
      <w:r>
        <w:rPr>
          <w:rStyle w:val="VerbatimChar"/>
        </w:rPr>
        <w:t xml:space="preserve">4. CVAL  = the remaining in-geo region (deterministic — only one candidate left).</w:t>
      </w:r>
      <w:r>
        <w:br/>
      </w:r>
      <w:r>
        <w:rPr>
          <w:rStyle w:val="VerbatimChar"/>
        </w:rPr>
        <w:t xml:space="preserve">5. DR    = cross-geo extension region: Switzerland North (Europe)</w:t>
      </w:r>
      <w:r>
        <w:br/>
      </w:r>
      <w:r>
        <w:rPr>
          <w:rStyle w:val="VerbatimChar"/>
        </w:rPr>
        <w:t xml:space="preserve">           because no third in-geo Standard region exists to satisfy region separation.</w:t>
      </w:r>
    </w:p>
    <w:p>
      <w:pPr>
        <w:pStyle w:val="BlockText"/>
      </w:pPr>
      <w:r>
        <w:rPr>
          <w:bCs/>
          <w:b/>
        </w:rPr>
        <w:t xml:space="preserve">v2.2 correction (REG-002):</w:t>
      </w:r>
      <w:r>
        <w:t xml:space="preserve"> </w:t>
      </w:r>
      <w:r>
        <w:t xml:space="preserve">The cross-geo DR extension region was incorrectly cited as</w:t>
      </w:r>
      <w:r>
        <w:t xml:space="preserve"> </w:t>
      </w:r>
      <w:r>
        <w:t xml:space="preserve">“</w:t>
      </w:r>
      <w:r>
        <w:t xml:space="preserve">Belgium Central</w:t>
      </w:r>
      <w:r>
        <w:t xml:space="preserve">”</w:t>
      </w:r>
      <w:r>
        <w:t xml:space="preserve"> </w:t>
      </w:r>
      <w:r>
        <w:t xml:space="preserve">in earlier material. The authoritative placement configuration specifies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cross-geo extension for Middle East. All references to Belgium Central</w:t>
      </w:r>
      <w:r>
        <w:t xml:space="preserve"> </w:t>
      </w:r>
      <w:r>
        <w:t xml:space="preserve">are superseded by Switzerland North.</w:t>
      </w:r>
    </w:p>
    <w:p>
      <w:pPr>
        <w:pStyle w:val="FirstParagraph"/>
      </w:pPr>
      <w:r>
        <w:t xml:space="preserve">Middle East is subject to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policy flag (DR-014) where legal/data-sovereignty</w:t>
      </w:r>
      <w:r>
        <w:t xml:space="preserve"> </w:t>
      </w:r>
      <w:r>
        <w:t xml:space="preserve">prevents an acceptable DR design. When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for the geography, Step 5 above is</w:t>
      </w:r>
      <w:r>
        <w:t xml:space="preserve"> </w:t>
      </w:r>
      <w:r>
        <w:t xml:space="preserve">bypassed and the seed record records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Cross-geo extension constraints from ADR-001 apply to the DR region (Switzerland North).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9"/>
    <w:bookmarkStart w:id="32" w:name="scenario-5-cval-nonprod-region-selection"/>
    <w:p>
      <w:pPr>
        <w:pStyle w:val="Heading2"/>
      </w:pPr>
      <w:r>
        <w:t xml:space="preserve">Scenario 5 — CVAL / NonProd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sequential step after the Prod anchor is fixed. Selects</w:t>
      </w:r>
      <w:r>
        <w:t xml:space="preserve"> </w:t>
      </w:r>
      <w:r>
        <w:rPr>
          <w:rStyle w:val="VerbatimChar"/>
        </w:rPr>
        <w:t xml:space="preserve">argmax(PS_NonProd)</w:t>
      </w:r>
      <w:r>
        <w:t xml:space="preserve"> </w:t>
      </w:r>
      <w:r>
        <w:t xml:space="preserve">over eligible</w:t>
      </w:r>
      <w:r>
        <w:t xml:space="preserve"> </w:t>
      </w:r>
      <w:r>
        <w:t xml:space="preserve">Standard regions.</w:t>
      </w:r>
    </w:p>
    <w:bookmarkStart w:id="30" w:name="ps_nonprodr-design-of-record-decided"/>
    <w:p>
      <w:pPr>
        <w:pStyle w:val="Heading3"/>
      </w:pPr>
      <w:r>
        <w:rPr>
          <w:rStyle w:val="VerbatimChar"/>
        </w:rPr>
        <w:t xml:space="preserve">PS_NonProd(r)</w:t>
      </w:r>
      <w:r>
        <w:t xml:space="preserve"> </w:t>
      </w:r>
      <w:r>
        <w:t xml:space="preserve">— design-of-record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Clamp(nonprod_crg.effective_free / nonprod_crg.quantity)      ← α: effective NonProd headroom</w:t>
      </w:r>
      <w:r>
        <w:br/>
      </w:r>
      <w:r>
        <w:rPr>
          <w:rStyle w:val="VerbatimChar"/>
        </w:rPr>
        <w:t xml:space="preserve">  + 0.20 × Clamp(nonprod_crg.quota_headroom / nonprod_crg.quota_limit)   ← β: NonProd quota headroom</w:t>
      </w:r>
      <w:r>
        <w:br/>
      </w:r>
      <w:r>
        <w:rPr>
          <w:rStyle w:val="VerbatimChar"/>
        </w:rPr>
        <w:t xml:space="preserve">  + 0.25 × Clamp(1 - nonprod_customer_count / total_customers)           ← γ: distribution fairness</w:t>
      </w:r>
      <w:r>
        <w:br/>
      </w:r>
      <w:r>
        <w:rPr>
          <w:rStyle w:val="VerbatimChar"/>
        </w:rPr>
        <w:t xml:space="preserve">  + 0.15 × Clamp(nonprod_crg.effective_free / nonprod_crg.quantity)      ← δ: overflow capacity health</w:t>
      </w:r>
      <w:r>
        <w:br/>
      </w:r>
      <w:r>
        <w:rPr>
          <w:rStyle w:val="VerbatimChar"/>
        </w:rPr>
        <w:t xml:space="preserve">  + 0.10 × Clamp(az_count / 3)                                           ← ε: zone diversity</w:t>
      </w:r>
    </w:p>
    <w:bookmarkEnd w:id="30"/>
    <w:bookmarkStart w:id="31" w:name="X1e98a112afb717e496ef6072aa82669d221f424"/>
    <w:p>
      <w:pPr>
        <w:pStyle w:val="Heading3"/>
      </w:pPr>
      <w:r>
        <w:t xml:space="preserve">Corrected pilot variant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pPr>
        <w:pStyle w:val="FirstParagraph"/>
      </w:pPr>
      <w:r>
        <w:t xml:space="preserve">The design-of-record above duplicates the same signal under α and δ (combined weight 0.45). The PRR’s</w:t>
      </w:r>
      <w:r>
        <w:t xml:space="preserve"> </w:t>
      </w:r>
      <w:r>
        <w:t xml:space="preserve">corrected pilot formula removes the duplication:</w:t>
      </w:r>
    </w:p>
    <w:p>
      <w:pPr>
        <w:pStyle w:val="SourceCode"/>
      </w:pPr>
      <w:r>
        <w:rPr>
          <w:rStyle w:val="VerbatimChar"/>
        </w:rPr>
        <w:t xml:space="preserve">PS_NonProd = 0.35 × Capacity + 0.25 × Quota + 0.25 × Distribution</w:t>
      </w:r>
      <w:r>
        <w:br/>
      </w:r>
      <w:r>
        <w:rPr>
          <w:rStyle w:val="VerbatimChar"/>
        </w:rPr>
        <w:t xml:space="preserve">           + 0.05 × DR_Overflow_Integrity + 0.10 × Zones</w:t>
      </w:r>
      <w:r>
        <w:br/>
      </w:r>
      <w:r>
        <w:br/>
      </w:r>
      <w:r>
        <w:rPr>
          <w:rStyle w:val="VerbatimChar"/>
        </w:rPr>
        <w:t xml:space="preserve">Distribution = 1 - Region_Assigned_Demand / Total_Assigned_Demand</w:t>
      </w:r>
    </w:p>
    <w:p>
      <w:pPr>
        <w:pStyle w:val="FirstParagraph"/>
      </w:pPr>
      <w:r>
        <w:t xml:space="preserve">Both variants are recorded. The design-of-record formula is the approved baseline; the pilot variant is</w:t>
      </w:r>
      <w:r>
        <w:t xml:space="preserve"> </w:t>
      </w:r>
      <w:r>
        <w:t xml:space="preserve">the reviewer-recommended refinement. Neither is empirically validated yet.</w:t>
      </w:r>
    </w:p>
    <w:p>
      <w:pPr>
        <w:pStyle w:val="BodyText"/>
      </w:pPr>
      <w:r>
        <w:rPr>
          <w:bCs/>
          <w:b/>
        </w:rPr>
        <w:t xml:space="preserve">CVAL/DR co-location rule (PLC-010):</w:t>
      </w:r>
      <w:r>
        <w:t xml:space="preserve"> </w:t>
      </w:r>
      <w:r>
        <w:t xml:space="preserve">a customer’s CVAL and DR</w:t>
      </w:r>
      <w:r>
        <w:t xml:space="preserve"> </w:t>
      </w:r>
      <w:r>
        <w:rPr>
          <w:iCs/>
          <w:i/>
        </w:rPr>
        <w:t xml:space="preserve">may</w:t>
      </w:r>
      <w:r>
        <w:t xml:space="preserve"> </w:t>
      </w:r>
      <w:r>
        <w:t xml:space="preserve">co-locate in the same destination</w:t>
      </w:r>
      <w:r>
        <w:t xml:space="preserve"> </w:t>
      </w:r>
      <w:r>
        <w:t xml:space="preserve">region. When co-located, CVAL capacity earmarked for DR activation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double-counted as both</w:t>
      </w:r>
      <w:r>
        <w:t xml:space="preserve"> </w:t>
      </w:r>
      <w:r>
        <w:t xml:space="preserve">live CVAL headroom and available DR headroom. 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tracks this.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scenario-6-dr-region-selection"/>
    <w:p>
      <w:pPr>
        <w:pStyle w:val="Heading2"/>
      </w:pPr>
      <w:r>
        <w:t xml:space="preserve">Scenario 6 — DR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final sequential step. Selects</w:t>
      </w:r>
      <w:r>
        <w:t xml:space="preserve"> </w:t>
      </w:r>
      <w:r>
        <w:rPr>
          <w:rStyle w:val="VerbatimChar"/>
        </w:rPr>
        <w:t xml:space="preserve">argmax(PS_DR)</w:t>
      </w:r>
      <w:r>
        <w:t xml:space="preserve"> </w:t>
      </w:r>
      <w:r>
        <w:t xml:space="preserve">over eligible Standard regions (or the</w:t>
      </w:r>
      <w:r>
        <w:t xml:space="preserve"> </w:t>
      </w:r>
      <w:r>
        <w:t xml:space="preserve">cross-geo region for Middle East).</w:t>
      </w:r>
    </w:p>
    <w:bookmarkStart w:id="33" w:name="ps_drr-decided"/>
    <w:p>
      <w:pPr>
        <w:pStyle w:val="Heading3"/>
      </w:pPr>
      <w:r>
        <w:rPr>
          <w:rStyle w:val="VerbatimChar"/>
        </w:rPr>
        <w:t xml:space="preserve">PS_DR(r)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Clamp(dr_crg.free_slots / dr_crg.quantity)                   ← α: DR CRG headroom</w:t>
      </w:r>
      <w:r>
        <w:br/>
      </w:r>
      <w:r>
        <w:rPr>
          <w:rStyle w:val="VerbatimChar"/>
        </w:rPr>
        <w:t xml:space="preserve">  + 0.20 × Clamp(dr_crg.quota_headroom / dr_crg.quota_limit)           ← β: DR quota headroom</w:t>
      </w:r>
      <w:r>
        <w:br/>
      </w:r>
      <w:r>
        <w:rPr>
          <w:rStyle w:val="VerbatimChar"/>
        </w:rPr>
        <w:t xml:space="preserve">  + 0.25 × Clamp(1 - dr_customer_count / total_customers)              ← γ: distribution fairness</w:t>
      </w:r>
      <w:r>
        <w:br/>
      </w:r>
      <w:r>
        <w:rPr>
          <w:rStyle w:val="VerbatimChar"/>
        </w:rPr>
        <w:t xml:space="preserve">  + 0.15 × min(1.0, dr_crg.coverage_ratio / dr_ratio_target)           ← δ: coverage-ratio health</w:t>
      </w:r>
      <w:r>
        <w:br/>
      </w:r>
      <w:r>
        <w:rPr>
          <w:rStyle w:val="VerbatimChar"/>
        </w:rPr>
        <w:t xml:space="preserve">  + 0.10 × Clamp(az_count / 3)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Note on δ: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in the PS_DR formula is now a</w:t>
      </w:r>
      <w:r>
        <w:t xml:space="preserve"> </w:t>
      </w:r>
      <w:r>
        <w:rPr>
          <w:bCs/>
          <w:b/>
        </w:rPr>
        <w:t xml:space="preserve">configurable bootstrap reference</w:t>
      </w:r>
      <w:r>
        <w:t xml:space="preserve"> </w:t>
      </w:r>
      <w:r>
        <w:t xml:space="preserve">rather than a fixed 30–40% constant. See Scenario 17 for the authoritative DR sizing formula.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7664e92b20aeab89b0f97bcbd92c37d753b681"/>
    <w:p>
      <w:pPr>
        <w:pStyle w:val="Heading2"/>
      </w:pPr>
      <w:r>
        <w:t xml:space="preserve">Scenario 7 — Hard-Constraint Eligibility Gate (Arithmetic Constraints)</w:t>
      </w:r>
    </w:p>
    <w:p>
      <w:pPr>
        <w:pStyle w:val="FirstParagraph"/>
      </w:pPr>
      <w:r>
        <w:t xml:space="preserve">Before any region is scored (Scenario 1) or accepted (Scenario 2), it must pass the hard constraints.</w:t>
      </w:r>
    </w:p>
    <w:bookmarkStart w:id="35" w:name="hc-3-quota_floor-per-environment-decided"/>
    <w:p>
      <w:pPr>
        <w:pStyle w:val="Heading3"/>
      </w:pPr>
      <w:r>
        <w:t xml:space="preserve">HC-3 QUOTA_FLOOR (per environment)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Prod:    Prod_Group_headroom(R)  ≥ requested_vm_count × vCPU</w:t>
      </w:r>
      <w:r>
        <w:br/>
      </w:r>
      <w:r>
        <w:rPr>
          <w:rStyle w:val="VerbatimChar"/>
        </w:rPr>
        <w:t xml:space="preserve">NonProd: nonprod_headroom(R)     ≥ requested_vm_count × vCPU    # uses effective_nonprod_ceiling</w:t>
      </w:r>
      <w:r>
        <w:br/>
      </w:r>
      <w:r>
        <w:rPr>
          <w:rStyle w:val="VerbatimChar"/>
        </w:rPr>
        <w:t xml:space="preserve">DR:      dr_headroom(R)          ≥ target_dr_qty     × vCPU</w:t>
      </w:r>
    </w:p>
    <w:bookmarkEnd w:id="35"/>
    <w:bookmarkStart w:id="36" w:name="hc-6-dr_coverage_floor-decided"/>
    <w:p>
      <w:pPr>
        <w:pStyle w:val="Heading3"/>
      </w:pPr>
      <w:r>
        <w:t xml:space="preserve">HC-6 DR_COVERAGE_FLOOR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Region ineligible for DR if:</w:t>
      </w:r>
      <w:r>
        <w:br/>
      </w:r>
      <w:r>
        <w:rPr>
          <w:rStyle w:val="VerbatimChar"/>
        </w:rPr>
        <w:t xml:space="preserve">    (dr_crg.free_slots + nonprod_crg.effective_free) &lt; customer_requested_dr_slots</w:t>
      </w:r>
    </w:p>
    <w:bookmarkEnd w:id="36"/>
    <w:bookmarkStart w:id="37" w:name="hc-7-dr_floor_integrity-decided"/>
    <w:p>
      <w:pPr>
        <w:pStyle w:val="Heading3"/>
      </w:pPr>
      <w:r>
        <w:t xml:space="preserve">HC-7 DR_FLOOR_INTEGRITY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rPr>
          <w:rStyle w:val="VerbatimChar"/>
        </w:rPr>
        <w:t xml:space="preserve">    nonprod_quota_used(R) + (requested_vm_count × vCPU) &gt; effective_nonprod_ceiling(R)</w:t>
      </w:r>
    </w:p>
    <w:p>
      <w:pPr>
        <w:pStyle w:val="FirstParagraph"/>
      </w:pPr>
      <w:r>
        <w:t xml:space="preserve">HC-3 checks raw group headroom; HC-7 additionally enforces floor compliance. Both must pass. On breach:</w:t>
      </w:r>
      <w:r>
        <w:t xml:space="preserve"> </w:t>
      </w:r>
      <w:r>
        <w:t xml:space="preserve">emit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(Critical severity).</w:t>
      </w:r>
    </w:p>
    <w:bookmarkEnd w:id="37"/>
    <w:bookmarkStart w:id="38" w:name="minimum-headroom-policy-defaults-decided"/>
    <w:p>
      <w:pPr>
        <w:pStyle w:val="Heading3"/>
      </w:pPr>
      <w:r>
        <w:t xml:space="preserve">Minimum-headroom policy defaults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min_prod_quota_headroom_vcpu    = 20</w:t>
      </w:r>
      <w:r>
        <w:br/>
      </w:r>
      <w:r>
        <w:rPr>
          <w:rStyle w:val="VerbatimChar"/>
        </w:rPr>
        <w:t xml:space="preserve">min_nonprod_quota_headroom_vcpu = 20</w:t>
      </w:r>
      <w:r>
        <w:br/>
      </w:r>
      <w:r>
        <w:rPr>
          <w:rStyle w:val="VerbatimChar"/>
        </w:rPr>
        <w:t xml:space="preserve">min_dr_headroom_vcpu            = 16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scenario-8-quota-group-sizing-per-region"/>
    <w:p>
      <w:pPr>
        <w:pStyle w:val="Heading2"/>
      </w:pPr>
      <w:r>
        <w:t xml:space="preserve">Scenario 8 — Quota Group Sizing (per Region)</w:t>
      </w:r>
    </w:p>
    <w:p>
      <w:pPr>
        <w:pStyle w:val="FirstParagraph"/>
      </w:pPr>
      <w:r>
        <w:t xml:space="preserve">Every managed region has exactly two Azure Quota Groups.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Prod_Group_Limit(region) =</w:t>
      </w:r>
      <w:r>
        <w:br/>
      </w:r>
      <w:r>
        <w:rPr>
          <w:rStyle w:val="VerbatimChar"/>
        </w:rPr>
        <w:t xml:space="preserve">    Prod_CRG_quantity × vCPU × (1 + prod_growth_buffer)</w:t>
      </w:r>
      <w:r>
        <w:br/>
      </w:r>
      <w:r>
        <w:rPr>
          <w:rStyle w:val="VerbatimChar"/>
        </w:rPr>
        <w:t xml:space="preserve">    prod_growth_buffer = 0.20</w:t>
      </w:r>
      <w:r>
        <w:br/>
      </w:r>
      <w:r>
        <w:br/>
      </w:r>
      <w:r>
        <w:rPr>
          <w:rStyle w:val="VerbatimChar"/>
        </w:rPr>
        <w:t xml:space="preserve">NonProd_DR_Group_Limit(region) =</w:t>
      </w:r>
      <w:r>
        <w:br/>
      </w:r>
      <w:r>
        <w:rPr>
          <w:rStyle w:val="VerbatimChar"/>
        </w:rPr>
        <w:t xml:space="preserve">      NonProd_CRG_quantity × vCPU × (1 + nonprod_growth_buffer)</w:t>
      </w:r>
      <w:r>
        <w:br/>
      </w:r>
      <w:r>
        <w:rPr>
          <w:rStyle w:val="VerbatimChar"/>
        </w:rPr>
        <w:t xml:space="preserve">    + DR_CRG_quantity      × vCPU</w:t>
      </w:r>
      <w:r>
        <w:br/>
      </w:r>
      <w:r>
        <w:rPr>
          <w:rStyle w:val="VerbatimChar"/>
        </w:rPr>
        <w:t xml:space="preserve">    + emergency_transfer_headroom_vcpu</w:t>
      </w:r>
      <w:r>
        <w:br/>
      </w:r>
      <w:r>
        <w:br/>
      </w:r>
      <w:r>
        <w:rPr>
          <w:rStyle w:val="VerbatimChar"/>
        </w:rPr>
        <w:t xml:space="preserve">nonprod_growth_buffer          = 0.20</w:t>
      </w:r>
      <w:r>
        <w:br/>
      </w:r>
      <w:r>
        <w:rPr>
          <w:rStyle w:val="VerbatimChar"/>
        </w:rPr>
        <w:t xml:space="preserve">emergency_transfer_headroom_vcpu = max_emergency_transfer_qty × vCPU</w:t>
      </w:r>
      <w:r>
        <w:br/>
      </w:r>
      <w:r>
        <w:rPr>
          <w:rStyle w:val="VerbatimChar"/>
        </w:rPr>
        <w:t xml:space="preserve">max_emergency_transfer_qty       = potential_dr_demand × emergency_transfer_pct</w:t>
      </w:r>
      <w:r>
        <w:br/>
      </w:r>
      <w:r>
        <w:rPr>
          <w:rStyle w:val="VerbatimChar"/>
        </w:rPr>
        <w:t xml:space="preserve">emergency_transfer_pct           = 0.30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emergency_transfer_headroom_vcpu</w:t>
      </w:r>
      <w:r>
        <w:t xml:space="preserve"> </w:t>
      </w:r>
      <w:r>
        <w:t xml:space="preserve">term is what makes Tier 2 DR expansion quota-neutral within the</w:t>
      </w:r>
      <w:r>
        <w:t xml:space="preserve"> </w:t>
      </w:r>
      <w:r>
        <w:t xml:space="preserve">shared group.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Quota-as-governor principle (QUA-005):</w:t>
      </w:r>
      <w:r>
        <w:t xml:space="preserve"> </w:t>
      </w:r>
      <w:r>
        <w:t xml:space="preserve">quota allocation caps deployable capacity per product,</w:t>
      </w:r>
      <w:r>
        <w:t xml:space="preserve"> </w:t>
      </w:r>
      <w:r>
        <w:t xml:space="preserve">environment, subscription, region, and VM family. Teams must justify quota increases — unallocated pooled</w:t>
      </w:r>
      <w:r>
        <w:t xml:space="preserve"> </w:t>
      </w:r>
      <w:r>
        <w:t xml:space="preserve">quota is not automatically 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0"/>
    <w:bookmarkStart w:id="44" w:name="X1987bfd04e95713f8065c9f83024b1da6822277"/>
    <w:p>
      <w:pPr>
        <w:pStyle w:val="Heading2"/>
      </w:pPr>
      <w:r>
        <w:t xml:space="preserve">Scenario 9 — DR Floor Accounting (Engine-Enforced Sub-Limit) — Updated</w:t>
      </w:r>
    </w:p>
    <w:p>
      <w:pPr>
        <w:pStyle w:val="FirstParagraph"/>
      </w:pPr>
      <w:r>
        <w:t xml:space="preserve">Azure Quota Groups have no native intra-group sub-reservation; the engine enforces the DR floor by</w:t>
      </w:r>
      <w:r>
        <w:t xml:space="preserve"> </w:t>
      </w:r>
      <w:r>
        <w:t xml:space="preserve">arithmetic.</w:t>
      </w:r>
      <w:r>
        <w:t xml:space="preserve"> </w:t>
      </w:r>
      <w:r>
        <w:rPr>
          <w:rStyle w:val="VerbatimChar"/>
        </w:rPr>
        <w:t xml:space="preserve">[Decided]</w:t>
      </w:r>
    </w:p>
    <w:bookmarkStart w:id="41" w:name="accounting-formulas-decided"/>
    <w:p>
      <w:pPr>
        <w:pStyle w:val="Heading3"/>
      </w:pPr>
      <w:r>
        <w:t xml:space="preserve">Accounting formulas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DR_Floor_vCPU(region)     = Destination_DR_Requirement(region) × vCPU</w:t>
      </w:r>
      <w:r>
        <w:br/>
      </w:r>
      <w:r>
        <w:rPr>
          <w:rStyle w:val="VerbatimChar"/>
        </w:rPr>
        <w:t xml:space="preserve">                            [v2.2: uses max-not-sum formula from Scenario 17]</w:t>
      </w:r>
      <w:r>
        <w:br/>
      </w:r>
      <w:r>
        <w:rPr>
          <w:rStyle w:val="VerbatimChar"/>
        </w:rPr>
        <w:t xml:space="preserve">                            [v1: was potential_dr_demand × vCPU × dr_ratio_max — superseded]</w:t>
      </w:r>
      <w:r>
        <w:br/>
      </w:r>
      <w:r>
        <w:br/>
      </w:r>
      <w:r>
        <w:rPr>
          <w:rStyle w:val="VerbatimChar"/>
        </w:rPr>
        <w:t xml:space="preserve">Effective_NonProd_Ceiling = NonProd_DR_Group_Limit - DR_Floor_vCPU</w:t>
      </w:r>
      <w:r>
        <w:br/>
      </w:r>
      <w:r>
        <w:rPr>
          <w:rStyle w:val="VerbatimChar"/>
        </w:rPr>
        <w:t xml:space="preserve">NonProd_Headroom          = Effective_NonProd_Ceiling - NonProd_Used_vCPU</w:t>
      </w:r>
      <w:r>
        <w:br/>
      </w:r>
      <w:r>
        <w:rPr>
          <w:rStyle w:val="VerbatimChar"/>
        </w:rPr>
        <w:t xml:space="preserve">Group_Headroom            = Group_Limit - Group_Used</w:t>
      </w:r>
      <w:r>
        <w:br/>
      </w:r>
      <w:r>
        <w:rPr>
          <w:rStyle w:val="VerbatimChar"/>
        </w:rPr>
        <w:t xml:space="preserve">dr_crg.coverage_ratio     = dr_crg.quantity / Destination_DR_Requirement(region)</w:t>
      </w:r>
    </w:p>
    <w:p>
      <w:pPr>
        <w:pStyle w:val="BlockText"/>
      </w:pPr>
      <w:r>
        <w:rPr>
          <w:bCs/>
          <w:b/>
        </w:rPr>
        <w:t xml:space="preserve">v2.2 change:</w:t>
      </w:r>
      <w:r>
        <w:t xml:space="preserve"> </w:t>
      </w:r>
      <w:r>
        <w:rPr>
          <w:rStyle w:val="VerbatimChar"/>
        </w:rPr>
        <w:t xml:space="preserve">DR_Floor_vCPU</w:t>
      </w:r>
      <w:r>
        <w:t xml:space="preserve"> </w:t>
      </w:r>
      <w:r>
        <w:t xml:space="preserve">is no longer derived from</w:t>
      </w:r>
      <w:r>
        <w:t xml:space="preserve"> </w:t>
      </w:r>
      <w:r>
        <w:rPr>
          <w:rStyle w:val="VerbatimChar"/>
        </w:rPr>
        <w:t xml:space="preserve">potential_dr_demand × dr_ratio_max</w:t>
      </w:r>
      <w:r>
        <w:t xml:space="preserve">.</w:t>
      </w:r>
      <w:r>
        <w:t xml:space="preserve"> </w:t>
      </w:r>
      <w:r>
        <w:t xml:space="preserve">It is now derived from</w:t>
      </w:r>
      <w:r>
        <w:t xml:space="preserve"> </w:t>
      </w:r>
      <w:r>
        <w:rPr>
          <w:rStyle w:val="VerbatimChar"/>
        </w:rPr>
        <w:t xml:space="preserve">Destination_DR_Requirement(region)</w:t>
      </w:r>
      <w:r>
        <w:t xml:space="preserve"> </w:t>
      </w:r>
      <w:r>
        <w:t xml:space="preserve">— the max-not-sum value from Scenario 17.</w:t>
      </w:r>
      <w:r>
        <w:t xml:space="preserve"> </w:t>
      </w:r>
      <w:r>
        <w:t xml:space="preserve">This aligns the floor with the lean bootstrap model (DR-007) and the distributed DR topology (DR-016).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dr_ratio_max = 0.40</w:t>
      </w:r>
      <w:r>
        <w:t xml:space="preserve"> </w:t>
      </w:r>
      <w:r>
        <w:t xml:space="preserve">constant is retained in Scenario 15 for legacy reference only.</w:t>
      </w:r>
    </w:p>
    <w:bookmarkEnd w:id="41"/>
    <w:bookmarkStart w:id="42" w:name="dual-validation-control-decided"/>
    <w:p>
      <w:pPr>
        <w:pStyle w:val="Heading3"/>
      </w:pPr>
      <w:r>
        <w:t xml:space="preserve">Dual-validation control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 separate detector recomputes the DR floor from authoritative assignment data; any disagreement between</w:t>
      </w:r>
      <w:r>
        <w:t xml:space="preserve"> </w:t>
      </w:r>
      <w:r>
        <w:t xml:space="preserve">command-time and detector values disables automatic NonProd expansion until reconciled.</w:t>
      </w:r>
    </w:p>
    <w:bookmarkEnd w:id="42"/>
    <w:bookmarkStart w:id="43" w:name="worked-topology-example-decided"/>
    <w:p>
      <w:pPr>
        <w:pStyle w:val="Heading3"/>
      </w:pPr>
      <w:r>
        <w:t xml:space="preserve">Worked topology example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 group          = 128 vCPU  (32 × D4s_v3, 4 vCPU each)</w:t>
      </w:r>
      <w:r>
        <w:br/>
      </w:r>
      <w:r>
        <w:rPr>
          <w:rStyle w:val="VerbatimChar"/>
        </w:rPr>
        <w:t xml:space="preserve">NonProdDR group     =  80 vCPU</w:t>
      </w:r>
      <w:r>
        <w:br/>
      </w:r>
      <w:r>
        <w:rPr>
          <w:rStyle w:val="VerbatimChar"/>
        </w:rPr>
        <w:t xml:space="preserve">DR floor            =  32 vCPU   (= Destination_DR_Requirement for this region)</w:t>
      </w:r>
      <w:r>
        <w:br/>
      </w:r>
      <w:r>
        <w:rPr>
          <w:rStyle w:val="VerbatimChar"/>
        </w:rPr>
        <w:t xml:space="preserve">Effective NonProd ceiling = 48 vCPU  (80 - 32)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ca742342fb9d7ba19481af912bb7724261a3e15"/>
    <w:p>
      <w:pPr>
        <w:pStyle w:val="Heading2"/>
      </w:pPr>
      <w:r>
        <w:t xml:space="preserve">Scenario 10 — Environment Quota Scoring (β Component Detail)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is dispatched by environment type.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Quota_Score_Prod(r)    = prod_group_headroom_vcpu   / prod_group_limit_vcpu</w:t>
      </w:r>
      <w:r>
        <w:br/>
      </w:r>
      <w:r>
        <w:rPr>
          <w:rStyle w:val="VerbatimChar"/>
        </w:rPr>
        <w:t xml:space="preserve">Quota_Score_NonProd(r) = nonprod_headroom_vcpu       / effective_nonprod_ceiling_vcpu</w:t>
      </w:r>
      <w:r>
        <w:br/>
      </w:r>
      <w:r>
        <w:rPr>
          <w:rStyle w:val="VerbatimChar"/>
        </w:rPr>
        <w:t xml:space="preserve">Quota_Score_DR(r)      = dr_headroom_vcpu            / dr_floor_vcpu</w:t>
      </w:r>
    </w:p>
    <w:p>
      <w:pPr>
        <w:pStyle w:val="FirstParagraph"/>
      </w:pPr>
      <w:r>
        <w:t xml:space="preserve">Semantics differ by type: a DR score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maximum expansion room (DR CRG at zero), not</w:t>
      </w:r>
      <w:r>
        <w:t xml:space="preserve"> </w:t>
      </w:r>
      <w:r>
        <w:t xml:space="preserve">maximum quota consumed. Zero-denominator guards apply.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5"/>
    <w:bookmarkStart w:id="46" w:name="scenario-11-capacity-forecast-cr-sizing"/>
    <w:p>
      <w:pPr>
        <w:pStyle w:val="Heading2"/>
      </w:pPr>
      <w:r>
        <w:t xml:space="preserve">Scenario 11 — Capacity Forecast / CR Sizing</w:t>
      </w:r>
    </w:p>
    <w:p>
      <w:pPr>
        <w:pStyle w:val="FirstParagraph"/>
      </w:pPr>
      <w:r>
        <w:t xml:space="preserve">Advisory forecast used to size CR quantity over a horizon — the</w:t>
      </w:r>
      <w:r>
        <w:t xml:space="preserve"> </w:t>
      </w:r>
      <w:r>
        <w:rPr>
          <w:bCs/>
          <w:b/>
        </w:rPr>
        <w:t xml:space="preserve">proactive growth path</w:t>
      </w:r>
      <w:r>
        <w:t xml:space="preserve">, distinct from</w:t>
      </w:r>
      <w:r>
        <w:t xml:space="preserve"> </w:t>
      </w:r>
      <w:r>
        <w:t xml:space="preserve">the continuous reconciliation floor (Scenario 16).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  <w:r>
        <w:br/>
      </w:r>
      <w:r>
        <w:br/>
      </w:r>
      <w:r>
        <w:rPr>
          <w:rStyle w:val="VerbatimChar"/>
        </w:rPr>
        <w:t xml:space="preserve">Forecast_Peak    = predicted peak allocated-VM demand in the horizon          [Derived]</w:t>
      </w:r>
      <w:r>
        <w:br/>
      </w:r>
      <w:r>
        <w:rPr>
          <w:rStyle w:val="VerbatimChar"/>
        </w:rPr>
        <w:t xml:space="preserve">Growth_Buffer    = policy % for forecast uncertainty                          [Assumed]</w:t>
      </w:r>
      <w:r>
        <w:br/>
      </w:r>
      <w:r>
        <w:rPr>
          <w:rStyle w:val="VerbatimChar"/>
        </w:rPr>
        <w:t xml:space="preserve">DR_Buffer        = extra units required by approved recovery policy           [Assumed]</w:t>
      </w:r>
      <w:r>
        <w:br/>
      </w:r>
      <w:r>
        <w:rPr>
          <w:rStyle w:val="VerbatimChar"/>
        </w:rPr>
        <w:t xml:space="preserve">Forecast_Horizon ∈ { 30, 60, 90 } days                                       [Assumed]</w:t>
      </w:r>
    </w:p>
    <w:p>
      <w:pPr>
        <w:pStyle w:val="FirstParagraph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80% of quota limit,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t xml:space="preserve">Forecast recommendations remain advisory until model accuracy and false-positive rates are measured.</w:t>
      </w:r>
      <w:r>
        <w:t xml:space="preserve"> </w:t>
      </w:r>
      <w:r>
        <w:t xml:space="preserve">The horizon and buffer values are policy percentages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not fixed constants.</w:t>
      </w:r>
    </w:p>
    <w:p>
      <w:r>
        <w:pict>
          <v:rect style="width:0;height:1.5pt" o:hralign="center" o:hrstd="t" o:hr="t"/>
        </w:pict>
      </w:r>
    </w:p>
    <w:bookmarkEnd w:id="46"/>
    <w:bookmarkStart w:id="48" w:name="Xbee338c6e77a082e45128efcc8dd6933443aada"/>
    <w:p>
      <w:pPr>
        <w:pStyle w:val="Heading2"/>
      </w:pPr>
      <w:r>
        <w:t xml:space="preserve">Scenario 12 — Auto-Increase Trigger (Steady-State Capacity Lifecycle)</w:t>
      </w:r>
    </w:p>
    <w:p>
      <w:pPr>
        <w:pStyle w:val="FirstParagraph"/>
      </w:pPr>
      <w:r>
        <w:t xml:space="preserve">When utilisation crosses a threshold,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is raised.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Trigger auto-increase when utilisation ≥ threshold:</w:t>
      </w:r>
      <w:r>
        <w:br/>
      </w:r>
      <w:r>
        <w:rPr>
          <w:rStyle w:val="VerbatimChar"/>
        </w:rPr>
        <w:t xml:space="preserve">    dr_autoincrease_threshold           = 0.35</w:t>
      </w:r>
      <w:r>
        <w:br/>
      </w:r>
      <w:r>
        <w:rPr>
          <w:rStyle w:val="VerbatimChar"/>
        </w:rPr>
        <w:t xml:space="preserve">    prod_autoincrease_threshold         = 0.20</w:t>
      </w:r>
      <w:r>
        <w:br/>
      </w:r>
      <w:r>
        <w:rPr>
          <w:rStyle w:val="VerbatimChar"/>
        </w:rPr>
        <w:t xml:space="preserve">    nonprod_autoincrease_threshold      = 0.20</w:t>
      </w:r>
      <w:r>
        <w:br/>
      </w:r>
      <w:r>
        <w:br/>
      </w:r>
      <w:r>
        <w:rPr>
          <w:rStyle w:val="VerbatimChar"/>
        </w:rPr>
        <w:t xml:space="preserve">Debounce cooldown = 30 min per (region + CRG type) after any trigger</w:t>
      </w:r>
    </w:p>
    <w:p>
      <w:pPr>
        <w:pStyle w:val="FirstParagraph"/>
      </w:pPr>
      <w:r>
        <w:t xml:space="preserve">Phase 1 requires operator approval. Auto-decrease excluded from Phase 1. The steady-state lifecycle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engine mode (see ADR-003).</w:t>
      </w:r>
      <w:r>
        <w:t xml:space="preserve"> </w:t>
      </w:r>
      <w:r>
        <w:rPr>
          <w:rStyle w:val="VerbatimChar"/>
        </w:rPr>
        <w:t xml:space="preserve">[Decided]</w:t>
      </w:r>
    </w:p>
    <w:bookmarkStart w:id="47" w:name="X9d309608ea9a2cb35420a8376bdef26fe2928a5"/>
    <w:p>
      <w:pPr>
        <w:pStyle w:val="Heading3"/>
      </w:pPr>
      <w:r>
        <w:t xml:space="preserve">Normative 10-step steady-state capacity lifecycle</w:t>
      </w:r>
    </w:p>
    <w:p>
      <w:pPr>
        <w:numPr>
          <w:ilvl w:val="0"/>
          <w:numId w:val="1004"/>
        </w:numPr>
        <w:pStyle w:val="Compact"/>
      </w:pPr>
      <w:r>
        <w:t xml:space="preserve">Detect threshold crossing.</w:t>
      </w:r>
    </w:p>
    <w:p>
      <w:pPr>
        <w:numPr>
          <w:ilvl w:val="0"/>
          <w:numId w:val="1004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04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floor, whichever is higher).</w:t>
      </w:r>
    </w:p>
    <w:p>
      <w:pPr>
        <w:numPr>
          <w:ilvl w:val="0"/>
          <w:numId w:val="1004"/>
        </w:numPr>
        <w:pStyle w:val="Compact"/>
      </w:pPr>
      <w:r>
        <w:t xml:space="preserve">Require operator approval (Phase 1).</w:t>
      </w:r>
    </w:p>
    <w:p>
      <w:pPr>
        <w:numPr>
          <w:ilvl w:val="0"/>
          <w:numId w:val="1004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04"/>
        </w:numPr>
        <w:pStyle w:val="Compact"/>
      </w:pPr>
      <w:r>
        <w:t xml:space="preserve">Wait for confirmed quota state — no assumed propagation SLA.</w:t>
      </w:r>
    </w:p>
    <w:p>
      <w:pPr>
        <w:numPr>
          <w:ilvl w:val="0"/>
          <w:numId w:val="1004"/>
        </w:numPr>
        <w:pStyle w:val="Compact"/>
      </w:pPr>
      <w:r>
        <w:t xml:space="preserve">Update CR quantity.</w:t>
      </w:r>
    </w:p>
    <w:p>
      <w:pPr>
        <w:numPr>
          <w:ilvl w:val="0"/>
          <w:numId w:val="1004"/>
        </w:numPr>
        <w:pStyle w:val="Compact"/>
      </w:pPr>
      <w:r>
        <w:t xml:space="preserve">Confirm the actual quantity.</w:t>
      </w:r>
    </w:p>
    <w:p>
      <w:pPr>
        <w:numPr>
          <w:ilvl w:val="0"/>
          <w:numId w:val="1004"/>
        </w:numPr>
        <w:pStyle w:val="Compact"/>
      </w:pPr>
      <w:r>
        <w:t xml:space="preserve">Refresh the snapshot and close the request.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X39d36b000215781ebb6b0df35c4dac6d58fbcc0"/>
    <w:p>
      <w:pPr>
        <w:pStyle w:val="Heading2"/>
      </w:pPr>
      <w:r>
        <w:t xml:space="preserve">Scenario 13 — Emergency Transfer &amp; Tier Escalation (DR Event Active)</w:t>
      </w:r>
    </w:p>
    <w:p>
      <w:pPr>
        <w:pStyle w:val="FirstParagraph"/>
      </w:pPr>
      <w:r>
        <w:t xml:space="preserve">During an active DR event (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engine mode), emergency capacity is obtained by tier.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Tier 1  DirectExpansion       — additive DR expansion using existing headroom. Automated.</w:t>
      </w:r>
      <w:r>
        <w:br/>
      </w:r>
      <w:r>
        <w:rPr>
          <w:rStyle w:val="VerbatimChar"/>
        </w:rPr>
        <w:t xml:space="preserve">Tier 2  QuotaNeutralTransfer  — reduce NonProd CR, expand DR within the SAME quota group.</w:t>
      </w:r>
      <w:r>
        <w:br/>
      </w:r>
      <w:r>
        <w:rPr>
          <w:rStyle w:val="VerbatimChar"/>
        </w:rPr>
        <w:t xml:space="preserve">                                Policy-gated. Quota-neutral (see below).</w:t>
      </w:r>
      <w:r>
        <w:br/>
      </w:r>
      <w:r>
        <w:rPr>
          <w:rStyle w:val="VerbatimChar"/>
        </w:rPr>
        <w:t xml:space="preserve">Tier 3  DestructiveTransfer   — changes VM associations. Dual-approval + elevated RBAC.</w:t>
      </w:r>
      <w:r>
        <w:br/>
      </w:r>
      <w:r>
        <w:rPr>
          <w:rStyle w:val="VerbatimChar"/>
        </w:rPr>
        <w:t xml:space="preserve">                                BLOCKED in Phase 1.</w:t>
      </w:r>
    </w:p>
    <w:bookmarkStart w:id="49" w:name="Xfa330f985a39889c607270b4bbe70500680b6f2"/>
    <w:p>
      <w:pPr>
        <w:pStyle w:val="Heading3"/>
      </w:pPr>
      <w:r>
        <w:t xml:space="preserve">Quota-neutral math for Tier 2</w:t>
      </w:r>
      <w:r>
        <w:t xml:space="preserve"> </w:t>
      </w:r>
      <w:r>
        <w:rPr>
          <w:rStyle w:val="VerbatimChar"/>
        </w:rPr>
        <w:t xml:space="preserve">[Derived — POC-31/32]</w:t>
      </w:r>
    </w:p>
    <w:p>
      <w:pPr>
        <w:pStyle w:val="SourceCode"/>
      </w:pPr>
      <w:r>
        <w:rPr>
          <w:rStyle w:val="VerbatimChar"/>
        </w:rPr>
        <w:t xml:space="preserve">Because NonProd CR and DR CR draw from the SAME NonProd+DR quota group:</w:t>
      </w:r>
      <w:r>
        <w:br/>
      </w:r>
      <w:r>
        <w:rPr>
          <w:rStyle w:val="VerbatimChar"/>
        </w:rPr>
        <w:t xml:space="preserve">    NonProd CR reduction → releases q × vCPU to the GROUP pool</w:t>
      </w:r>
      <w:r>
        <w:br/>
      </w:r>
      <w:r>
        <w:rPr>
          <w:rStyle w:val="VerbatimChar"/>
        </w:rPr>
        <w:t xml:space="preserve">    DR CR expansion      → consumes q × vCPU from the SAME GROUP pool</w:t>
      </w:r>
      <w:r>
        <w:br/>
      </w:r>
      <w:r>
        <w:rPr>
          <w:rStyle w:val="VerbatimChar"/>
        </w:rPr>
        <w:t xml:space="preserve">    Net group headroom change ≈ 0 → no Azure quota-increase request needed</w:t>
      </w:r>
      <w:r>
        <w:br/>
      </w:r>
      <w:r>
        <w:rPr>
          <w:rStyle w:val="VerbatimChar"/>
        </w:rPr>
        <w:t xml:space="preserve">    Tier RTO gated only by ARM operation time (minutes), not quota approval (hours)</w:t>
      </w:r>
      <w:r>
        <w:br/>
      </w:r>
      <w:r>
        <w:br/>
      </w:r>
      <w:r>
        <w:rPr>
          <w:rStyle w:val="VerbatimChar"/>
        </w:rPr>
        <w:t xml:space="preserve">max_emergency_transfer_qty = potential_dr_demand × emergency_transfer_pct  (pct = 0.30)</w:t>
      </w:r>
    </w:p>
    <w:p>
      <w:pPr>
        <w:pStyle w:val="FirstParagraph"/>
      </w:pPr>
      <w:r>
        <w:t xml:space="preserve">Escalation order:</w:t>
      </w:r>
      <w:r>
        <w:t xml:space="preserve"> </w:t>
      </w:r>
      <w:r>
        <w:rPr>
          <w:rStyle w:val="VerbatimChar"/>
        </w:rPr>
        <w:t xml:space="preserve">Tier 1 headroom available? → Tier 2 approved? → Tier 3 allowed? → 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scenario-14-scaling-api-budget-model"/>
    <w:p>
      <w:pPr>
        <w:pStyle w:val="Heading2"/>
      </w:pPr>
      <w:r>
        <w:t xml:space="preserve">Scenario 14 — Scaling &amp; API-Budget Model</w:t>
      </w:r>
    </w:p>
    <w:p>
      <w:pPr>
        <w:pStyle w:val="FirstParagraph"/>
      </w:pPr>
      <w:r>
        <w:t xml:space="preserve">Used to size the estate and stay within Azure Resource Manager throttling budgets.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CRG_lower_bound = 3 × R                    # 3 CRGs (Prod/NonProd/DR) per region</w:t>
      </w:r>
      <w:r>
        <w:br/>
      </w:r>
      <w:r>
        <w:rPr>
          <w:rStyle w:val="VerbatimChar"/>
        </w:rPr>
        <w:t xml:space="preserve">CRG_total       = R × Eclass × Z × SKUset × IsolationFactor</w:t>
      </w:r>
      <w:r>
        <w:br/>
      </w:r>
      <w:r>
        <w:br/>
      </w:r>
      <w:r>
        <w:rPr>
          <w:rStyle w:val="VerbatimChar"/>
        </w:rPr>
        <w:t xml:space="preserve">Requests_per_cycle = CRG_reads + CR_reads + sharing_reads + quota_reads + association_reads</w:t>
      </w:r>
      <w:r>
        <w:br/>
      </w:r>
      <w:r>
        <w:rPr>
          <w:rStyle w:val="VerbatimChar"/>
        </w:rPr>
        <w:t xml:space="preserve">Average_requests_per_second = Requests_per_cycle / 300           # 5-minute (300 s) cycle</w:t>
      </w:r>
    </w:p>
    <w:bookmarkStart w:id="51" w:name="X276a8714b4fbd220719cfc96fa1f4b7b812ea4e"/>
    <w:p>
      <w:pPr>
        <w:pStyle w:val="Heading3"/>
      </w:pPr>
      <w:r>
        <w:t xml:space="preserve">Documented ARM throttle baselines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Compute RP read  limit = 250   requests / 5 min / subscription</w:t>
      </w:r>
      <w:r>
        <w:br/>
      </w:r>
      <w:r>
        <w:rPr>
          <w:rStyle w:val="VerbatimChar"/>
        </w:rPr>
        <w:t xml:space="preserve">Compute RP write limit = 1,200 requests / hour  / subscription</w:t>
      </w:r>
    </w:p>
    <w:p>
      <w:pPr>
        <w:pStyle w:val="FirstParagraph"/>
      </w:pPr>
      <w:r>
        <w:t xml:space="preserve">The adaptive throttle manager initialises with these baselines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.</w:t>
      </w:r>
    </w:p>
    <w:bookmarkEnd w:id="51"/>
    <w:bookmarkStart w:id="52" w:name="reconciliation-cadence-assumed"/>
    <w:p>
      <w:pPr>
        <w:pStyle w:val="Heading3"/>
      </w:pPr>
      <w:r>
        <w:t xml:space="preserve">Reconciliation cadence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Reconciliation loop target       = 6 min (configurable; production interval TBD)</w:t>
      </w:r>
      <w:r>
        <w:br/>
      </w:r>
      <w:r>
        <w:rPr>
          <w:rStyle w:val="VerbatimChar"/>
        </w:rPr>
        <w:t xml:space="preserve">Critical targeted reconcile P95  &lt; 2 min</w:t>
      </w:r>
      <w:r>
        <w:br/>
      </w:r>
      <w:r>
        <w:rPr>
          <w:rStyle w:val="VerbatimChar"/>
        </w:rPr>
        <w:t xml:space="preserve">Stable-resource state age  P95   &lt; 15 min</w:t>
      </w:r>
      <w:r>
        <w:br/>
      </w:r>
      <w:r>
        <w:rPr>
          <w:rStyle w:val="VerbatimChar"/>
        </w:rPr>
        <w:t xml:space="preserve">Drift detection                  ≤ 2 reconciliation cycles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f12826e05eb28d7aa2d24729a6dde3274d42ed7"/>
    <w:p>
      <w:pPr>
        <w:pStyle w:val="Heading2"/>
      </w:pPr>
      <w:r>
        <w:t xml:space="preserve">Scenario 15 — DR Ratio Parameters (Fixed %) —</w:t>
      </w:r>
      <w:r>
        <w:t xml:space="preserve"> </w:t>
      </w:r>
      <w:r>
        <w:rPr>
          <w:bCs/>
          <w:b/>
        </w:rPr>
        <w:t xml:space="preserve">SUPERSEDED</w:t>
      </w:r>
    </w:p>
    <w:p>
      <w:pPr>
        <w:pStyle w:val="BlockText"/>
      </w:pPr>
      <w:r>
        <w:rPr>
          <w:bCs/>
          <w:b/>
        </w:rPr>
        <w:t xml:space="preserve">Status: Superseded by Scenario 17 (max-not-sum).</w:t>
      </w:r>
      <w:r>
        <w:t xml:space="preserve"> </w:t>
      </w:r>
      <w:r>
        <w:t xml:space="preserve">These constants are retained for configuration</w:t>
      </w:r>
      <w:r>
        <w:t xml:space="preserve"> </w:t>
      </w:r>
      <w:r>
        <w:t xml:space="preserve">reference and legacy comparison only. The fixed-percentage DR sizing model (</w:t>
      </w:r>
      <w:r>
        <w:rPr>
          <w:rStyle w:val="VerbatimChar"/>
        </w:rPr>
        <w:t xml:space="preserve">30–40% of Prod</w:t>
      </w:r>
      <w:r>
        <w:t xml:space="preserve">) was</w:t>
      </w:r>
      <w:r>
        <w:t xml:space="preserve"> </w:t>
      </w:r>
      <w:r>
        <w:t xml:space="preserve">rejected in Requirements v2.0/v2.1 because it produces idle reserves estimated at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— directly contradicting the cost-reduction mandate. See Appendix D of the</w:t>
      </w:r>
      <w:r>
        <w:t xml:space="preserve"> </w:t>
      </w:r>
      <w:r>
        <w:t xml:space="preserve">Requirements Baseline for the full derivation.</w:t>
      </w:r>
    </w:p>
    <w:p>
      <w:pPr>
        <w:pStyle w:val="SourceCode"/>
      </w:pPr>
      <w:r>
        <w:rPr>
          <w:rStyle w:val="VerbatimChar"/>
        </w:rPr>
        <w:t xml:space="preserve">dr_ratio_min    = 0.30      [superseded — was HC-6 lower bound]</w:t>
      </w:r>
      <w:r>
        <w:br/>
      </w:r>
      <w:r>
        <w:rPr>
          <w:rStyle w:val="VerbatimChar"/>
        </w:rPr>
        <w:t xml:space="preserve">dr_ratio_max    = 0.40      [superseded — was DR_Floor_vCPU multiplier]</w:t>
      </w:r>
      <w:r>
        <w:br/>
      </w:r>
      <w:r>
        <w:rPr>
          <w:rStyle w:val="VerbatimChar"/>
        </w:rPr>
        <w:t xml:space="preserve">dr_ratio_target = [0.30, 0.40]   [superseded — now: configurable bootstrap per product/workload]</w:t>
      </w:r>
      <w:r>
        <w:br/>
      </w:r>
      <w:r>
        <w:rPr>
          <w:rStyle w:val="VerbatimChar"/>
        </w:rPr>
        <w:t xml:space="preserve">emergency_transfer_pct = 0.30    [still current — Scenario 13]</w:t>
      </w:r>
      <w:r>
        <w:br/>
      </w:r>
      <w:r>
        <w:rPr>
          <w:rStyle w:val="VerbatimChar"/>
        </w:rPr>
        <w:t xml:space="preserve">prod_growth_buffer     = 0.20    [still current — Scenario 8]</w:t>
      </w:r>
      <w:r>
        <w:br/>
      </w:r>
      <w:r>
        <w:rPr>
          <w:rStyle w:val="VerbatimChar"/>
        </w:rPr>
        <w:t xml:space="preserve">nonprod_growth_buffer  = 0.20    [still current — Scenario 8]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 in the Configurable Items Register) remains available for specific customers or</w:t>
      </w:r>
      <w:r>
        <w:t xml:space="preserve"> </w:t>
      </w:r>
      <w:r>
        <w:t xml:space="preserve">geographies that contractually require protection against concurrent regional failures. All other scopes</w:t>
      </w:r>
      <w:r>
        <w:t xml:space="preserve"> </w:t>
      </w:r>
      <w:r>
        <w:t xml:space="preserve">use the max-not-sum formula (Scenario 17).</w:t>
      </w:r>
    </w:p>
    <w:p>
      <w:r>
        <w:pict>
          <v:rect style="width:0;height:1.5pt" o:hralign="center" o:hrstd="t" o:hr="t"/>
        </w:pict>
      </w:r>
    </w:p>
    <w:bookmarkEnd w:id="54"/>
    <w:bookmarkStart w:id="60" w:name="Xd5f06ccc6261805ddb917ea51ac3bb90329456a"/>
    <w:p>
      <w:pPr>
        <w:pStyle w:val="Heading2"/>
      </w:pPr>
      <w:r>
        <w:t xml:space="preserve">Scenario 16 — Reservation Target &amp; Reconciliation Floor (CAP-003)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reconciliation cycle compares current reserved quantity against this floor.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continuous floor formula</w:t>
      </w:r>
      <w:r>
        <w:t xml:space="preserve"> </w:t>
      </w:r>
      <w:r>
        <w:t xml:space="preserve">— distinct from the forecast-based growth formula (Scenario 11).</w:t>
      </w:r>
    </w:p>
    <w:bookmarkStart w:id="55" w:name="a.1-reservation-target-cap-003-decided"/>
    <w:p>
      <w:pPr>
        <w:pStyle w:val="Heading3"/>
      </w:pPr>
      <w:r>
        <w:t xml:space="preserve">A.1 Reservation target (CAP-003)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Allocated VM Count</w:t>
      </w:r>
      <w:r>
        <w:t xml:space="preserve"> </w:t>
      </w:r>
      <w:r>
        <w:t xml:space="preserve">= VMs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 compute capacity.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Configured Buffer</w:t>
      </w:r>
      <w:r>
        <w:t xml:space="preserve"> </w:t>
      </w:r>
      <w:r>
        <w:t xml:space="preserve">= policy-defined headroom above allocated demand. Tunable per</w:t>
      </w:r>
      <w:r>
        <w:t xml:space="preserve"> </w:t>
      </w:r>
      <w:r>
        <w:t xml:space="preserve">product/region/env/SKU. Not hard-coded.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Associated-but-deallocated VMs</w:t>
      </w:r>
      <w:r>
        <w:t xml:space="preserve"> </w:t>
      </w:r>
      <w:r>
        <w:t xml:space="preserve">do not force reservation retention (CAP-004). They are reported</w:t>
      </w:r>
      <w:r>
        <w:t xml:space="preserve"> </w:t>
      </w:r>
      <w:r>
        <w:t xml:space="preserve">separately so teams understand restart risk, but do not add to the target.</w:t>
      </w:r>
    </w:p>
    <w:bookmarkEnd w:id="55"/>
    <w:bookmarkStart w:id="56" w:name="a.2-reservation-headroom"/>
    <w:p>
      <w:pPr>
        <w:pStyle w:val="Heading3"/>
      </w:pPr>
      <w:r>
        <w:t xml:space="preserve">A.2 Reservation headroom</w:t>
      </w:r>
    </w:p>
    <w:p>
      <w:pPr>
        <w:pStyle w:val="SourceCode"/>
      </w:pPr>
      <w:r>
        <w:rPr>
          <w:rStyle w:val="VerbatimChar"/>
        </w:rPr>
        <w:t xml:space="preserve">Reservation Headroom = Reserved Quantity - Allocated VM Count</w:t>
      </w:r>
    </w:p>
    <w:bookmarkEnd w:id="56"/>
    <w:bookmarkStart w:id="57" w:name="a.3-reservation-deficit"/>
    <w:p>
      <w:pPr>
        <w:pStyle w:val="Heading3"/>
      </w:pPr>
      <w:r>
        <w:t xml:space="preserve">A.3 Reservation deficit</w:t>
      </w:r>
    </w:p>
    <w:p>
      <w:pPr>
        <w:pStyle w:val="SourceCode"/>
      </w:pPr>
      <w:r>
        <w:rPr>
          <w:rStyle w:val="VerbatimChar"/>
        </w:rPr>
        <w:t xml:space="preserve">Reservation Deficit = max(0, Target Reserved Capacity - Reserved Quantity)</w:t>
      </w:r>
    </w:p>
    <w:bookmarkEnd w:id="57"/>
    <w:bookmarkStart w:id="58" w:name="reconciliation-decision-logic-decided"/>
    <w:p>
      <w:pPr>
        <w:pStyle w:val="Heading3"/>
      </w:pPr>
      <w:r>
        <w:t xml:space="preserve">Reconciliation decision logic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Reserved Quantity &lt; Target Reserved Capacity:</w:t>
      </w:r>
      <w:r>
        <w:br/>
      </w:r>
      <w:r>
        <w:rPr>
          <w:rStyle w:val="VerbatimChar"/>
        </w:rPr>
        <w:t xml:space="preserve">    RAISE reservation (scale-up) toward target, subject to Azure availability.</w:t>
      </w:r>
      <w:r>
        <w:br/>
      </w:r>
      <w:r>
        <w:rPr>
          <w:rStyle w:val="VerbatimChar"/>
        </w:rPr>
        <w:t xml:space="preserve">    IF Azure cannot supply: hold current state, RAISE alert, expose buffer deficit.</w:t>
      </w:r>
      <w:r>
        <w:br/>
      </w:r>
      <w:r>
        <w:br/>
      </w:r>
      <w:r>
        <w:rPr>
          <w:rStyle w:val="VerbatimChar"/>
        </w:rPr>
        <w:t xml:space="preserve">IF Reserved Quantity &gt; Target Reserved Capacity (consistently, after minimum-hold interval):</w:t>
      </w:r>
      <w:r>
        <w:br/>
      </w:r>
      <w:r>
        <w:rPr>
          <w:rStyle w:val="VerbatimChar"/>
        </w:rPr>
        <w:t xml:space="preserve">    LOWER reservation toward target — ONLY when all guards pass:</w:t>
      </w:r>
      <w:r>
        <w:br/>
      </w:r>
      <w:r>
        <w:rPr>
          <w:rStyle w:val="VerbatimChar"/>
        </w:rPr>
        <w:t xml:space="preserve">        - current_reserved &gt; allocated_count         (never below allocated)</w:t>
      </w:r>
      <w:r>
        <w:br/>
      </w:r>
      <w:r>
        <w:rPr>
          <w:rStyle w:val="VerbatimChar"/>
        </w:rPr>
        <w:t xml:space="preserve">        - not within DR protection window</w:t>
      </w:r>
      <w:r>
        <w:br/>
      </w:r>
      <w:r>
        <w:rPr>
          <w:rStyle w:val="VerbatimChar"/>
        </w:rPr>
        <w:t xml:space="preserve">        - no active maintenance exclusion</w:t>
      </w:r>
      <w:r>
        <w:br/>
      </w:r>
      <w:r>
        <w:rPr>
          <w:rStyle w:val="VerbatimChar"/>
        </w:rPr>
        <w:t xml:space="preserve">        - cost policy permits reduction</w:t>
      </w:r>
    </w:p>
    <w:bookmarkEnd w:id="58"/>
    <w:bookmarkStart w:id="59" w:name="X3849650153cde5689399e17bc1aa2999aedeb41"/>
    <w:p>
      <w:pPr>
        <w:pStyle w:val="Heading3"/>
      </w:pPr>
      <w:r>
        <w:t xml:space="preserve">Zero-capacity and no-auto-delete policy (CAP-009/010)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Reduce an unused managed reservation to ZERO; do NOT delete the reservation object.</w:t>
      </w:r>
      <w:r>
        <w:br/>
      </w:r>
      <w:r>
        <w:rPr>
          <w:rStyle w:val="VerbatimChar"/>
        </w:rPr>
        <w:t xml:space="preserve">Normal reconciliation NEVER deletes CRGs or reservation definitions.</w:t>
      </w:r>
      <w:r>
        <w:br/>
      </w:r>
      <w:r>
        <w:rPr>
          <w:rStyle w:val="VerbatimChar"/>
        </w:rPr>
        <w:t xml:space="preserve">Deletion uses a separate approved decommissioning workflow only.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Xae4192c8a6cfbd93ff9ca53e8e1fe7025e4a53d"/>
    <w:p>
      <w:pPr>
        <w:pStyle w:val="Heading2"/>
      </w:pPr>
      <w:r>
        <w:t xml:space="preserve">Scenario 17 — DR Destination Requirement — Max-Not-Sum (A.6/DR-017) — New</w:t>
      </w:r>
    </w:p>
    <w:p>
      <w:pPr>
        <w:pStyle w:val="FirstParagraph"/>
      </w:pPr>
      <w:r>
        <w:rPr>
          <w:bCs/>
          <w:b/>
        </w:rPr>
        <w:t xml:space="preserve">This scenario replaces the fixed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dr_ratio_*</w:t>
      </w:r>
      <w:r>
        <w:rPr>
          <w:bCs/>
          <w:b/>
        </w:rPr>
        <w:t xml:space="preserve"> </w:t>
      </w:r>
      <w:r>
        <w:rPr>
          <w:bCs/>
          <w:b/>
        </w:rPr>
        <w:t xml:space="preserve">sizing in Scenario 15.</w:t>
      </w:r>
    </w:p>
    <w:bookmarkStart w:id="61" w:name="X97f26ea90d0c621afe497b354aca2b5d85c4d27"/>
    <w:p>
      <w:pPr>
        <w:pStyle w:val="Heading3"/>
      </w:pPr>
      <w:r>
        <w:t xml:space="preserve">The single-failure assumption (DR-001)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programme plans for failure of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production region within a geography at a time. Simultaneous</w:t>
      </w:r>
      <w:r>
        <w:t xml:space="preserve"> </w:t>
      </w:r>
      <w:r>
        <w:t xml:space="preserve">multi-region failure is outside the default guaranteed model.</w:t>
      </w:r>
    </w:p>
    <w:bookmarkEnd w:id="61"/>
    <w:bookmarkStart w:id="62" w:name="X2988676ab8f9c2a2bd14c0482ddc57d3a7a19e4"/>
    <w:p>
      <w:pPr>
        <w:pStyle w:val="Heading3"/>
      </w:pPr>
      <w:r>
        <w:t xml:space="preserve">A.6 DR destination requirement — corrected formula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Destination_DR_Requirement(d)</w:t>
      </w:r>
      <w:r>
        <w:br/>
      </w:r>
      <w:r>
        <w:rPr>
          <w:rStyle w:val="VerbatimChar"/>
        </w:rPr>
        <w:t xml:space="preserve">  = MAX over each non-concurrent source region s protected by d (</w:t>
      </w:r>
      <w:r>
        <w:br/>
      </w:r>
      <w:r>
        <w:rPr>
          <w:rStyle w:val="VerbatimChar"/>
        </w:rPr>
        <w:t xml:space="preserve">        Workload_Portion(s → d)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destination region hosting DR standby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= source region whose production customers have DR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= the quantity of VMs/vCPUs from source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that are assigned to land in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on failover (from the source→destination DR index, DR-018)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because only one region fails at a time,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simultaneously hosts</w:t>
      </w:r>
      <w:r>
        <w:t xml:space="preserve"> </w:t>
      </w:r>
      <w:r>
        <w:t xml:space="preserve">failover from more than one source. It therefore needs standby capacity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</w:t>
      </w:r>
      <w:r>
        <w:t xml:space="preserve"> </w:t>
      </w:r>
      <w:r>
        <w:t xml:space="preserve">source only — never the sum of all sources. The standby slots are</w:t>
      </w:r>
      <w:r>
        <w:t xml:space="preserve"> </w:t>
      </w:r>
      <w:r>
        <w:rPr>
          <w:bCs/>
          <w:b/>
        </w:rPr>
        <w:t xml:space="preserve">shared / overcommitted</w:t>
      </w:r>
      <w:r>
        <w:t xml:space="preserve"> </w:t>
      </w:r>
      <w:r>
        <w:t xml:space="preserve">across</w:t>
      </w:r>
      <w:r>
        <w:t xml:space="preserve"> </w:t>
      </w:r>
      <w:r>
        <w:t xml:space="preserve">mutually exclusive failure events.</w:t>
      </w:r>
      <w:r>
        <w:t xml:space="preserve"> </w:t>
      </w:r>
      <w:r>
        <w:rPr>
          <w:rStyle w:val="VerbatimChar"/>
        </w:rPr>
        <w:t xml:space="preserve">[Decided]</w:t>
      </w:r>
    </w:p>
    <w:bookmarkEnd w:id="62"/>
    <w:bookmarkStart w:id="63" w:name="a.7-dr-capacity-gap-decided"/>
    <w:p>
      <w:pPr>
        <w:pStyle w:val="Heading3"/>
      </w:pPr>
      <w:r>
        <w:t xml:space="preserve">A.7 DR capacity gap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DR_Capacity_Gap(d) = max(0,</w:t>
      </w:r>
      <w:r>
        <w:br/>
      </w:r>
      <w:r>
        <w:rPr>
          <w:rStyle w:val="VerbatimChar"/>
        </w:rPr>
        <w:t xml:space="preserve">    Destination_DR_Requirement(d) - Usable_Destination_Capacity(d)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</w:t>
      </w:r>
      <w:r>
        <w:t xml:space="preserve"> </w:t>
      </w:r>
      <w:r>
        <w:t xml:space="preserve">releasable CVAL capacity (after earmark check, Scenario 9/PLC-010), and capacity acquired through</w:t>
      </w:r>
      <w:r>
        <w:t xml:space="preserve"> </w:t>
      </w:r>
      <w:r>
        <w:t xml:space="preserve">approved sharing or expansion.</w:t>
      </w:r>
    </w:p>
    <w:bookmarkEnd w:id="63"/>
    <w:bookmarkStart w:id="64" w:name="Xbc42d59f09b90549faa5496221b1ced8e058774"/>
    <w:p>
      <w:pPr>
        <w:pStyle w:val="Heading3"/>
      </w:pPr>
      <w:r>
        <w:t xml:space="preserve">A.8 Shared-DR overcommit ratio (informational)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Overcommit_Ratio(d) = SUM(Workload_Portion(s → d) for all s) / MAX(Workload_Portion(s → d))</w:t>
      </w:r>
    </w:p>
    <w:p>
      <w:pPr>
        <w:pStyle w:val="FirstParagraph"/>
      </w:pPr>
      <w:r>
        <w:t xml:space="preserve">A ratio &gt; 1 quantifies: (a) the capacity and cost saved by max-not-sum sizing, and (b) the exposure if</w:t>
      </w:r>
      <w:r>
        <w:t xml:space="preserve"> </w:t>
      </w:r>
      <w:r>
        <w:t xml:space="preserve">the single-failure assumption is ever violated. Required input for POC-011 risk sign-off.</w:t>
      </w:r>
    </w:p>
    <w:bookmarkEnd w:id="64"/>
    <w:bookmarkStart w:id="65" w:name="X4830a67188c49cad28f305859e15d5c02df0ead"/>
    <w:p>
      <w:pPr>
        <w:pStyle w:val="Heading3"/>
      </w:pPr>
      <w:r>
        <w:t xml:space="preserve">Observability requirement (OBS-002)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Alert when a destination’s usable capacity falls below</w:t>
      </w:r>
      <w:r>
        <w:t xml:space="preserve"> </w:t>
      </w:r>
      <w:r>
        <w:rPr>
          <w:rStyle w:val="VerbatimChar"/>
        </w:rPr>
        <w:t xml:space="preserve">Destination_DR_Requirement(d)</w:t>
      </w:r>
      <w:r>
        <w:t xml:space="preserve"> </w:t>
      </w:r>
      <w:r>
        <w:t xml:space="preserve">— the max</w:t>
      </w:r>
      <w:r>
        <w:t xml:space="preserve"> </w:t>
      </w:r>
      <w:r>
        <w:t xml:space="preserve">protected source — not below the sum. Dashboard must show per-destination max-source coverage (OBS-004).</w:t>
      </w:r>
    </w:p>
    <w:bookmarkEnd w:id="65"/>
    <w:bookmarkStart w:id="66" w:name="conservative-sum-override-c-11-decided"/>
    <w:p>
      <w:pPr>
        <w:pStyle w:val="Heading3"/>
      </w:pPr>
      <w:r>
        <w:t xml:space="preserve">Conservative SUM override (C-11)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Destination_DR_Requirement_Conservative(d) = SUM(Workload_Portion(s → d) for all s)</w:t>
      </w:r>
    </w:p>
    <w:p>
      <w:pPr>
        <w:pStyle w:val="FirstParagraph"/>
      </w:pPr>
      <w:r>
        <w:t xml:space="preserve">Used only where a customer or geography contract explicitly requires protection against concurrent</w:t>
      </w:r>
      <w:r>
        <w:t xml:space="preserve"> </w:t>
      </w:r>
      <w:r>
        <w:t xml:space="preserve">regional failures. Configured per-scope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no code change required.</w:t>
      </w:r>
    </w:p>
    <w:bookmarkEnd w:id="66"/>
    <w:bookmarkStart w:id="67" w:name="X6161ea44e322b6b0d4d101b8fb7f94e9ad7a4a6"/>
    <w:p>
      <w:pPr>
        <w:pStyle w:val="Heading3"/>
      </w:pPr>
      <w:r>
        <w:t xml:space="preserve">Worked example (from Requirements Appendix D)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Region 2 holds DR standby for customers from Region 1 and Region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protected by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portion in 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1 (Cust1 + Cust5)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3 (Cust6)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cores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SUM sizing (old):  Requirement(R2) = 120 + 80 = 200 cores   ← over-provisions; superseded</w:t>
      </w:r>
      <w:r>
        <w:br/>
      </w:r>
      <w:r>
        <w:rPr>
          <w:rStyle w:val="VerbatimChar"/>
        </w:rPr>
        <w:t xml:space="preserve">MAX sizing (new):  Requirement(R2) = max(120, 80) = 120 cores</w:t>
      </w:r>
      <w:r>
        <w:br/>
      </w:r>
      <w:r>
        <w:br/>
      </w:r>
      <w:r>
        <w:rPr>
          <w:rStyle w:val="VerbatimChar"/>
        </w:rPr>
        <w:t xml:space="preserve">Saving at R2: 200 → 120 = 80 cores (40%) removed with no loss of protection.</w:t>
      </w:r>
      <w:r>
        <w:br/>
      </w:r>
      <w:r>
        <w:br/>
      </w:r>
      <w:r>
        <w:rPr>
          <w:rStyle w:val="VerbatimChar"/>
        </w:rPr>
        <w:t xml:space="preserve">Overcommit_Ratio(R2) = 200 / 120 ≈ 1.67</w:t>
      </w:r>
      <w:r>
        <w:br/>
      </w:r>
      <w:r>
        <w:rPr>
          <w:rStyle w:val="VerbatimChar"/>
        </w:rPr>
        <w:t xml:space="preserve">→ R2's shared standby is 1.67× oversubscribed.</w:t>
      </w:r>
      <w:r>
        <w:br/>
      </w:r>
      <w:r>
        <w:rPr>
          <w:rStyle w:val="VerbatimChar"/>
        </w:rPr>
        <w:t xml:space="preserve">→ Platform-wide extrapolation: ~40–50% standby reduction ≈ $0.6M–$2.5M/year saved.</w:t>
      </w:r>
    </w:p>
    <w:bookmarkEnd w:id="67"/>
    <w:bookmarkStart w:id="68" w:name="Xd437d0aa86aa8f15dfb53ce7831ca10b7f00eaf"/>
    <w:p>
      <w:pPr>
        <w:pStyle w:val="Heading3"/>
      </w:pPr>
      <w:r>
        <w:t xml:space="preserve">Source→Destination DR Index entity (DR-018)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max-not-sum formula depends on an authoritative bidirectional mapping — a required state-store entity:</w:t>
      </w:r>
    </w:p>
    <w:p>
      <w:pPr>
        <w:pStyle w:val="SourceCode"/>
      </w:pPr>
      <w:r>
        <w:rPr>
          <w:rStyle w:val="VerbatimChar"/>
        </w:rPr>
        <w:t xml:space="preserve">SourceDestinationDRIndex {</w:t>
      </w:r>
      <w:r>
        <w:br/>
      </w:r>
      <w:r>
        <w:rPr>
          <w:rStyle w:val="VerbatimChar"/>
        </w:rPr>
        <w:t xml:space="preserve">    source_region          : string</w:t>
      </w:r>
      <w:r>
        <w:br/>
      </w:r>
      <w:r>
        <w:rPr>
          <w:rStyle w:val="VerbatimChar"/>
        </w:rPr>
        <w:t xml:space="preserve">    destination_region     : string</w:t>
      </w:r>
      <w:r>
        <w:br/>
      </w:r>
      <w:r>
        <w:rPr>
          <w:rStyle w:val="VerbatimChar"/>
        </w:rPr>
        <w:t xml:space="preserve">    customer_realm_id      : string</w:t>
      </w:r>
      <w:r>
        <w:br/>
      </w:r>
      <w:r>
        <w:rPr>
          <w:rStyle w:val="VerbatimChar"/>
        </w:rPr>
        <w:t xml:space="preserve">    standby_instance_set   : list&lt;InstanceRef&gt;</w:t>
      </w:r>
      <w:r>
        <w:br/>
      </w:r>
      <w:r>
        <w:rPr>
          <w:rStyle w:val="VerbatimChar"/>
        </w:rPr>
        <w:t xml:space="preserve">    sku_family             : string</w:t>
      </w:r>
      <w:r>
        <w:br/>
      </w:r>
      <w:r>
        <w:rPr>
          <w:rStyle w:val="VerbatimChar"/>
        </w:rPr>
        <w:t xml:space="preserve">    quantity_vcpu          : int</w:t>
      </w:r>
      <w:r>
        <w:br/>
      </w:r>
      <w:r>
        <w:rPr>
          <w:rStyle w:val="VerbatimChar"/>
        </w:rPr>
        <w:t xml:space="preserve">    activation_state       : STANDBY | ACTIVATING | ACTIVE | FAILBACK_PENDING</w:t>
      </w:r>
      <w:r>
        <w:br/>
      </w:r>
      <w:r>
        <w:rPr>
          <w:rStyle w:val="VerbatimChar"/>
        </w:rPr>
        <w:t xml:space="preserve">    last_updated           : datetime</w:t>
      </w:r>
      <w:r>
        <w:br/>
      </w:r>
      <w:r>
        <w:rPr>
          <w:rStyle w:val="VerbatimChar"/>
        </w:rPr>
        <w:t xml:space="preserve">    policy_version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index is the reverse view of the customer seed record (Scenario 20). On a regional failure, the</w:t>
      </w:r>
      <w:r>
        <w:t xml:space="preserve"> </w:t>
      </w:r>
      <w:r>
        <w:t xml:space="preserve">engine queries this index to determine exactly which standby sets to activate and where.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850df5768184849a0433e692284e8efb69bcb0e"/>
    <w:p>
      <w:pPr>
        <w:pStyle w:val="Heading2"/>
      </w:pPr>
      <w:r>
        <w:t xml:space="preserve">Scenario 18 — Standby Activation (DR-019)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authorised DR declaration; engine mode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bookmarkStart w:id="70" w:name="per-customer-activation-workflow-decided"/>
    <w:p>
      <w:pPr>
        <w:pStyle w:val="Heading3"/>
      </w:pPr>
      <w:r>
        <w:t xml:space="preserve">Per-customer activation workflow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Each customer’s DR instances transition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(standby → active) in approved</w:t>
      </w:r>
      <w:r>
        <w:t xml:space="preserve"> </w:t>
      </w:r>
      <w:r>
        <w:t xml:space="preserve">business-priority waves:</w:t>
      </w:r>
    </w:p>
    <w:p>
      <w:pPr>
        <w:pStyle w:val="SourceCode"/>
      </w:pPr>
      <w:r>
        <w:rPr>
          <w:rStyle w:val="VerbatimChar"/>
        </w:rPr>
        <w:t xml:space="preserve">Priority Wave 0 (P0):   Platform control planes and recovery orchestration infrastructure.</w:t>
      </w:r>
      <w:r>
        <w:br/>
      </w:r>
      <w:r>
        <w:rPr>
          <w:rStyle w:val="VerbatimChar"/>
        </w:rPr>
        <w:t xml:space="preserve">Priority Wave 1 (P-1):  Highest-priority customer workloads.</w:t>
      </w:r>
      <w:r>
        <w:br/>
      </w:r>
      <w:r>
        <w:rPr>
          <w:rStyle w:val="VerbatimChar"/>
        </w:rPr>
        <w:t xml:space="preserve">Priority Wave N:        Remaining customers in business-priority order.</w:t>
      </w:r>
    </w:p>
    <w:p>
      <w:pPr>
        <w:pStyle w:val="FirstParagraph"/>
      </w:pPr>
      <w:r>
        <w:rPr>
          <w:bCs/>
          <w:b/>
        </w:rPr>
        <w:t xml:space="preserve">DR-006 staged capacity acquisition per wave:</w:t>
      </w:r>
    </w:p>
    <w:p>
      <w:pPr>
        <w:pStyle w:val="SourceCode"/>
      </w:pPr>
      <w:r>
        <w:rPr>
          <w:rStyle w:val="VerbatimChar"/>
        </w:rPr>
        <w:t xml:space="preserve">Stage 1: Use approved bootstrap / pre-staged headroom (zero Azure wait time).</w:t>
      </w:r>
      <w:r>
        <w:br/>
      </w:r>
      <w:r>
        <w:rPr>
          <w:rStyle w:val="VerbatimChar"/>
        </w:rPr>
        <w:t xml:space="preserve">Stage 2: Allocate available reservation + quota already in the destination.</w:t>
      </w:r>
      <w:r>
        <w:br/>
      </w:r>
      <w:r>
        <w:rPr>
          <w:rStyle w:val="VerbatimChar"/>
        </w:rPr>
        <w:t xml:space="preserve">Stage 3: Shut down / disassociate eligible CVAL workloads (after DR-010 authorised trigger).</w:t>
      </w:r>
      <w:r>
        <w:br/>
      </w:r>
      <w:r>
        <w:rPr>
          <w:rStyle w:val="VerbatimChar"/>
        </w:rPr>
        <w:t xml:space="preserve">Stage 4: Share or reassign reservations within supported region/zone boundaries.</w:t>
      </w:r>
      <w:r>
        <w:br/>
      </w:r>
      <w:r>
        <w:rPr>
          <w:rStyle w:val="VerbatimChar"/>
        </w:rPr>
        <w:t xml:space="preserve">Stage 5: Allocate pooled quota to DR subscriptions.</w:t>
      </w:r>
      <w:r>
        <w:br/>
      </w:r>
      <w:r>
        <w:rPr>
          <w:rStyle w:val="VerbatimChar"/>
        </w:rPr>
        <w:t xml:space="preserve">Stage 6: Request additional Azure quota/capacity where required.</w:t>
      </w:r>
      <w:r>
        <w:br/>
      </w:r>
      <w:r>
        <w:rPr>
          <w:rStyle w:val="VerbatimChar"/>
        </w:rPr>
        <w:t xml:space="preserve">Stage 7: Report unrecoverable capacity gaps.</w:t>
      </w:r>
    </w:p>
    <w:p>
      <w:pPr>
        <w:pStyle w:val="FirstParagraph"/>
      </w:pPr>
      <w:r>
        <w:t xml:space="preserve">Stages 1–2 start immediately from bootstrap headroom — P0/P-1 customers begin recovery without waiting</w:t>
      </w:r>
      <w:r>
        <w:t xml:space="preserve"> </w:t>
      </w:r>
      <w:r>
        <w:t xml:space="preserve">on Azure deallocation/disassociation APIs (which are throttled during regional events).</w:t>
      </w:r>
      <w:r>
        <w:t xml:space="preserve"> </w:t>
      </w:r>
      <w:r>
        <w:rPr>
          <w:rStyle w:val="VerbatimChar"/>
        </w:rPr>
        <w:t xml:space="preserve">[Decided]</w:t>
      </w:r>
    </w:p>
    <w:bookmarkEnd w:id="70"/>
    <w:bookmarkStart w:id="71" w:name="activation-state-tracking-decided"/>
    <w:p>
      <w:pPr>
        <w:pStyle w:val="Heading3"/>
      </w:pPr>
      <w:r>
        <w:t xml:space="preserve">Activation state tracking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   : string</w:t>
      </w:r>
      <w:r>
        <w:br/>
      </w:r>
      <w:r>
        <w:rPr>
          <w:rStyle w:val="VerbatimChar"/>
        </w:rPr>
        <w:t xml:space="preserve">    source_region       : string</w:t>
      </w:r>
      <w:r>
        <w:br/>
      </w:r>
      <w:r>
        <w:rPr>
          <w:rStyle w:val="VerbatimChar"/>
        </w:rPr>
        <w:t xml:space="preserve">    destination_region  : string</w:t>
      </w:r>
      <w:r>
        <w:br/>
      </w:r>
      <w:r>
        <w:rPr>
          <w:rStyle w:val="VerbatimChar"/>
        </w:rPr>
        <w:t xml:space="preserve">    priority_wave       : int</w:t>
      </w:r>
      <w:r>
        <w:br/>
      </w:r>
      <w:r>
        <w:rPr>
          <w:rStyle w:val="VerbatimChar"/>
        </w:rPr>
        <w:t xml:space="preserve">    activation_state    : PENDING | ACTIVATING | ACTIVE | FAILED | FAILBACK_PENDING</w:t>
      </w:r>
      <w:r>
        <w:br/>
      </w:r>
      <w:r>
        <w:rPr>
          <w:rStyle w:val="VerbatimChar"/>
        </w:rPr>
        <w:t xml:space="preserve">    stage_reached       : int           # 1–7 per DR-006</w:t>
      </w:r>
      <w:r>
        <w:br/>
      </w:r>
      <w:r>
        <w:rPr>
          <w:rStyle w:val="VerbatimChar"/>
        </w:rPr>
        <w:t xml:space="preserve">    capacity_gap_vcpu   : int           # 0 if fully provisioned</w:t>
      </w:r>
      <w:r>
        <w:br/>
      </w:r>
      <w:r>
        <w:rPr>
          <w:rStyle w:val="VerbatimChar"/>
        </w:rPr>
        <w:t xml:space="preserve">    activated_at        : datetime</w:t>
      </w:r>
      <w:r>
        <w:br/>
      </w:r>
      <w:r>
        <w:rPr>
          <w:rStyle w:val="VerbatimChar"/>
        </w:rPr>
        <w:t xml:space="preserve">    approved_by         : string</w:t>
      </w:r>
      <w:r>
        <w:br/>
      </w:r>
      <w:r>
        <w:rPr>
          <w:rStyle w:val="VerbatimChar"/>
        </w:rPr>
        <w:t xml:space="preserve">    incident_id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Activation state is tracked per customer, auditable, and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bookmarkEnd w:id="71"/>
    <w:bookmarkStart w:id="72" w:name="failback-reversal-decided"/>
    <w:p>
      <w:pPr>
        <w:pStyle w:val="Heading3"/>
      </w:pPr>
      <w:r>
        <w:t xml:space="preserve">Failback reversal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On failback: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order. The seed record and DR</w:t>
      </w:r>
      <w:r>
        <w:t xml:space="preserve"> </w:t>
      </w:r>
      <w:r>
        <w:t xml:space="preserve">index are preserved; no re-derivation of placement. History, audit trail, and DR capacity state are</w:t>
      </w:r>
      <w:r>
        <w:t xml:space="preserve"> </w:t>
      </w:r>
      <w:r>
        <w:t xml:space="preserve">retained through the full failback cycle.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Xe5968fa27430c99635a82f9ee860a6bac44bcc4"/>
    <w:p>
      <w:pPr>
        <w:pStyle w:val="Heading2"/>
      </w:pPr>
      <w:r>
        <w:t xml:space="preserve">Scenario 19 — Deployment Readiness Gate (RDY-002)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AEP-triggered deployment before the first environment is provisioned.</w:t>
      </w:r>
    </w:p>
    <w:bookmarkStart w:id="74" w:name="X023891483691ecdaddc73f617c778a8401d13d4"/>
    <w:p>
      <w:pPr>
        <w:pStyle w:val="Heading3"/>
      </w:pPr>
      <w:r>
        <w:t xml:space="preserve">Machine-readable readiness states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READY                 All gates pass; deployment may proceed.</w:t>
      </w:r>
      <w:r>
        <w:br/>
      </w:r>
      <w:r>
        <w:rPr>
          <w:rStyle w:val="VerbatimChar"/>
        </w:rPr>
        <w:t xml:space="preserve">READY_WITH_RISK       All gates pass but one or more advisory risks detected (e.g. buffer below target).</w:t>
      </w:r>
      <w:r>
        <w:br/>
      </w:r>
      <w:r>
        <w:rPr>
          <w:rStyle w:val="VerbatimChar"/>
        </w:rPr>
        <w:t xml:space="preserve">QUOTA_DEFICIT         Required deployment quota &gt; available quota in the deploying subscription.</w:t>
      </w:r>
      <w:r>
        <w:br/>
      </w:r>
      <w:r>
        <w:rPr>
          <w:rStyle w:val="VerbatimChar"/>
        </w:rPr>
        <w:t xml:space="preserve">RESERVATION_DEFICIT   Reservation exists but quantity insufficient; approved over-allocation not in effect.</w:t>
      </w:r>
      <w:r>
        <w:br/>
      </w:r>
      <w:r>
        <w:rPr>
          <w:rStyle w:val="VerbatimChar"/>
        </w:rPr>
        <w:t xml:space="preserve">CAPACITY_UNAVAILABLE  Azure cannot supply the requested SKU/zone at this time.</w:t>
      </w:r>
      <w:r>
        <w:br/>
      </w:r>
      <w:r>
        <w:rPr>
          <w:rStyle w:val="VerbatimChar"/>
        </w:rPr>
        <w:t xml:space="preserve">STALE_STATE           Capacity/quota snapshot exceeds max-age threshold; cannot drive a safe placement.</w:t>
      </w:r>
      <w:r>
        <w:br/>
      </w:r>
      <w:r>
        <w:rPr>
          <w:rStyle w:val="VerbatimChar"/>
        </w:rPr>
        <w:t xml:space="preserve">POLICY_BLOCKED        A governance policy (hard constraint, exception, approval) blocks the deployment.</w:t>
      </w:r>
      <w:r>
        <w:br/>
      </w:r>
      <w:r>
        <w:rPr>
          <w:rStyle w:val="VerbatimChar"/>
        </w:rPr>
        <w:t xml:space="preserve">VALIDATION_REQUIRED   One or more validation steps (e.g., POC-gated behaviours) not yet confirmed.</w:t>
      </w:r>
    </w:p>
    <w:bookmarkEnd w:id="74"/>
    <w:bookmarkStart w:id="75" w:name="readiness-gate-logic-rdy-001-decided"/>
    <w:p>
      <w:pPr>
        <w:pStyle w:val="Heading3"/>
      </w:pPr>
      <w:r>
        <w:t xml:space="preserve">Readiness gate logic (RDY-001)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All of the following must pass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target_region    ∈ approved_region_catalogue         (REG-001)</w:t>
      </w:r>
      <w:r>
        <w:br/>
      </w:r>
      <w:r>
        <w:rPr>
          <w:rStyle w:val="VerbatimChar"/>
        </w:rPr>
        <w:t xml:space="preserve">2. az_count         ≥ 1 in target_region                (CAP-011)</w:t>
      </w:r>
      <w:r>
        <w:br/>
      </w:r>
      <w:r>
        <w:rPr>
          <w:rStyle w:val="VerbatimChar"/>
        </w:rPr>
        <w:t xml:space="preserve">3. sku              ∈ supported_skus(target_region)</w:t>
      </w:r>
      <w:r>
        <w:br/>
      </w:r>
      <w:r>
        <w:rPr>
          <w:rStyle w:val="VerbatimChar"/>
        </w:rPr>
        <w:t xml:space="preserve">4. reservation_policy known for (subscription, region, zone, sku)</w:t>
      </w:r>
      <w:r>
        <w:br/>
      </w:r>
      <w:r>
        <w:rPr>
          <w:rStyle w:val="VerbatimChar"/>
        </w:rPr>
        <w:t xml:space="preserve">5. reservation exists (if required by policy)</w:t>
      </w:r>
      <w:r>
        <w:br/>
      </w:r>
      <w:r>
        <w:rPr>
          <w:rStyle w:val="VerbatimChar"/>
        </w:rPr>
        <w:t xml:space="preserve">6. reserved_quantity ≥ requested_count OR approved_over_allocation active</w:t>
      </w:r>
      <w:r>
        <w:br/>
      </w:r>
      <w:r>
        <w:rPr>
          <w:rStyle w:val="VerbatimChar"/>
        </w:rPr>
        <w:t xml:space="preserve">7. consumer_subscription_quota ≥ requested_units        (QUA-013 — POC-gated)</w:t>
      </w:r>
      <w:r>
        <w:br/>
      </w:r>
      <w:r>
        <w:rPr>
          <w:rStyle w:val="VerbatimChar"/>
        </w:rPr>
        <w:t xml:space="preserve">8. snapshot_age     ≤ max_snapshot_age_seconds           (RDY-004)</w:t>
      </w:r>
      <w:r>
        <w:br/>
      </w:r>
      <w:r>
        <w:rPr>
          <w:rStyle w:val="VerbatimChar"/>
        </w:rPr>
        <w:t xml:space="preserve">9. no blocking policy exception or hard constraint violation</w:t>
      </w:r>
    </w:p>
    <w:bookmarkEnd w:id="75"/>
    <w:bookmarkStart w:id="76" w:name="staleness-check-rdy-004-decided"/>
    <w:p>
      <w:pPr>
        <w:pStyle w:val="Heading3"/>
      </w:pPr>
      <w:r>
        <w:t xml:space="preserve">Staleness check (RDY-004)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now() - snapshot.collected_at &gt; max_snapshot_age:</w:t>
      </w:r>
      <w:r>
        <w:br/>
      </w:r>
      <w:r>
        <w:rPr>
          <w:rStyle w:val="VerbatimChar"/>
        </w:rPr>
        <w:t xml:space="preserve">    RETURN STALE_STATE</w:t>
      </w:r>
      <w:r>
        <w:br/>
      </w:r>
      <w:r>
        <w:rPr>
          <w:rStyle w:val="VerbatimChar"/>
        </w:rPr>
        <w:t xml:space="preserve">    ACTION: refresh synchronously OR block with STALE_STATE — never drive placement from stale data</w:t>
      </w:r>
    </w:p>
    <w:bookmarkEnd w:id="76"/>
    <w:bookmarkStart w:id="77" w:name="quota-deficit-formula-a.5-decided"/>
    <w:p>
      <w:pPr>
        <w:pStyle w:val="Heading3"/>
      </w:pPr>
      <w:r>
        <w:t xml:space="preserve">Quota deficit formula (A.5)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   (A.4)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X32a0504b1fbe1562d3248ad8c07343bdd782516"/>
    <w:p>
      <w:pPr>
        <w:pStyle w:val="Heading2"/>
      </w:pPr>
      <w:r>
        <w:t xml:space="preserve">Scenario 20 — Customer Placement Seed Record (PLC-003/004/005)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first approved production-region placement for a customer in a geography.</w:t>
      </w:r>
    </w:p>
    <w:bookmarkStart w:id="79" w:name="seed-record-creation-decided"/>
    <w:p>
      <w:pPr>
        <w:pStyle w:val="Heading3"/>
      </w:pPr>
      <w:r>
        <w:t xml:space="preserve">Seed record creation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CustomerSeedRecord {</w:t>
      </w:r>
      <w:r>
        <w:br/>
      </w:r>
      <w:r>
        <w:rPr>
          <w:rStyle w:val="VerbatimChar"/>
        </w:rPr>
        <w:t xml:space="preserve">    customer_realm_id       : string        # authoritative customer/realm identifier</w:t>
      </w:r>
      <w:r>
        <w:br/>
      </w:r>
      <w:r>
        <w:rPr>
          <w:rStyle w:val="VerbatimChar"/>
        </w:rPr>
        <w:t xml:space="preserve">    geography               : string        # e.g. "NorthAmerica", "Europe"</w:t>
      </w:r>
      <w:r>
        <w:br/>
      </w:r>
      <w:r>
        <w:rPr>
          <w:rStyle w:val="VerbatimChar"/>
        </w:rPr>
        <w:t xml:space="preserve">    production_region       : string        # exact Azure region name</w:t>
      </w:r>
      <w:r>
        <w:br/>
      </w:r>
      <w:r>
        <w:rPr>
          <w:rStyle w:val="VerbatimChar"/>
        </w:rPr>
        <w:t xml:space="preserve">    cval_region             : string        # exact Azure region name</w:t>
      </w:r>
      <w:r>
        <w:br/>
      </w:r>
      <w:r>
        <w:rPr>
          <w:rStyle w:val="VerbatimChar"/>
        </w:rPr>
        <w:t xml:space="preserve">    dr_region               : string | "NOT_OFFERED"</w:t>
      </w:r>
      <w:r>
        <w:br/>
      </w:r>
      <w:r>
        <w:rPr>
          <w:rStyle w:val="VerbatimChar"/>
        </w:rPr>
        <w:t xml:space="preserve">    products_covered        : list&lt;string&gt;  # all products seeded by this record</w:t>
      </w:r>
      <w:r>
        <w:br/>
      </w:r>
      <w:r>
        <w:rPr>
          <w:rStyle w:val="VerbatimChar"/>
        </w:rPr>
        <w:t xml:space="preserve">    decision_timestamp      : datetime</w:t>
      </w:r>
      <w:r>
        <w:br/>
      </w:r>
      <w:r>
        <w:rPr>
          <w:rStyle w:val="VerbatimChar"/>
        </w:rPr>
        <w:t xml:space="preserve">    policy_version          : string        # PlacementPolicy version used</w:t>
      </w:r>
      <w:r>
        <w:br/>
      </w:r>
      <w:r>
        <w:rPr>
          <w:rStyle w:val="VerbatimChar"/>
        </w:rPr>
        <w:t xml:space="preserve">    capacity_snapshot_ref   : string        # snapshot ID that drove the decision</w:t>
      </w:r>
      <w:r>
        <w:br/>
      </w:r>
      <w:r>
        <w:rPr>
          <w:rStyle w:val="VerbatimChar"/>
        </w:rPr>
        <w:t xml:space="preserve">    exception_ref           : string | null # approval ID if Restricted region or geo-exception</w:t>
      </w:r>
      <w:r>
        <w:br/>
      </w:r>
      <w:r>
        <w:rPr>
          <w:rStyle w:val="VerbatimChar"/>
        </w:rPr>
        <w:t xml:space="preserve">    approval_metadata       : ApprovalRecord</w:t>
      </w:r>
      <w:r>
        <w:br/>
      </w:r>
      <w:r>
        <w:rPr>
          <w:rStyle w:val="VerbatimChar"/>
        </w:rPr>
        <w:t xml:space="preserve">    input_mode              : "SPECIFIC_REGION" | "GEOGRAPHY_EXCEPTION"</w:t>
      </w:r>
      <w:r>
        <w:br/>
      </w:r>
      <w:r>
        <w:rPr>
          <w:rStyle w:val="VerbatimChar"/>
        </w:rPr>
        <w:t xml:space="preserve">}</w:t>
      </w:r>
    </w:p>
    <w:bookmarkEnd w:id="79"/>
    <w:bookmarkStart w:id="80" w:name="seed-reuse-policy-plc-004-decided"/>
    <w:p>
      <w:pPr>
        <w:pStyle w:val="Heading3"/>
      </w:pPr>
      <w:r>
        <w:t xml:space="preserve">Seed reuse policy (PLC-004)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CustomerSeedRecord exists for (customer_realm_id, geography):</w:t>
      </w:r>
      <w:r>
        <w:br/>
      </w:r>
      <w:r>
        <w:rPr>
          <w:rStyle w:val="VerbatimChar"/>
        </w:rPr>
        <w:t xml:space="preserve">    READ seed record — do NOT re-invoke the placement engine.</w:t>
      </w:r>
      <w:r>
        <w:br/>
      </w:r>
      <w:r>
        <w:rPr>
          <w:rStyle w:val="VerbatimChar"/>
        </w:rPr>
        <w:t xml:space="preserve">    Subsequent products and environments use the seeded production/CVAL/DR regions.</w:t>
      </w:r>
      <w:r>
        <w:br/>
      </w:r>
      <w:r>
        <w:rPr>
          <w:rStyle w:val="VerbatimChar"/>
        </w:rPr>
        <w:t xml:space="preserve">    Engine is NOT re-run per product once seeded.</w:t>
      </w:r>
    </w:p>
    <w:bookmarkEnd w:id="80"/>
    <w:bookmarkStart w:id="81" w:name="controlled-seed-change-plc-005-decided"/>
    <w:p>
      <w:pPr>
        <w:pStyle w:val="Heading3"/>
      </w:pPr>
      <w:r>
        <w:t xml:space="preserve">Controlled seed change (PLC-005)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seed change requested:</w:t>
      </w:r>
      <w:r>
        <w:br/>
      </w:r>
      <w:r>
        <w:rPr>
          <w:rStyle w:val="VerbatimChar"/>
        </w:rPr>
        <w:t xml:space="preserve">    REQUIRE approved migration/exception workflow.</w:t>
      </w:r>
      <w:r>
        <w:br/>
      </w:r>
      <w:r>
        <w:rPr>
          <w:rStyle w:val="VerbatimChar"/>
        </w:rPr>
        <w:t xml:space="preserve">    REQUIRE impact analysis across all products covered by the seed.</w:t>
      </w:r>
      <w:r>
        <w:br/>
      </w:r>
      <w:r>
        <w:rPr>
          <w:rStyle w:val="VerbatimChar"/>
        </w:rPr>
        <w:t xml:space="preserve">    PROHIBIT automatic regeneration on: upgrades, rebuilds, routine deployments.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4726db8d329c6a588b375d47a5ca6a5ef52f99e"/>
    <w:p>
      <w:pPr>
        <w:pStyle w:val="Heading2"/>
      </w:pPr>
      <w:r>
        <w:t xml:space="preserve">A. Core Formula Reference (Appendix A — Requirements v2.1)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VM Count + Configured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Headroom = Reserved Quantity - Allocated VM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Deficit = max(0, Target Reserved Capacity - Reserved Quantity)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Quota = Assigned Regional VM-Family Quota - Current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 Deficit = max(0, Requested Deployment Units - Available Quota)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Destination_DR_Requirement(d) = MAX over s (Workload_Portion(s → 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 = max(0, DR_Requirement(d) - Usable_Capacity(d))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 = SUM(portions) / MAX(portions)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X86c7d92b816dc4bb046a29d54ff254716181838"/>
    <w:p>
      <w:pPr>
        <w:pStyle w:val="Heading2"/>
      </w:pPr>
      <w:r>
        <w:t xml:space="preserve">B. Consolidated Policy-Constant Table (v2.2)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Scenario(s)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 / beta / gamma / delta / epsilon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0.20 / 0.25 / 0.15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prod/nonprod_autoincrease_threshold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read / write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per 5 min / 1,200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[0.30, 0.40]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bootstrap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per product/workload — no fixed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Replaces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override (C-11)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SUM(source portions)</w:t>
            </w:r>
            <w:r>
              <w:t xml:space="preserve"> </w:t>
            </w:r>
            <w:r>
              <w:t xml:space="preserve">— per-scope opt-in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cross-geo DR extension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 (was Belgium Central)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c.-evidence-maturity-summary"/>
    <w:p>
      <w:pPr>
        <w:pStyle w:val="Heading2"/>
      </w:pPr>
      <w:r>
        <w:t xml:space="preserve">C. Evidence &amp; Maturity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PS_NonProd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PS_DR</w:t>
            </w:r>
            <w:r>
              <w:t xml:space="preserve"> </w:t>
            </w:r>
            <w:r>
              <w:t xml:space="preserve">(scoring)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  <w:r>
              <w:t xml:space="preserve"> </w:t>
            </w:r>
            <w:r>
              <w:t xml:space="preserve">— design-of-record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Shadow/recommendation mode until empirically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HC-6, HC-7 (hard constraints)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accounting (Scenario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to use max-not-sum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 quota-neutral math (Scenario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POC-31/POC-32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DR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POC-011 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Consumer-subscription quota (QUA-013)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—</w:t>
            </w:r>
            <w:r>
              <w:t xml:space="preserve"> </w:t>
            </w:r>
            <w:r>
              <w:rPr>
                <w:bCs/>
                <w:b/>
              </w:rPr>
              <w:t xml:space="preserve">top technical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Reservation target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Standby activation staging (Scenario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 on POC-005 (VM state semantics)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readiness gate (Scenario 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seed record (Scenario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3</w:t>
            </w:r>
          </w:p>
        </w:tc>
      </w:tr>
    </w:tbl>
    <w:p>
      <w:pPr>
        <w:pStyle w:val="BodyText"/>
      </w:pPr>
      <w:r>
        <w:t xml:space="preserve">All constants are policy defaults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 Tuning any</w:t>
      </w:r>
      <w:r>
        <w:t xml:space="preserve"> </w:t>
      </w:r>
      <w:r>
        <w:t xml:space="preserve">constant requires updating the config; no code change is needed. The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are retained</w:t>
      </w:r>
      <w:r>
        <w:t xml:space="preserve"> </w:t>
      </w:r>
      <w:r>
        <w:t xml:space="preserve">in the codebase as fallback references for the SUM override (C-11) only.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2.2 — 27 August 2026. Next review: upon POC-001 / POC-011 results.</w:t>
      </w:r>
    </w:p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2026-09-01T13:50:02Z</dcterms:created>
  <dcterms:modified xsi:type="dcterms:W3CDTF">2026-09-01T13:50:02Z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