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ACRME SKU-Level Placement WHAT‑IF — User Guide (Phase 2, Multi-SKU)</w:t>
      </w:r>
    </w:p>
    <w:p>
      <w:pPr>
        <w:pStyle w:val="FirstParagraph"/>
      </w:pPr>
      <w:r>
        <w:t xml:space="preserve">Workbook: </w:t>
      </w:r>
      <w:r>
        <w:rPr>
          <w:rFonts w:ascii="Courier New" w:hAnsi="Courier New"/>
          <w:sz w:val="19"/>
        </w:rPr>
        <w:t>acrme_sku_placement_whatif.xlsx</w:t>
      </w:r>
      <w:r>
        <w:br/>
        <w:t xml:space="preserve">Builder: </w:t>
      </w:r>
      <w:r>
        <w:rPr>
          <w:rFonts w:ascii="Courier New" w:hAnsi="Courier New"/>
          <w:sz w:val="19"/>
        </w:rPr>
        <w:t>build_acrme_sku_scoring_whatif.py</w:t>
      </w:r>
      <w:r>
        <w:br/>
        <w:t>Baseline: Azure Capacity &amp; Quota Management Consolidated Requirements Baseline v2.4</w:t>
      </w:r>
      <w:r>
        <w:br/>
        <w:t xml:space="preserve">Status: Mockup / feasibility — derived planning figures only; not connected to live Azure state. Does </w:t>
      </w:r>
      <w:r>
        <w:rPr>
          <w:b/>
        </w:rPr>
        <w:t>not</w:t>
      </w:r>
      <w:r>
        <w:t xml:space="preserve"> modify the v2.4 baseline or the Phase 1 workbook.</w:t>
      </w:r>
    </w:p>
    <w:p>
      <w:pPr/>
    </w:p>
    <w:p>
      <w:pPr>
        <w:pStyle w:val="Heading2"/>
      </w:pPr>
      <w:r>
        <w:t>1. What this is (and how it differs from the region-selection what-if)</w:t>
      </w:r>
    </w:p>
    <w:p>
      <w:pPr/>
      <w:r>
        <w:t xml:space="preserve">This is a </w:t>
      </w:r>
      <w:r>
        <w:rPr>
          <w:b/>
        </w:rPr>
        <w:t>new, standalone</w:t>
      </w:r>
      <w:r>
        <w:t xml:space="preserve"> what-if — a </w:t>
      </w:r>
      <w:r>
        <w:rPr>
          <w:i/>
        </w:rPr>
        <w:t>different kind of analysis</w:t>
      </w:r>
      <w:r>
        <w:t xml:space="preserve"> from </w:t>
      </w:r>
      <w:r>
        <w:rPr>
          <w:rFonts w:ascii="Courier New" w:hAnsi="Courier New"/>
          <w:sz w:val="19"/>
        </w:rPr>
        <w:t>acrme_region_selection_whatif_acrme_regions.xlsx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Region-selection what-if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This — SKU-level placement what-if (Phase 2)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D6E4F7"/>
          </w:tcPr>
          <w:p>
            <w:r/>
            <w:r>
              <w:rPr>
                <w:b/>
              </w:rPr>
              <w:t>Capacity grain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 w:val="0"/>
              </w:rPr>
              <w:t>ONE blended number per region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/>
              </w:rPr>
              <w:t>Per SKU</w:t>
            </w:r>
            <w:r>
              <w:rPr>
                <w:rFonts w:ascii="Courier New" w:hAnsi="Courier New"/>
                <w:b w:val="0"/>
                <w:sz w:val="18"/>
              </w:rPr>
              <w:t xml:space="preserve"> (CAP-022/023)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D6E4F7"/>
          </w:tcPr>
          <w:p>
            <w:r/>
            <w:r>
              <w:rPr>
                <w:b/>
              </w:rPr>
              <w:t>Quota grain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ONE number per environment/region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Per VM/quota family</w:t>
            </w:r>
            <w:r>
              <w:rPr>
                <w:rFonts w:ascii="Courier New" w:hAnsi="Courier New"/>
                <w:b w:val="0"/>
                <w:sz w:val="18"/>
              </w:rPr>
              <w:t xml:space="preserve"> (QUA-002/003/004)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D6E4F7"/>
          </w:tcPr>
          <w:p>
            <w:r/>
            <w:r>
              <w:rPr>
                <w:b/>
              </w:rPr>
              <w:t>Availability term (α)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 w:val="0"/>
              </w:rPr>
              <w:t>blended region free-pool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 w:val="0"/>
              </w:rPr>
              <w:t xml:space="preserve">per-SKU </w:t>
            </w:r>
            <w:r>
              <w:rPr>
                <w:rFonts w:ascii="Courier New" w:hAnsi="Courier New"/>
                <w:b/>
                <w:sz w:val="18"/>
              </w:rPr>
              <w:t>GROUP AVAIL</w:t>
            </w:r>
            <w:r>
              <w:rPr>
                <w:b w:val="0"/>
              </w:rPr>
              <w:t xml:space="preserve"> = MIN(reserved-free, family quota-available)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D6E4F7"/>
          </w:tcPr>
          <w:p>
            <w:r/>
            <w:r>
              <w:rPr>
                <w:b/>
              </w:rPr>
              <w:t>Question answered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“Which region overall?”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“For this multi-SKU workload, which region for Prod / CVAL / DR — and is it READY for every SKU?”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D6E4F7"/>
          </w:tcPr>
          <w:p>
            <w:r/>
            <w:r>
              <w:rPr>
                <w:b/>
              </w:rPr>
              <w:t>Readiness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 w:val="0"/>
              </w:rPr>
              <w:t>region-level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RDY-002</w:t>
            </w:r>
            <w:r>
              <w:rPr>
                <w:b w:val="0"/>
              </w:rPr>
              <w:t xml:space="preserve"> per candidate (all active SKU lines must clear)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D6E4F7"/>
          </w:tcPr>
          <w:p>
            <w:r/>
            <w:r>
              <w:rPr>
                <w:b/>
              </w:rPr>
              <w:t>SKUs per run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single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up to 8 SKU lines per run</w:t>
            </w:r>
          </w:p>
        </w:tc>
      </w:tr>
    </w:tbl>
    <w:p>
      <w:pPr/>
    </w:p>
    <w:p>
      <w:pPr/>
      <w:r>
        <w:t xml:space="preserve">Phase 2 is the design-doc step </w:t>
      </w:r>
      <w:r>
        <w:rPr>
          <w:i/>
        </w:rPr>
        <w:t>“availability-by-group in scoring: point α at per-SKU group-availability; emit RDY-002 readiness per candidate.”</w:t>
      </w:r>
      <w:r>
        <w:t xml:space="preserve"> It is </w:t>
      </w:r>
      <w:r>
        <w:rPr>
          <w:b/>
        </w:rPr>
        <w:t>read-only</w:t>
      </w:r>
      <w:r>
        <w:t xml:space="preserve"> — the freeze &amp; logical-lock layer is </w:t>
      </w:r>
      <w:r>
        <w:rPr>
          <w:b/>
        </w:rPr>
        <w:t>Phase 3</w:t>
      </w:r>
      <w:r>
        <w:t xml:space="preserve"> and is not in this file.</w:t>
      </w:r>
    </w:p>
    <w:p>
      <w:pPr>
        <w:pStyle w:val="Heading2"/>
      </w:pPr>
      <w:r>
        <w:t>2. Workbook structure (processing order)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Editable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ReadMe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In-workbook overview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Request</w:t>
            </w:r>
          </w:p>
        </w:tc>
        <w:tc>
          <w:tcPr>
            <w:tcW w:type="dxa" w:w="2340"/>
            <w:shd w:val="clear" w:color="auto" w:fill="F5F5F5"/>
          </w:tcPr>
          <w:p>
            <w:r/>
            <w:r>
              <w:rPr>
                <w:b w:val="0"/>
              </w:rPr>
              <w:t>The placement request</w:t>
            </w:r>
          </w:p>
        </w:tc>
        <w:tc>
          <w:tcPr>
            <w:tcW w:type="dxa" w:w="2340"/>
            <w:shd w:val="clear" w:color="auto" w:fill="FFF2CC"/>
          </w:tcPr>
          <w:p>
            <w:r/>
            <w:r>
              <w:rPr>
                <w:b w:val="0"/>
              </w:rPr>
              <w:t>Yellow cells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Policy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Score weights &amp; thresholds</w:t>
            </w:r>
          </w:p>
        </w:tc>
        <w:tc>
          <w:tcPr>
            <w:tcW w:type="dxa" w:w="2340"/>
            <w:shd w:val="clear" w:color="auto" w:fill="FFF2CC"/>
          </w:tcPr>
          <w:p>
            <w:r/>
            <w:r>
              <w:rPr>
                <w:b w:val="0"/>
              </w:rPr>
              <w:t>Yellow cells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SKU_Family_Map</w:t>
            </w:r>
          </w:p>
        </w:tc>
        <w:tc>
          <w:tcPr>
            <w:tcW w:type="dxa" w:w="2340"/>
            <w:shd w:val="clear" w:color="auto" w:fill="F5F5F5"/>
          </w:tcPr>
          <w:p>
            <w:r/>
            <w:r>
              <w:rPr>
                <w:b w:val="0"/>
              </w:rPr>
              <w:t>SKU → quota family lookup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SKU_Catalogue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Managed SKU set (vCPU, family, flags)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Capacity_By_SKU</w:t>
            </w:r>
          </w:p>
        </w:tc>
        <w:tc>
          <w:tcPr>
            <w:tcW w:type="dxa" w:w="2340"/>
            <w:shd w:val="clear" w:color="auto" w:fill="F5F5F5"/>
          </w:tcPr>
          <w:p>
            <w:r/>
            <w:r>
              <w:rPr>
                <w:b w:val="0"/>
              </w:rPr>
              <w:t>Reservation plane: Region × Env × SKU</w:t>
            </w:r>
          </w:p>
        </w:tc>
        <w:tc>
          <w:tcPr>
            <w:tcW w:type="dxa" w:w="2340"/>
            <w:shd w:val="clear" w:color="auto" w:fill="FCE4D6"/>
          </w:tcPr>
          <w:p>
            <w:r/>
            <w:r>
              <w:rPr>
                <w:b w:val="0"/>
              </w:rPr>
              <w:t>No (rebuild)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Quota_Groups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Quota plane: pooled group per Region × Family</w:t>
            </w:r>
          </w:p>
        </w:tc>
        <w:tc>
          <w:tcPr>
            <w:tcW w:type="dxa" w:w="2340"/>
            <w:shd w:val="clear" w:color="auto" w:fill="FCE4D6"/>
          </w:tcPr>
          <w:p>
            <w:r/>
            <w:r>
              <w:rPr>
                <w:b w:val="0"/>
              </w:rPr>
              <w:t>No (rebuild)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Score_Prod</w:t>
            </w:r>
          </w:p>
        </w:tc>
        <w:tc>
          <w:tcPr>
            <w:tcW w:type="dxa" w:w="2340"/>
            <w:shd w:val="clear" w:color="auto" w:fill="F5F5F5"/>
          </w:tcPr>
          <w:p>
            <w:r/>
            <w:r>
              <w:rPr>
                <w:b w:val="0"/>
              </w:rPr>
              <w:t>SKU-grain placement score — Production</w:t>
            </w:r>
          </w:p>
        </w:tc>
        <w:tc>
          <w:tcPr>
            <w:tcW w:type="dxa" w:w="2340"/>
            <w:shd w:val="clear" w:color="auto" w:fill="EAF1FB"/>
          </w:tcPr>
          <w:p>
            <w:r/>
            <w:r>
              <w:rPr>
                <w:b w:val="0"/>
              </w:rPr>
              <w:t>No — formulas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Score_CVAL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SKU-grain placement score — CVAL / NonProd</w:t>
            </w:r>
          </w:p>
        </w:tc>
        <w:tc>
          <w:tcPr>
            <w:tcW w:type="dxa" w:w="2340"/>
            <w:shd w:val="clear" w:color="auto" w:fill="EAF1FB"/>
          </w:tcPr>
          <w:p>
            <w:r/>
            <w:r>
              <w:rPr>
                <w:b w:val="0"/>
              </w:rPr>
              <w:t>No — formulas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Score_DR</w:t>
            </w:r>
          </w:p>
        </w:tc>
        <w:tc>
          <w:tcPr>
            <w:tcW w:type="dxa" w:w="2340"/>
            <w:shd w:val="clear" w:color="auto" w:fill="F5F5F5"/>
          </w:tcPr>
          <w:p>
            <w:r/>
            <w:r>
              <w:rPr>
                <w:b w:val="0"/>
              </w:rPr>
              <w:t>SKU-grain placement score — Disaster Recovery</w:t>
            </w:r>
          </w:p>
        </w:tc>
        <w:tc>
          <w:tcPr>
            <w:tcW w:type="dxa" w:w="2340"/>
            <w:shd w:val="clear" w:color="auto" w:fill="EAF1FB"/>
          </w:tcPr>
          <w:p>
            <w:r/>
            <w:r>
              <w:rPr>
                <w:b w:val="0"/>
              </w:rPr>
              <w:t>No — formulas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b/>
                <w:sz w:val="18"/>
              </w:rPr>
              <w:t>Result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Recommended Prod/CVAL/DR + ranked candidates</w:t>
            </w:r>
          </w:p>
        </w:tc>
        <w:tc>
          <w:tcPr>
            <w:tcW w:type="dxa" w:w="2340"/>
            <w:shd w:val="clear" w:color="auto" w:fill="EAF1FB"/>
          </w:tcPr>
          <w:p>
            <w:r/>
            <w:r>
              <w:rPr>
                <w:b w:val="0"/>
              </w:rPr>
              <w:t>No — formulas</w:t>
            </w:r>
          </w:p>
        </w:tc>
      </w:tr>
    </w:tbl>
    <w:p>
      <w:pPr/>
    </w:p>
    <w:p>
      <w:pPr/>
      <w:r>
        <w:rPr>
          <w:b/>
        </w:rPr>
        <w:t xml:space="preserve">Data flow: </w:t>
      </w:r>
      <w:r>
        <w:rPr>
          <w:b/>
        </w:rPr>
        <w:t>Request</w:t>
      </w:r>
      <w:r>
        <w:rPr>
          <w:b w:val="0"/>
        </w:rPr>
        <w:t xml:space="preserve"> + </w:t>
      </w:r>
      <w:r>
        <w:rPr>
          <w:b/>
        </w:rPr>
        <w:t>Policy</w:t>
      </w:r>
      <w:r>
        <w:rPr>
          <w:b w:val="0"/>
        </w:rPr>
        <w:t xml:space="preserve"> → (read against) </w:t>
      </w:r>
      <w:r>
        <w:rPr>
          <w:b/>
        </w:rPr>
        <w:t>Capacity_By_SKU</w:t>
      </w:r>
      <w:r>
        <w:rPr>
          <w:b w:val="0"/>
        </w:rPr>
        <w:t xml:space="preserve"> + </w:t>
      </w:r>
      <w:r>
        <w:rPr>
          <w:b/>
        </w:rPr>
        <w:t>Quota_Groups</w:t>
      </w:r>
      <w:r>
        <w:rPr>
          <w:b w:val="0"/>
        </w:rPr>
        <w:t xml:space="preserve"> → </w:t>
      </w:r>
      <w:r>
        <w:rPr>
          <w:b/>
        </w:rPr>
        <w:t>Score_Prod / Score_CVAL / Score_DR</w:t>
      </w:r>
      <w:r>
        <w:rPr>
          <w:b w:val="0"/>
        </w:rPr>
        <w:t xml:space="preserve"> → </w:t>
      </w:r>
      <w:r>
        <w:rPr>
          <w:b/>
        </w:rPr>
        <w:t>Result</w:t>
      </w:r>
      <w:r>
        <w:rPr>
          <w:b w:val="0"/>
        </w:rPr>
        <w:t>. Every computed cell is a live formula; edits propagate instantly.</w:t>
      </w:r>
    </w:p>
    <w:p>
      <w:pPr>
        <w:pStyle w:val="Heading2"/>
      </w:pPr>
      <w:r>
        <w:t>3. How to run a scenario</w:t>
      </w:r>
    </w:p>
    <w:p>
      <w:pPr>
        <w:pStyle w:val="Heading3"/>
      </w:pPr>
      <w:r>
        <w:t>3.1 Request sheet (yellow cells only)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Cell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FF2CC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B4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Geography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Dropdown: US or EU. Filters eligible regions.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FF2CC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B5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/>
              </w:rPr>
              <w:t>Customer ID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 w:val="0"/>
              </w:rPr>
              <w:t>Free text — flows to the Result sheet header.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FF2CC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B8–B15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SKU</w:t>
            </w:r>
            <w:r>
              <w:rPr>
                <w:b w:val="0"/>
              </w:rPr>
              <w:t xml:space="preserve"> (per line)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Dropdown of the 8 managed SKUs. Leave blank to skip a line.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FF2CC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C8–C15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/>
              </w:rPr>
              <w:t>VM Count</w:t>
            </w:r>
            <w:r>
              <w:rPr>
                <w:b w:val="0"/>
              </w:rPr>
              <w:t xml:space="preserve"> (per line)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b w:val="0"/>
              </w:rPr>
              <w:t>Positive integer. Leave blank to skip a line.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FF2CC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D, E, F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Derived (read-only)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vCPU/instance, Line Cores, Quota Family — auto-filled via VLOOKUP.</w:t>
            </w:r>
          </w:p>
        </w:tc>
      </w:tr>
    </w:tbl>
    <w:p>
      <w:pPr/>
    </w:p>
    <w:p>
      <w:pPr/>
      <w:r>
        <w:t xml:space="preserve">Both </w:t>
      </w:r>
      <w:r>
        <w:rPr>
          <w:b/>
        </w:rPr>
        <w:t>SKU</w:t>
      </w:r>
      <w:r>
        <w:t xml:space="preserve"> and </w:t>
      </w:r>
      <w:r>
        <w:rPr>
          <w:b/>
        </w:rPr>
        <w:t>VM Count</w:t>
      </w:r>
      <w:r>
        <w:t xml:space="preserve"> must be filled for a line to be active. Leaving either blank removes that line from all scoring.</w:t>
      </w:r>
    </w:p>
    <w:p>
      <w:pPr/>
      <w:r>
        <w:rPr>
          <w:b/>
        </w:rPr>
        <w:t>Derived columns (auto-filled, read-only):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Derivation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rPr>
                <w:b/>
              </w:rPr>
              <w:t>D — vCPU / instance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VLOOKUP(SKU, SKU_Catalogue)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5F5F5"/>
          </w:tcPr>
          <w:p>
            <w:r/>
            <w:r>
              <w:rPr>
                <w:b/>
              </w:rPr>
              <w:t>E — Line Cores</w:t>
            </w:r>
          </w:p>
        </w:tc>
        <w:tc>
          <w:tcPr>
            <w:tcW w:type="dxa" w:w="4680"/>
            <w:shd w:val="clear" w:color="auto" w:fill="F5F5F5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VM Count × vCPU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rPr>
                <w:b/>
              </w:rPr>
              <w:t>F — Quota Family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VLOOKUP(SKU, SKU_Family_Map)</w:t>
            </w:r>
          </w:p>
        </w:tc>
      </w:tr>
    </w:tbl>
    <w:p>
      <w:pPr/>
    </w:p>
    <w:p>
      <w:pPr/>
      <w:r>
        <w:rPr>
          <w:rFonts w:ascii="Courier New" w:hAnsi="Courier New"/>
          <w:b/>
          <w:sz w:val="19"/>
        </w:rPr>
        <w:t>B17 (Active SKU lines)</w:t>
      </w:r>
      <w:r>
        <w:t xml:space="preserve"> and </w:t>
      </w:r>
      <w:r>
        <w:rPr>
          <w:rFonts w:ascii="Courier New" w:hAnsi="Courier New"/>
          <w:b/>
          <w:sz w:val="19"/>
        </w:rPr>
        <w:t>B18 (Total requested cores)</w:t>
      </w:r>
      <w:r>
        <w:t xml:space="preserve"> are summary counters — read-only.</w:t>
      </w:r>
    </w:p>
    <w:p>
      <w:pPr>
        <w:pStyle w:val="Heading3"/>
      </w:pPr>
      <w:r>
        <w:t>3.2 Policy sheet (optional tuning)</w:t>
      </w:r>
    </w:p>
    <w:p>
      <w:pPr/>
      <w:r>
        <w:rPr>
          <w:b w:val="0"/>
        </w:rPr>
        <w:t xml:space="preserve">Tune weights </w:t>
      </w:r>
      <w:r>
        <w:rPr>
          <w:rFonts w:ascii="Courier New" w:hAnsi="Courier New"/>
          <w:b w:val="0"/>
          <w:sz w:val="19"/>
        </w:rPr>
        <w:t>w_alpha</w:t>
      </w:r>
      <w:r>
        <w:rPr>
          <w:b w:val="0"/>
        </w:rPr>
        <w:t xml:space="preserve"> / </w:t>
      </w:r>
      <w:r>
        <w:rPr>
          <w:rFonts w:ascii="Courier New" w:hAnsi="Courier New"/>
          <w:b w:val="0"/>
          <w:sz w:val="19"/>
        </w:rPr>
        <w:t>w_beta</w:t>
      </w:r>
      <w:r>
        <w:rPr>
          <w:b w:val="0"/>
        </w:rPr>
        <w:t xml:space="preserve"> / </w:t>
      </w:r>
      <w:r>
        <w:rPr>
          <w:rFonts w:ascii="Courier New" w:hAnsi="Courier New"/>
          <w:b w:val="0"/>
          <w:sz w:val="19"/>
        </w:rPr>
        <w:t>w_epsilon</w:t>
      </w:r>
      <w:r>
        <w:rPr>
          <w:b w:val="0"/>
        </w:rPr>
        <w:t xml:space="preserve"> (must sum to 1.00 — verify </w:t>
      </w:r>
      <w:r>
        <w:rPr>
          <w:rFonts w:ascii="Courier New" w:hAnsi="Courier New"/>
          <w:b w:val="0"/>
          <w:sz w:val="19"/>
        </w:rPr>
        <w:t>B7</w:t>
      </w:r>
      <w:r>
        <w:rPr>
          <w:b w:val="0"/>
        </w:rPr>
        <w:t xml:space="preserve">) and thresholds </w:t>
      </w:r>
      <w:r>
        <w:rPr>
          <w:rFonts w:ascii="Courier New" w:hAnsi="Courier New"/>
          <w:b w:val="0"/>
          <w:sz w:val="19"/>
        </w:rPr>
        <w:t>risk_threshold</w:t>
      </w:r>
      <w:r>
        <w:rPr>
          <w:b w:val="0"/>
        </w:rPr>
        <w:t xml:space="preserve"> (default 0.10) and </w:t>
      </w:r>
      <w:r>
        <w:rPr>
          <w:rFonts w:ascii="Courier New" w:hAnsi="Courier New"/>
          <w:b w:val="0"/>
          <w:sz w:val="19"/>
        </w:rPr>
        <w:t>min_buffer_floor</w:t>
      </w:r>
      <w:r>
        <w:rPr>
          <w:b w:val="0"/>
        </w:rPr>
        <w:t>.</w:t>
      </w:r>
    </w:p>
    <w:p>
      <w:pPr>
        <w:pStyle w:val="Heading3"/>
      </w:pPr>
      <w:r>
        <w:t>3.3 Reading the results</w:t>
      </w:r>
    </w:p>
    <w:p>
      <w:pPr/>
      <w:r>
        <w:t xml:space="preserve">Go to the </w:t>
      </w:r>
      <w:r>
        <w:rPr>
          <w:b/>
        </w:rPr>
        <w:t>Result</w:t>
      </w:r>
      <w:r>
        <w:t xml:space="preserve"> sheet. It shows:</w:t>
      </w:r>
    </w:p>
    <w:p>
      <w:pPr>
        <w:pStyle w:val="Compact"/>
        <w:numPr>
          <w:ilvl w:val="0"/>
          <w:numId w:val="1"/>
        </w:numPr>
      </w:pPr>
      <w:r>
        <w:rPr>
          <w:b/>
        </w:rPr>
        <w:t>Recommended Placement</w:t>
      </w:r>
      <w:r>
        <w:rPr>
          <w:b w:val="0"/>
        </w:rPr>
        <w:t xml:space="preserve"> — the top-pick region per environment (Prod / CVAL / DR), its Placement Score, and its RDY-002 readiness state. Each recommendation satisfies </w:t>
      </w:r>
      <w:r>
        <w:rPr>
          <w:b/>
        </w:rPr>
        <w:t>every active SKU line</w:t>
      </w:r>
      <w:r>
        <w:rPr>
          <w:b w:val="0"/>
        </w:rPr>
        <w:t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Overall Readiness</w:t>
      </w:r>
      <w:r>
        <w:rPr>
          <w:b w:val="0"/>
        </w:rPr>
        <w:t xml:space="preserve"> — a summary signal based on the Prod top-pick.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Ranked Prod Candidates</w:t>
      </w:r>
      <w:r>
        <w:rPr>
          <w:b w:val="0"/>
        </w:rPr>
        <w:t xml:space="preserve"> — all 8 regions ranked by Placement Score (only eligible regions get a rank).</w:t>
      </w:r>
    </w:p>
    <w:p>
      <w:pPr>
        <w:pStyle w:val="Heading2"/>
      </w:pPr>
      <w:r>
        <w:t>4. The scoring model (per candidate region, across all active SKU lines)</w:t>
      </w:r>
    </w:p>
    <w:p>
      <w:pPr/>
      <w:r>
        <w:t xml:space="preserve">A region is </w:t>
      </w:r>
      <w:r>
        <w:rPr>
          <w:b/>
        </w:rPr>
        <w:t>eligible</w:t>
      </w:r>
      <w:r>
        <w:t xml:space="preserve"> only when </w:t>
      </w:r>
      <w:r>
        <w:rPr>
          <w:b/>
        </w:rPr>
        <w:t>every active SKU line</w:t>
      </w:r>
      <w:r>
        <w:t xml:space="preserve"> clears the availability gate. The score aggregates across lines using </w:t>
      </w:r>
      <w:r>
        <w:rPr>
          <w:b/>
        </w:rPr>
        <w:t>bottleneck semantics</w:t>
      </w:r>
      <w:r>
        <w:t xml:space="preserve"> — a single thin line drags all components down.</w:t>
      </w:r>
    </w:p>
    <w:p>
      <w:pPr>
        <w:pStyle w:val="Heading3"/>
      </w:pPr>
      <w:r>
        <w:t>4.1 Availability gate (Meets-All)</w:t>
      </w:r>
    </w:p>
    <w:p>
      <w:pPr/>
      <w:r>
        <w:t xml:space="preserve">For each active line </w:t>
      </w:r>
      <w:r>
        <w:rPr>
          <w:i/>
        </w:rPr>
        <w:t>i</w:t>
      </w:r>
      <w:r>
        <w:t xml:space="preserve"> the sheet computes:</w:t>
      </w:r>
    </w:p>
    <w:p>
      <w:pPr>
        <w:pStyle w:val="SourceCode"/>
        <w:spacing w:before="0" w:after="0"/>
      </w:pPr>
      <w:r>
        <w:rPr>
          <w:rFonts w:ascii="Courier New" w:hAnsi="Courier New"/>
          <w:sz w:val="18"/>
        </w:rPr>
        <w:t>GROUP_AVAIL_i = MIN( SUMIFS(Capacity_By_SKU.ReservedFree, Region, SKU_i),</w:t>
      </w:r>
    </w:p>
    <w:p>
      <w:pPr>
        <w:pStyle w:val="SourceCode"/>
        <w:spacing w:before="0" w:after="0"/>
      </w:pPr>
      <w:r>
        <w:rPr>
          <w:rFonts w:ascii="Courier New" w:hAnsi="Courier New"/>
          <w:sz w:val="18"/>
        </w:rPr>
        <w:t xml:space="preserve">                     SUMIFS(Quota_Groups.QuotaAvail, Region, Family_i) )</w:t>
      </w:r>
    </w:p>
    <w:p>
      <w:pPr>
        <w:pStyle w:val="SourceCode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pStyle w:val="SourceCode"/>
        <w:spacing w:before="0" w:after="0"/>
      </w:pPr>
      <w:r>
        <w:rPr>
          <w:rFonts w:ascii="Courier New" w:hAnsi="Courier New"/>
          <w:sz w:val="18"/>
        </w:rPr>
        <w:t>line_meets_i  = IF( GROUP_AVAIL_i &gt;= LineCore_i, 1, 0 )</w:t>
      </w:r>
    </w:p>
    <w:p>
      <w:pPr/>
    </w:p>
    <w:p>
      <w:pPr/>
      <w:r>
        <w:t>A blank line contributes 1 (not a constraint). The region-level gate is:</w:t>
      </w:r>
    </w:p>
    <w:p>
      <w:pPr>
        <w:pStyle w:val="SourceCode"/>
        <w:spacing w:before="0" w:after="0"/>
      </w:pPr>
      <w:r>
        <w:rPr>
          <w:rFonts w:ascii="Courier New" w:hAnsi="Courier New"/>
          <w:sz w:val="18"/>
        </w:rPr>
        <w:t>Meets-All = MIN( line_meets_1, …, line_meets_8 )   [= 0 if any active line fails]</w:t>
      </w:r>
    </w:p>
    <w:p>
      <w:pPr/>
    </w:p>
    <w:p>
      <w:pPr/>
      <w:r>
        <w:rPr>
          <w:rFonts w:ascii="Courier New" w:hAnsi="Courier New"/>
          <w:b/>
          <w:sz w:val="19"/>
        </w:rPr>
        <w:t>Eligible = 1</w:t>
      </w:r>
      <w:r>
        <w:t xml:space="preserve"> only when </w:t>
      </w:r>
      <w:r>
        <w:rPr>
          <w:rFonts w:ascii="Courier New" w:hAnsi="Courier New"/>
          <w:sz w:val="19"/>
        </w:rPr>
        <w:t>InGeo = 1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urier New" w:hAnsi="Courier New"/>
          <w:sz w:val="19"/>
        </w:rPr>
        <w:t>Meets-All = 1</w:t>
      </w:r>
      <w:r>
        <w:t>.</w:t>
      </w:r>
    </w:p>
    <w:p>
      <w:pPr>
        <w:pStyle w:val="Heading3"/>
      </w:pPr>
      <w:r>
        <w:t>4.2 Score components (eligible candidates only)</w:t>
      </w:r>
    </w:p>
    <w:p>
      <w:pPr/>
      <w:r>
        <w:t xml:space="preserve">Each component is the </w:t>
      </w:r>
      <w:r>
        <w:rPr>
          <w:b/>
        </w:rPr>
        <w:t>MIN</w:t>
      </w:r>
      <w:r>
        <w:t xml:space="preserve"> across active lines — the tightest constraint drives the score: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Formula per active line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Aggregate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/>
              </w:rPr>
              <w:t>α (availability fit)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1 − LineCore_i / MIN(ReservedFree_i, QuotaAvail_i) — headroom cushion left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b/>
                <w:sz w:val="18"/>
              </w:rPr>
              <w:t>MIN(α_i)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5F5F5"/>
          </w:tcPr>
          <w:p>
            <w:r/>
            <w:r>
              <w:rPr>
                <w:b/>
              </w:rPr>
              <w:t>β (quota headroom)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QuotaAvail_i / QuotaLimit_i</w:t>
            </w:r>
          </w:p>
        </w:tc>
        <w:tc>
          <w:tcPr>
            <w:tcW w:type="dxa" w:w="3120"/>
            <w:shd w:val="clear" w:color="auto" w:fill="F5F5F5"/>
          </w:tcPr>
          <w:p>
            <w:r/>
            <w:r>
              <w:rPr>
                <w:rFonts w:ascii="Courier New" w:hAnsi="Courier New"/>
                <w:b/>
                <w:sz w:val="18"/>
              </w:rPr>
              <w:t>MIN(β_i)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/>
              </w:rPr>
              <w:t>ε (buffer safety)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ReservedFree_i / Reserved_i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b/>
                <w:sz w:val="18"/>
              </w:rPr>
              <w:t>MIN(ε_i)</w:t>
            </w:r>
          </w:p>
        </w:tc>
      </w:tr>
    </w:tbl>
    <w:p>
      <w:pPr/>
    </w:p>
    <w:p>
      <w:pPr/>
      <w:r>
        <w:t xml:space="preserve">Blank lines contribute 1 to every MIN (neutral). Components are clamped to </w:t>
      </w:r>
      <w:r>
        <w:rPr>
          <w:rFonts w:ascii="Courier New" w:hAnsi="Courier New"/>
        </w:rPr>
        <w:t>[0, 1]</w:t>
      </w:r>
      <w:r>
        <w:t>.</w:t>
      </w:r>
    </w:p>
    <w:p>
      <w:pPr/>
      <w:r>
        <w:t xml:space="preserve">Placement Score: </w:t>
      </w:r>
      <w:r>
        <w:rPr>
          <w:rFonts w:ascii="Courier New" w:hAnsi="Courier New"/>
          <w:b/>
          <w:sz w:val="19"/>
        </w:rPr>
        <w:t>PS = w_alpha·α + w_beta·β + w_epsilon·ε</w:t>
      </w:r>
      <w:r>
        <w:t xml:space="preserve"> (defaults 0.50 / 0.30 / 0.20).</w:t>
      </w:r>
    </w:p>
    <w:p>
      <w:pPr/>
      <w:r>
        <w:t xml:space="preserve">Rank: </w:t>
      </w:r>
      <w:r>
        <w:rPr>
          <w:i/>
        </w:rPr>
        <w:t>dense rank</w:t>
      </w:r>
      <w:r>
        <w:t xml:space="preserve"> of PS among eligible candidates (Rank 1 = highest PS). The </w:t>
      </w:r>
      <w:r>
        <w:rPr>
          <w:b/>
        </w:rPr>
        <w:t>top pick</w:t>
      </w:r>
      <w:r>
        <w:t xml:space="preserve"> per environment is </w:t>
      </w:r>
      <w:r>
        <w:rPr>
          <w:rFonts w:ascii="Courier New" w:hAnsi="Courier New"/>
        </w:rPr>
        <w:t>INDEX/MATCH</w:t>
      </w:r>
      <w:r>
        <w:t xml:space="preserve"> on Rank = 1; if no region is eligible it shows </w:t>
      </w:r>
      <w:r>
        <w:rPr>
          <w:rFonts w:ascii="Courier New" w:hAnsi="Courier New"/>
          <w:b/>
        </w:rPr>
        <w:t>NONE ELIGIBLE</w:t>
      </w:r>
      <w:r>
        <w:t>.</w:t>
      </w:r>
    </w:p>
    <w:p>
      <w:pPr/>
      <w:r>
        <w:rPr>
          <w:b/>
        </w:rPr>
        <w:t>Binding Constraint</w:t>
      </w:r>
      <w:r>
        <w:t xml:space="preserve">: for eligible rows, shows whether </w:t>
      </w:r>
      <w:r>
        <w:rPr>
          <w:rFonts w:ascii="Courier New" w:hAnsi="Courier New"/>
        </w:rPr>
        <w:t>CAPACITY</w:t>
      </w:r>
      <w:r>
        <w:t xml:space="preserve"> or </w:t>
      </w:r>
      <w:r>
        <w:rPr>
          <w:rFonts w:ascii="Courier New" w:hAnsi="Courier New"/>
        </w:rPr>
        <w:t>QUOTA</w:t>
      </w:r>
      <w:r>
        <w:t xml:space="preserve"> is the tighter limit (i.e., which of ε vs β is lower across lines).</w:t>
      </w:r>
    </w:p>
    <w:p>
      <w:pPr>
        <w:pStyle w:val="Heading2"/>
      </w:pPr>
      <w:r>
        <w:t>5. Readiness states (RDY-002, per candidate)</w:t>
      </w:r>
    </w:p>
    <w:p>
      <w:pPr/>
      <w:r>
        <w:t>The readiness hierarchy evaluates in strict priority order: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Condition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D9D9D9"/>
          </w:tcPr>
          <w:p>
            <w:r/>
            <w:r>
              <w:rPr>
                <w:rFonts w:ascii="Courier New" w:hAnsi="Courier New"/>
                <w:b/>
                <w:sz w:val="18"/>
              </w:rPr>
              <w:t>NO_REQUEST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No active SKU lines (B17 = 0).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CE4D6"/>
          </w:tcPr>
          <w:p>
            <w:r/>
            <w:r>
              <w:rPr>
                <w:rFonts w:ascii="Courier New" w:hAnsi="Courier New"/>
                <w:b/>
                <w:sz w:val="18"/>
              </w:rPr>
              <w:t>RESERVATION_DEFICIT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At least one active line has ReservedFree = 0 for this region.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CE4D6"/>
          </w:tcPr>
          <w:p>
            <w:r/>
            <w:r>
              <w:rPr>
                <w:rFonts w:ascii="Courier New" w:hAnsi="Courier New"/>
                <w:b/>
                <w:sz w:val="18"/>
              </w:rPr>
              <w:t>QUOTA_DEFICIT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At least one active line has QuotaAvail = 0 for this region.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FE699"/>
          </w:tcPr>
          <w:p>
            <w:r/>
            <w:r>
              <w:rPr>
                <w:rFonts w:ascii="Courier New" w:hAnsi="Courier New"/>
                <w:b/>
                <w:sz w:val="18"/>
              </w:rPr>
              <w:t>CAPACITY_DEFICIT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Meets-All = 0 — GROUP AVAIL &lt; LineCore for at least one line, but no full zero-capacity line.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FEB9C"/>
          </w:tcPr>
          <w:p>
            <w:r/>
            <w:r>
              <w:rPr>
                <w:rFonts w:ascii="Courier New" w:hAnsi="Courier New"/>
                <w:b/>
                <w:sz w:val="18"/>
              </w:rPr>
              <w:t>READY_WITH_RISK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Eligible (Meets-All = 1), but MIN(α_i) &lt; risk_threshold (0.10 default) — thin cushion across lines.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2EFDA"/>
          </w:tcPr>
          <w:p>
            <w:r/>
            <w:r>
              <w:rPr>
                <w:rFonts w:ascii="Courier New" w:hAnsi="Courier New"/>
                <w:b/>
                <w:sz w:val="18"/>
              </w:rPr>
              <w:t>READY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Eligible with comfortable cushion across all lines.</w:t>
            </w:r>
          </w:p>
        </w:tc>
      </w:tr>
    </w:tbl>
    <w:p>
      <w:pPr/>
    </w:p>
    <w:p>
      <w:pPr/>
      <w:r>
        <w:rPr>
          <w:b/>
        </w:rPr>
        <w:t>Binding Constraint</w:t>
      </w:r>
      <w:r>
        <w:t xml:space="preserve"> column (col O) shows </w:t>
      </w:r>
      <w:r>
        <w:rPr>
          <w:rFonts w:ascii="Courier New" w:hAnsi="Courier New"/>
        </w:rPr>
        <w:t>CAPACITY</w:t>
      </w:r>
      <w:r>
        <w:t xml:space="preserve"> or </w:t>
      </w:r>
      <w:r>
        <w:rPr>
          <w:rFonts w:ascii="Courier New" w:hAnsi="Courier New"/>
        </w:rPr>
        <w:t>QUOTA</w:t>
      </w:r>
      <w:r>
        <w:t xml:space="preserve"> for eligible rows; </w:t>
      </w:r>
      <w:r>
        <w:rPr>
          <w:rFonts w:ascii="Courier New" w:hAnsi="Courier New"/>
        </w:rPr>
        <w:t>N/A</w:t>
      </w:r>
      <w:r>
        <w:t xml:space="preserve"> for ineligible.</w:t>
      </w:r>
    </w:p>
    <w:p>
      <w:pPr>
        <w:pStyle w:val="Heading2"/>
      </w:pPr>
      <w:r>
        <w:t>6. Worked example (pre-loaded sample — verified with a headless recalc, 0 formula errors)</w:t>
      </w:r>
    </w:p>
    <w:p>
      <w:pPr/>
      <w:r>
        <w:t>The workbook ships with a 2-line sample request (US geography):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SKU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VMs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vCPU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Line Cores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Family</w:t>
            </w:r>
          </w:p>
        </w:tc>
      </w:tr>
      <w:tr>
        <w:trPr>
          <w:cantSplit/>
        </w:trPr>
        <w:tc>
          <w:tcPr>
            <w:tcW w:type="dxa" w:w="15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Standard_E32ads_v5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128 cores</w:t>
            </w:r>
          </w:p>
        </w:tc>
        <w:tc>
          <w:tcPr>
            <w:tcW w:type="dxa" w:w="156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memory_optimized</w:t>
            </w:r>
          </w:p>
        </w:tc>
      </w:tr>
      <w:tr>
        <w:trPr>
          <w:cantSplit/>
        </w:trPr>
        <w:tc>
          <w:tcPr>
            <w:tcW w:type="dxa" w:w="1560"/>
            <w:shd w:val="clear" w:color="auto" w:fill="F5F5F5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560"/>
            <w:shd w:val="clear" w:color="auto" w:fill="F5F5F5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Standard_D8as_v5</w:t>
            </w:r>
          </w:p>
        </w:tc>
        <w:tc>
          <w:tcPr>
            <w:tcW w:type="dxa" w:w="1560"/>
            <w:shd w:val="clear" w:color="auto" w:fill="F5F5F5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560"/>
            <w:shd w:val="clear" w:color="auto" w:fill="F5F5F5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560"/>
            <w:shd w:val="clear" w:color="auto" w:fill="F5F5F5"/>
          </w:tcPr>
          <w:p>
            <w:r/>
            <w:r>
              <w:rPr>
                <w:b/>
              </w:rPr>
              <w:t>16 cores</w:t>
            </w:r>
          </w:p>
        </w:tc>
        <w:tc>
          <w:tcPr>
            <w:tcW w:type="dxa" w:w="1560"/>
            <w:shd w:val="clear" w:color="auto" w:fill="F5F5F5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general_purpose</w:t>
            </w:r>
          </w:p>
        </w:tc>
      </w:tr>
    </w:tbl>
    <w:p>
      <w:pPr/>
    </w:p>
    <w:p>
      <w:pPr/>
      <w:r>
        <w:rPr>
          <w:b/>
        </w:rPr>
        <w:t>Total requested cores: 144</w:t>
      </w:r>
      <w:r>
        <w:t xml:space="preserve"> (shown in </w:t>
      </w:r>
      <w:r>
        <w:rPr>
          <w:rFonts w:ascii="Courier New" w:hAnsi="Courier New"/>
        </w:rPr>
        <w:t>B18</w:t>
      </w:r>
      <w:r>
        <w:t xml:space="preserve">). </w:t>
      </w:r>
      <w:r>
        <w:rPr>
          <w:b/>
        </w:rPr>
        <w:t>Active lines: 2</w:t>
      </w:r>
      <w:r>
        <w:t xml:space="preserve"> (shown in </w:t>
      </w:r>
      <w:r>
        <w:rPr>
          <w:rFonts w:ascii="Courier New" w:hAnsi="Courier New"/>
        </w:rPr>
        <w:t>B17</w:t>
      </w:r>
      <w:r>
        <w:t>).</w:t>
      </w:r>
    </w:p>
    <w:p>
      <w:pPr/>
      <w:r>
        <w:t xml:space="preserve">A region must have GROUP AVAIL ≥ 128 for E32ads_v5 </w:t>
      </w:r>
      <w:r>
        <w:rPr>
          <w:b/>
        </w:rPr>
        <w:t>and</w:t>
      </w:r>
      <w:r>
        <w:t xml:space="preserve"> GROUP AVAIL ≥ 16 for D8as_v5 to pass Meets-All. The tighter constraint (E32ads_v5, 128 cores) dominates α, β, and ε via the MIN aggregation.</w:t>
      </w:r>
    </w:p>
    <w:p>
      <w:pPr/>
      <w:r>
        <w:rPr>
          <w:b/>
        </w:rPr>
        <w:t>Expected observations (US, Prod):</w:t>
      </w:r>
    </w:p>
    <w:p>
      <w:pPr>
        <w:pStyle w:val="Compact"/>
        <w:numPr>
          <w:ilvl w:val="0"/>
          <w:numId w:val="1"/>
        </w:numPr>
      </w:pPr>
      <w:r>
        <w:rPr>
          <w:b/>
        </w:rPr>
        <w:t>East US 2</w:t>
      </w:r>
      <w:r>
        <w:rPr>
          <w:b w:val="0"/>
        </w:rPr>
        <w:t xml:space="preserve"> — passes both lines, </w:t>
      </w:r>
      <w:r>
        <w:rPr>
          <w:rFonts w:ascii="Courier New" w:hAnsi="Courier New"/>
          <w:b/>
          <w:sz w:val="19"/>
        </w:rPr>
        <w:t>READY</w:t>
      </w:r>
      <w:r>
        <w:rPr>
          <w:b w:val="0"/>
        </w:rPr>
        <w:t>. High α because E32ads_v5 headroom is large relative to 128 cores.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Canada Central</w:t>
      </w:r>
      <w:r>
        <w:rPr>
          <w:b w:val="0"/>
        </w:rPr>
        <w:t xml:space="preserve"> — mock region (0.5 × mean); likely </w:t>
      </w:r>
      <w:r>
        <w:rPr>
          <w:rFonts w:ascii="Courier New" w:hAnsi="Courier New"/>
          <w:b/>
          <w:sz w:val="19"/>
        </w:rPr>
        <w:t>CAPACITY_DEFICIT</w:t>
      </w:r>
      <w:r>
        <w:rPr>
          <w:b w:val="0"/>
        </w:rPr>
        <w:t xml:space="preserve"> or </w:t>
      </w:r>
      <w:r>
        <w:rPr>
          <w:rFonts w:ascii="Courier New" w:hAnsi="Courier New"/>
          <w:b/>
          <w:sz w:val="19"/>
        </w:rPr>
        <w:t>READY_WITH_RISK</w:t>
      </w:r>
      <w:r>
        <w:rPr>
          <w:b w:val="0"/>
        </w:rPr>
        <w:t xml:space="preserve"> on the E32ads_v5 line.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West US 3</w:t>
      </w:r>
      <w:r>
        <w:rPr>
          <w:b w:val="0"/>
        </w:rPr>
        <w:t xml:space="preserve"> — </w:t>
      </w:r>
      <w:r>
        <w:rPr>
          <w:rFonts w:ascii="Courier New" w:hAnsi="Courier New"/>
          <w:b/>
          <w:sz w:val="19"/>
        </w:rPr>
        <w:t>RESERVATION_DEFICIT</w:t>
      </w:r>
      <w:r>
        <w:rPr>
          <w:b w:val="0"/>
        </w:rPr>
        <w:t xml:space="preserve"> by design (greenfield, ~0 observed allocation → quota limit = 0).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DR</w:t>
      </w:r>
      <w:r>
        <w:rPr>
          <w:b w:val="0"/>
        </w:rPr>
        <w:t xml:space="preserve"> — 30% bootstrap capacity (ENV-005); thin cushions push to </w:t>
      </w:r>
      <w:r>
        <w:rPr>
          <w:rFonts w:ascii="Courier New" w:hAnsi="Courier New"/>
          <w:b/>
          <w:sz w:val="19"/>
        </w:rPr>
        <w:t>READY_WITH_RISK</w:t>
      </w:r>
      <w:r>
        <w:rPr>
          <w:b w:val="0"/>
        </w:rPr>
        <w:t xml:space="preserve"> for the large E32ads_v5 line.</w:t>
      </w:r>
    </w:p>
    <w:p>
      <w:pPr/>
    </w:p>
    <w:p>
      <w:pPr/>
      <w:r>
        <w:t xml:space="preserve">To test a single-SKU scenario, clear lines 2–8 (leave </w:t>
      </w:r>
      <w:r>
        <w:rPr>
          <w:rFonts w:ascii="Courier New" w:hAnsi="Courier New"/>
        </w:rPr>
        <w:t>B9:C15</w:t>
      </w:r>
      <w:r>
        <w:t xml:space="preserve"> blank) and update line 1 as needed. The formulas automatically reduce to single-line evaluation.</w:t>
      </w:r>
    </w:p>
    <w:p>
      <w:pPr>
        <w:pStyle w:val="Heading2"/>
      </w:pPr>
      <w:r>
        <w:t>7. Data provenance &amp; rulings baked in</w:t>
      </w:r>
    </w:p>
    <w:p>
      <w:pPr>
        <w:pStyle w:val="Compact"/>
        <w:numPr>
          <w:ilvl w:val="0"/>
          <w:numId w:val="1"/>
        </w:numPr>
      </w:pPr>
      <w:r>
        <w:rPr>
          <w:b/>
        </w:rPr>
        <w:t>Allocated</w:t>
      </w:r>
      <w:r>
        <w:rPr>
          <w:b w:val="0"/>
        </w:rPr>
        <w:t xml:space="preserve"> cores are derived from real usage (</w:t>
      </w:r>
      <w:r>
        <w:rPr>
          <w:rFonts w:ascii="Courier New" w:hAnsi="Courier New"/>
          <w:b w:val="0"/>
          <w:sz w:val="19"/>
        </w:rPr>
        <w:t>SKU_USage.xlsx</w:t>
      </w:r>
      <w:r>
        <w:rPr>
          <w:b w:val="0"/>
        </w:rPr>
        <w:t xml:space="preserve">). </w:t>
      </w:r>
      <w:r>
        <w:rPr>
          <w:b/>
        </w:rPr>
        <w:t>Canada Central</w:t>
      </w:r>
      <w:r>
        <w:rPr>
          <w:b w:val="0"/>
        </w:rPr>
        <w:t xml:space="preserve"> is a flagged mock (0.5 × mean of the other US regions — it is absent from the source data). </w:t>
      </w:r>
      <w:r>
        <w:rPr>
          <w:b/>
        </w:rPr>
        <w:t>DR = 30% of Prod</w:t>
      </w:r>
      <w:r>
        <w:rPr>
          <w:b w:val="0"/>
        </w:rPr>
        <w:t xml:space="preserve"> (ENV-005 bootstrap, not a full duplicate).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West US 3</w:t>
      </w:r>
      <w:r>
        <w:rPr>
          <w:b w:val="0"/>
        </w:rPr>
        <w:t xml:space="preserve"> shows deficits across SKUs by design: the source data has ~0 observed allocation there, so its quota limit is 0 — the correct signal for a reserved-but-unprovisioned greenfield region.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Rulings from Phase 1:</w:t>
      </w:r>
      <w:r>
        <w:rPr>
          <w:b w:val="0"/>
        </w:rPr>
        <w:t xml:space="preserve"> one </w:t>
      </w:r>
      <w:r>
        <w:rPr>
          <w:b/>
        </w:rPr>
        <w:t>pooled</w:t>
      </w:r>
      <w:r>
        <w:rPr>
          <w:b w:val="0"/>
        </w:rPr>
        <w:t xml:space="preserve"> quota group per region+family across Prod+NonProd+DR (QUA-004); ENV-003 hard separation applies to </w:t>
      </w:r>
      <w:r>
        <w:rPr>
          <w:b/>
        </w:rPr>
        <w:t>capacity reservations only</w:t>
      </w:r>
      <w:r>
        <w:rPr>
          <w:b w:val="0"/>
        </w:rPr>
        <w:t xml:space="preserve"> (quota pooled — separate planes); quota </w:t>
      </w:r>
      <w:r>
        <w:rPr>
          <w:b/>
        </w:rPr>
        <w:t>hoarded</w:t>
      </w:r>
      <w:r>
        <w:rPr>
          <w:b w:val="0"/>
        </w:rPr>
        <w:t xml:space="preserve"> to one pool and distributed on demand (QUA-003).</w:t>
      </w:r>
    </w:p>
    <w:p>
      <w:pPr>
        <w:pStyle w:val="Heading2"/>
      </w:pPr>
      <w:r>
        <w:t>8. Limitations / deferred</w:t>
      </w:r>
    </w:p>
    <w:p>
      <w:pPr>
        <w:pStyle w:val="Compact"/>
        <w:numPr>
          <w:ilvl w:val="0"/>
          <w:numId w:val="1"/>
        </w:numPr>
      </w:pPr>
      <w:r>
        <w:rPr>
          <w:b/>
        </w:rPr>
        <w:t>Read-only feasibility</w:t>
      </w:r>
      <w:r>
        <w:rPr>
          <w:b w:val="0"/>
        </w:rPr>
        <w:t xml:space="preserve"> — does not modify the v2.4 baseline or the Phase 1 workbook.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8-line cap</w:t>
      </w:r>
      <w:r>
        <w:rPr>
          <w:b w:val="0"/>
        </w:rPr>
        <w:t xml:space="preserve"> — the Request sheet supports up to 8 concurrent SKU lines. Workloads exceeding 8 SKU types require a separate run or a builder extension.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CRG scope is regional</w:t>
      </w:r>
      <w:r>
        <w:rPr>
          <w:b w:val="0"/>
        </w:rPr>
        <w:t xml:space="preserve"> (</w:t>
      </w:r>
      <w:r>
        <w:rPr>
          <w:rFonts w:ascii="Courier New" w:hAnsi="Courier New"/>
          <w:b w:val="0"/>
          <w:sz w:val="19"/>
        </w:rPr>
        <w:t>crg-…-reg</w:t>
      </w:r>
      <w:r>
        <w:rPr>
          <w:b w:val="0"/>
        </w:rPr>
        <w:t xml:space="preserve">); per-AZ CRGs (CAP-023, </w:t>
      </w:r>
      <w:r>
        <w:rPr>
          <w:rFonts w:ascii="Courier New" w:hAnsi="Courier New"/>
          <w:b w:val="0"/>
          <w:sz w:val="19"/>
        </w:rPr>
        <w:t>crg-…-az1</w:t>
      </w:r>
      <w:r>
        <w:rPr>
          <w:b w:val="0"/>
        </w:rPr>
        <w:t>) are a later increment.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Freeze &amp; logical lock</w:t>
      </w:r>
      <w:r>
        <w:rPr>
          <w:b w:val="0"/>
        </w:rPr>
        <w:t xml:space="preserve"> (the </w:t>
      </w:r>
      <w:r>
        <w:rPr>
          <w:rFonts w:ascii="Courier New" w:hAnsi="Courier New"/>
          <w:b w:val="0"/>
          <w:sz w:val="19"/>
        </w:rPr>
        <w:t>LOCKED</w:t>
      </w:r>
      <w:r>
        <w:rPr>
          <w:b w:val="0"/>
        </w:rPr>
        <w:t xml:space="preserve"> state + </w:t>
      </w:r>
      <w:r>
        <w:rPr>
          <w:rFonts w:ascii="Courier New" w:hAnsi="Courier New"/>
          <w:b w:val="0"/>
          <w:sz w:val="19"/>
        </w:rPr>
        <w:t>Allocation_Ledger</w:t>
      </w:r>
      <w:r>
        <w:rPr>
          <w:b w:val="0"/>
        </w:rPr>
        <w:t xml:space="preserve">, logical-vs-physical CAP-002 distinction) is </w:t>
      </w:r>
      <w:r>
        <w:rPr>
          <w:b/>
        </w:rPr>
        <w:t>Phase 3</w:t>
      </w:r>
      <w:r>
        <w:rPr>
          <w:b w:val="0"/>
        </w:rPr>
        <w:t xml:space="preserve"> — not in this file.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>SKU→family map is naming-derived</w:t>
      </w:r>
      <w:r>
        <w:rPr>
          <w:b w:val="0"/>
        </w:rPr>
        <w:t xml:space="preserve">; a canonical Azure family table would replace </w:t>
      </w:r>
      <w:r>
        <w:rPr>
          <w:rFonts w:ascii="Courier New" w:hAnsi="Courier New"/>
          <w:b w:val="0"/>
          <w:sz w:val="19"/>
        </w:rPr>
        <w:t>SKU_Family_Map</w:t>
      </w:r>
      <w:r>
        <w:rPr>
          <w:b w:val="0"/>
        </w:rPr>
        <w:t>.</w:t>
      </w:r>
    </w:p>
    <w:p>
      <w:pPr>
        <w:pStyle w:val="Compact"/>
        <w:numPr>
          <w:ilvl w:val="0"/>
          <w:numId w:val="1"/>
        </w:numPr>
      </w:pPr>
      <w:r>
        <w:rPr>
          <w:rFonts w:ascii="Courier New" w:hAnsi="Courier New"/>
          <w:b w:val="0"/>
          <w:sz w:val="19"/>
        </w:rPr>
        <w:t>total_customers</w:t>
      </w:r>
      <w:r>
        <w:rPr>
          <w:b w:val="0"/>
        </w:rPr>
        <w:t xml:space="preserve"> (γ distribution term) remains undefined in v2.4 — not used by this model, still an open baseline issue.</w:t>
      </w:r>
    </w:p>
    <w:p>
      <w:pPr/>
    </w:p>
    <w:p>
      <w:pPr>
        <w:jc w:val="center"/>
      </w:pPr>
      <w:r>
        <w:rPr>
          <w:i/>
          <w:color w:val="707070"/>
          <w:sz w:val="18"/>
        </w:rPr>
        <w:t>Phase 2 SKU-grain placement what-if (multi-SKU, up to 8 lines) — baseline v2.4 · updated 24 Sep 2026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2026-09-24T05:49:53Z</dcterms:created>
  <dcterms:modified xsi:type="dcterms:W3CDTF">2026-09-24T05:49:53Z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