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b8e2825c0b26a481437e7003d1fa6640d37cf9c"/>
    <w:p>
      <w:pPr>
        <w:pStyle w:val="Heading1"/>
      </w:pPr>
      <w:r>
        <w:t xml:space="preserve">ACRME Placement Scoring Weights — Complete Reference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Azure Capacity Reservation Management Engine (ACRME)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Technical Reference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 (reconciled to Requirements Baseline v2.4, 7 Sep 2026)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v2.4 reconciliation note (7 Sep 2026).</w:t>
      </w:r>
      <w:r>
        <w:t xml:space="preserve"> </w:t>
      </w:r>
      <w:r>
        <w:t xml:space="preserve">The five placement-scoring weights (α, β, γ, δ, ε) and their environment-specific formulas are</w:t>
      </w:r>
      <w:r>
        <w:t xml:space="preserve"> </w:t>
      </w:r>
      <w:r>
        <w:rPr>
          <w:bCs/>
          <w:b/>
        </w:rPr>
        <w:t xml:space="preserve">unchanged</w:t>
      </w:r>
      <w:r>
        <w:t xml:space="preserve"> </w:t>
      </w:r>
      <w:r>
        <w:t xml:space="preserve">by Baseline v2.4 — no weight value or formula is revised here. v2.4 clarifies one adjacency that this document must not conflate: the</w:t>
      </w:r>
      <w:r>
        <w:t xml:space="preserve"> </w:t>
      </w:r>
      <w:r>
        <w:rPr>
          <w:bCs/>
          <w:b/>
        </w:rPr>
        <w:t xml:space="preserve">ε zone-diversity signal</w:t>
      </w:r>
      <w:r>
        <w:t xml:space="preserve"> </w:t>
      </w:r>
      <w:r>
        <w:t xml:space="preserve">below (a region-selection weight,</w:t>
      </w:r>
      <w:r>
        <w:t xml:space="preserve"> </w:t>
      </w:r>
      <w:r>
        <w:rPr>
          <w:rStyle w:val="VerbatimChar"/>
        </w:rPr>
        <w:t xml:space="preserve">az_count / 3</w:t>
      </w:r>
      <w:r>
        <w:t xml:space="preserve">, PLC-007) is</w:t>
      </w:r>
      <w:r>
        <w:t xml:space="preserve"> </w:t>
      </w:r>
      <w:r>
        <w:rPr>
          <w:bCs/>
          <w:b/>
        </w:rPr>
        <w:t xml:space="preserve">distinct from PLC-011</w:t>
      </w:r>
      <w:r>
        <w:t xml:space="preserve">, the new</w:t>
      </w:r>
      <w:r>
        <w:t xml:space="preserve"> </w:t>
      </w:r>
      <w:r>
        <w:rPr>
          <w:bCs/>
          <w:b/>
        </w:rPr>
        <w:t xml:space="preserve">even intra-region zone-distribution target</w:t>
      </w:r>
      <w:r>
        <w:t xml:space="preserve"> </w:t>
      </w:r>
      <w:r>
        <w:t xml:space="preserve">(</w:t>
      </w:r>
      <w:r>
        <w:rPr>
          <w:rStyle w:val="VerbatimChar"/>
        </w:rPr>
        <w:t xml:space="preserve">≈ 1 / zone_count</w:t>
      </w:r>
      <w:r>
        <w:t xml:space="preserve"> </w:t>
      </w:r>
      <w:r>
        <w:t xml:space="preserve">per zone) with rebalancing. ε</w:t>
      </w:r>
      <w:r>
        <w:t xml:space="preserve"> </w:t>
      </w:r>
      <w:r>
        <w:rPr>
          <w:iCs/>
          <w:i/>
        </w:rPr>
        <w:t xml:space="preserve">nudges region ranking</w:t>
      </w:r>
      <w:r>
        <w:t xml:space="preserve"> </w:t>
      </w:r>
      <w:r>
        <w:t xml:space="preserve">toward regions that have more zones;</w:t>
      </w:r>
      <w:r>
        <w:t xml:space="preserve"> </w:t>
      </w:r>
      <w:r>
        <w:rPr>
          <w:bCs/>
          <w:b/>
        </w:rPr>
        <w:t xml:space="preserve">PLC-011 governs how a workload’s VMs are spread across the zones of the region already chosen</w:t>
      </w:r>
      <w:r>
        <w:t xml:space="preserve">, and can</w:t>
      </w:r>
      <w:r>
        <w:t xml:space="preserve"> </w:t>
      </w:r>
      <w:r>
        <w:rPr>
          <w:iCs/>
          <w:i/>
        </w:rPr>
        <w:t xml:space="preserve">trigger a rebalancing action</w:t>
      </w:r>
      <w:r>
        <w:t xml:space="preserve"> </w:t>
      </w:r>
      <w:r>
        <w:t xml:space="preserve">when zone skew exceeds the configured tolerance (C-13, formula Appendix A.9). See the ε section below for the full reconciliation. The remaining v2.4 additions (CAP-020..024, OPS-006) do not change any scoring formula.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ACRME placement engine uses</w:t>
      </w:r>
      <w:r>
        <w:t xml:space="preserve"> </w:t>
      </w:r>
      <w:r>
        <w:rPr>
          <w:bCs/>
          <w:b/>
        </w:rPr>
        <w:t xml:space="preserve">three environment-type-specific scoring formulas</w:t>
      </w:r>
      <w:r>
        <w:t xml:space="preserve"> </w:t>
      </w:r>
      <w:r>
        <w:t xml:space="preserve">(PS_Prod, PS_NonProd, PS_DR) to rank Azure regions for Prod, NonProd/CVAL, and DR environment placement. All three formulas share the same</w:t>
      </w:r>
      <w:r>
        <w:t xml:space="preserve"> </w:t>
      </w:r>
      <w:r>
        <w:rPr>
          <w:bCs/>
          <w:b/>
        </w:rPr>
        <w:t xml:space="preserve">default weight values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α = 0.30  (CRG Capacity)</w:t>
      </w:r>
      <w:r>
        <w:br/>
      </w:r>
      <w:r>
        <w:rPr>
          <w:rStyle w:val="VerbatimChar"/>
        </w:rPr>
        <w:t xml:space="preserve">β = 0.20  (Quota Headroom)</w:t>
      </w:r>
      <w:r>
        <w:br/>
      </w:r>
      <w:r>
        <w:rPr>
          <w:rStyle w:val="VerbatimChar"/>
        </w:rPr>
        <w:t xml:space="preserve">γ = 0.25  (Distribution Fairness)</w:t>
      </w:r>
      <w:r>
        <w:br/>
      </w:r>
      <w:r>
        <w:rPr>
          <w:rStyle w:val="VerbatimChar"/>
        </w:rPr>
        <w:t xml:space="preserve">δ = 0.15  (DR/Overflow Health)</w:t>
      </w:r>
      <w:r>
        <w:br/>
      </w:r>
      <w:r>
        <w:rPr>
          <w:rStyle w:val="VerbatimChar"/>
        </w:rPr>
        <w:t xml:space="preserve">ε = 0.10  (Zone Diversity)</w:t>
      </w:r>
    </w:p>
    <w:p>
      <w:pPr>
        <w:pStyle w:val="FirstParagraph"/>
      </w:pPr>
      <w:r>
        <w:t xml:space="preserve">However,</w:t>
      </w:r>
      <w:r>
        <w:t xml:space="preserve"> </w:t>
      </w:r>
      <w:r>
        <w:rPr>
          <w:bCs/>
          <w:b/>
        </w:rPr>
        <w:t xml:space="preserve">α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δ</w:t>
      </w:r>
      <w:r>
        <w:t xml:space="preserve"> </w:t>
      </w:r>
      <w:r>
        <w:t xml:space="preserve">have</w:t>
      </w:r>
      <w:r>
        <w:t xml:space="preserve"> </w:t>
      </w:r>
      <w:r>
        <w:rPr>
          <w:bCs/>
          <w:b/>
        </w:rPr>
        <w:t xml:space="preserve">different semantic meanings</w:t>
      </w:r>
      <w:r>
        <w:t xml:space="preserve"> </w:t>
      </w:r>
      <w:r>
        <w:t xml:space="preserve">per environment type — they measure different signals depending on whether you’re scoring a Prod, NonProd, or DR region.</w:t>
      </w:r>
    </w:p>
    <w:p>
      <w:r>
        <w:pict>
          <v:rect style="width:0;height:1.5pt" o:hralign="center" o:hrstd="t" o:hr="t"/>
        </w:pict>
      </w:r>
    </w:p>
    <w:bookmarkEnd w:id="20"/>
    <w:bookmarkStart w:id="27" w:name="weight-definitions-by-component"/>
    <w:p>
      <w:pPr>
        <w:pStyle w:val="Heading2"/>
      </w:pPr>
      <w:r>
        <w:t xml:space="preserve">Weight Definitions by Component</w:t>
      </w:r>
    </w:p>
    <w:bookmarkStart w:id="21" w:name="α-alpha-crg-capacity-signal-weight-0.30"/>
    <w:p>
      <w:pPr>
        <w:pStyle w:val="Heading3"/>
      </w:pPr>
      <w:r>
        <w:t xml:space="preserve">α (Alpha) — CRG Capacity Signal</w:t>
      </w:r>
      <w:r>
        <w:t xml:space="preserve"> </w:t>
      </w:r>
      <w:r>
        <w:rPr>
          <w:bCs/>
          <w:b/>
        </w:rPr>
        <w:t xml:space="preserve">[Weight: 0.30]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Measures available capacity in the region’s CRG most relevant to the environment being placed.</w:t>
      </w:r>
    </w:p>
    <w:p>
      <w:pPr>
        <w:pStyle w:val="BodyText"/>
      </w:pPr>
      <w:r>
        <w:rPr>
          <w:bCs/>
          <w:b/>
        </w:rPr>
        <w:t xml:space="preserve">Semantic per environment: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CRG overflow headroom relative to Prod CRG size. High α = the associated NonProd CRG has capacity to absorb overflow if Prod grows.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nonprod_crg_effective_free / prod_crg_quantity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NonProd CRG that is truly available (free_slots minus dr_overflow_reserve). This is the</w:t>
            </w:r>
            <w:r>
              <w:t xml:space="preserve"> </w:t>
            </w:r>
            <w:r>
              <w:rPr>
                <w:bCs/>
                <w:b/>
              </w:rPr>
              <w:t xml:space="preserve">primary capacity signal</w:t>
            </w:r>
            <w:r>
              <w:t xml:space="preserve"> </w:t>
            </w:r>
            <w:r>
              <w:t xml:space="preserve">for NonProd placement.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nonprod_crg_effective_free / nonprod_crg_quantity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DR CRG capacity that is uncommitted. High α = more room for additional DR assignments.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dr_crg_free_slots / dr_crg_quantity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α is the highest weight (0.30):</w:t>
      </w:r>
      <w:r>
        <w:t xml:space="preserve"> </w:t>
      </w:r>
      <w:r>
        <w:t xml:space="preserve">Capacity is the most critical constraint. A region with zero headroom cannot accept new placements regardless of quota or distribution. α is highest when capacity is tight; can be reduced to 0.20 once regions reach steady-state utilization (40–60%).</w:t>
      </w:r>
    </w:p>
    <w:p>
      <w:r>
        <w:pict>
          <v:rect style="width:0;height:1.5pt" o:hralign="center" o:hrstd="t" o:hr="t"/>
        </w:pict>
      </w:r>
    </w:p>
    <w:bookmarkEnd w:id="21"/>
    <w:bookmarkStart w:id="22" w:name="β-beta-quota-headroom-weight-0.20"/>
    <w:p>
      <w:pPr>
        <w:pStyle w:val="Heading3"/>
      </w:pPr>
      <w:r>
        <w:t xml:space="preserve">β (Beta) — Quota Headroom</w:t>
      </w:r>
      <w:r>
        <w:t xml:space="preserve"> </w:t>
      </w:r>
      <w:r>
        <w:rPr>
          <w:bCs/>
          <w:b/>
        </w:rPr>
        <w:t xml:space="preserve">[Weight: 0.20]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Measures available Azure subscription/group quota headroom for the relevant CRG.</w:t>
      </w:r>
    </w:p>
    <w:p>
      <w:pPr>
        <w:pStyle w:val="BodyText"/>
      </w:pPr>
      <w:r>
        <w:rPr>
          <w:bCs/>
          <w:b/>
        </w:rPr>
        <w:t xml:space="preserve">Semantic per environment: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group quota headroom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prod_crg_quota_headroom_vcpu / prod_crg_quota_limit_vcpu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floor-adjusted quota headroom (effective ceiling minus used)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nonprod_crg_quota_headroom_vcpu / nonprod_crg_quota_limit_vcpu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quota headroom within the DR floor 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dr_crg_quota_headroom_vcpu / dr_crg_quota_limit_vcpu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β = 0.20:</w:t>
      </w:r>
      <w:r>
        <w:t xml:space="preserve"> </w:t>
      </w:r>
      <w:r>
        <w:t xml:space="preserve">Quota exhaustion silently blocks CR creation and VM deployment. β ensures the engine directs placements toward regions with quota headroom. Lower than α because quota can be requested (takes time but is not a hard ceiling like physical capacity).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All β calculations read from</w:t>
      </w:r>
      <w:r>
        <w:t xml:space="preserve"> </w:t>
      </w:r>
      <w:r>
        <w:rPr>
          <w:bCs/>
          <w:b/>
        </w:rPr>
        <w:t xml:space="preserve">quota-group-level fields</w:t>
      </w:r>
      <w:r>
        <w:t xml:space="preserve"> </w:t>
      </w:r>
      <w:r>
        <w:t xml:space="preserve">(two-group model: Prod-only group, shared NonProd+DR group), not legacy per-subscription quota. See ADR-002.</w:t>
      </w:r>
    </w:p>
    <w:p>
      <w:r>
        <w:pict>
          <v:rect style="width:0;height:1.5pt" o:hralign="center" o:hrstd="t" o:hr="t"/>
        </w:pict>
      </w:r>
    </w:p>
    <w:bookmarkEnd w:id="22"/>
    <w:bookmarkStart w:id="23" w:name="X94b0e0d152a68de6a9e3c09e4074319d391506a"/>
    <w:p>
      <w:pPr>
        <w:pStyle w:val="Heading3"/>
      </w:pPr>
      <w:r>
        <w:t xml:space="preserve">γ (Gamma) — Distribution Fairness</w:t>
      </w:r>
      <w:r>
        <w:t xml:space="preserve"> </w:t>
      </w:r>
      <w:r>
        <w:rPr>
          <w:bCs/>
          <w:b/>
        </w:rPr>
        <w:t xml:space="preserve">[Weight: 0.25]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Acts as a</w:t>
      </w:r>
      <w:r>
        <w:t xml:space="preserve"> </w:t>
      </w:r>
      <w:r>
        <w:rPr>
          <w:bCs/>
          <w:b/>
        </w:rPr>
        <w:t xml:space="preserve">self-correcting load balancer</w:t>
      </w:r>
      <w:r>
        <w:t xml:space="preserve">. Rewards regions with fewer customers already placed, driving even distribution across regions over time.</w:t>
      </w:r>
    </w:p>
    <w:p>
      <w:pPr>
        <w:pStyle w:val="BodyText"/>
      </w:pPr>
      <w:r>
        <w:rPr>
          <w:bCs/>
          <w:b/>
        </w:rPr>
        <w:t xml:space="preserve">Semantic (same for all environments):</w:t>
      </w:r>
    </w:p>
    <w:p>
      <w:pPr>
        <w:pStyle w:val="SourceCode"/>
      </w:pPr>
      <w:r>
        <w:rPr>
          <w:rStyle w:val="VerbatimChar"/>
        </w:rPr>
        <w:t xml:space="preserve">γ = 1 - (customer_count_in_this_region / total_customers)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fairness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1 - (consumer_count_prod / total_customers)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region fairness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1 - (consumer_count_nonprod / total_customers)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 fairness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1 - (consumer_count_dr / total_customers)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γ = 0.25:</w:t>
      </w:r>
      <w:r>
        <w:t xml:space="preserve"> </w:t>
      </w:r>
      <w:r>
        <w:t xml:space="preserve">Equal to capacity in importance. As a region accumulates customers its γ score drops, redirecting future placements away from it until all regions reach roughly equal count (steady-state expected count per region per env type =</w:t>
      </w:r>
      <w:r>
        <w:t xml:space="preserve"> </w:t>
      </w:r>
      <w:r>
        <w:rPr>
          <w:rStyle w:val="VerbatimChar"/>
        </w:rPr>
        <w:t xml:space="preserve">total_customers / 3</w:t>
      </w:r>
      <w:r>
        <w:t xml:space="preserve">). Increase γ toward 0.35 if score convergence results in uneven loading; decrease toward 0.15 if capacity constraints should dominate fairness.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PRR (Section 28) updates Distribution to use</w:t>
      </w:r>
      <w:r>
        <w:t xml:space="preserve"> </w:t>
      </w:r>
      <w:r>
        <w:rPr>
          <w:bCs/>
          <w:b/>
        </w:rPr>
        <w:t xml:space="preserve">demand units</w:t>
      </w:r>
      <w:r>
        <w:t xml:space="preserve"> </w:t>
      </w:r>
      <w:r>
        <w:t xml:space="preserve">rather than customer count:</w:t>
      </w:r>
      <w:r>
        <w:t xml:space="preserve"> </w:t>
      </w:r>
      <w:r>
        <w:rPr>
          <w:rStyle w:val="VerbatimChar"/>
        </w:rPr>
        <w:t xml:space="preserve">1 - (Region_Assigned_Demand / Total_Assigned_Demand)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δ-delta-droverflow-health-weight-0.15"/>
    <w:p>
      <w:pPr>
        <w:pStyle w:val="Heading3"/>
      </w:pPr>
      <w:r>
        <w:t xml:space="preserve">δ (Delta) — DR/Overflow Health</w:t>
      </w:r>
      <w:r>
        <w:t xml:space="preserve"> </w:t>
      </w:r>
      <w:r>
        <w:rPr>
          <w:bCs/>
          <w:b/>
        </w:rPr>
        <w:t xml:space="preserve">[Weight: 0.15]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Environment-specific</w:t>
      </w:r>
      <w:r>
        <w:t xml:space="preserve"> </w:t>
      </w:r>
      <w:r>
        <w:rPr>
          <w:bCs/>
          <w:b/>
        </w:rPr>
        <w:t xml:space="preserve">resilience signal</w:t>
      </w:r>
      <w:r>
        <w:t xml:space="preserve"> </w:t>
      </w:r>
      <w:r>
        <w:t xml:space="preserve">— measures DR coverage readiness (Prod/DR) or overflow capacity health (NonProd).</w:t>
      </w:r>
    </w:p>
    <w:p>
      <w:pPr>
        <w:pStyle w:val="BodyText"/>
      </w:pPr>
      <w:r>
        <w:rPr>
          <w:bCs/>
          <w:b/>
        </w:rPr>
        <w:t xml:space="preserve">Semantic per environment: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11"/>
        <w:gridCol w:w="2124"/>
        <w:gridCol w:w="1738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CRG coverage readiness of this region’s own DR CRG. When scoring a Prod region, δ captures the health of the region’s DR CRG — a Prod region whose DR CRG is well-covered scores higher.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dr_crg_coverage_ratio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placement favors regions with healthy DR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 capacity health — intentionally</w:t>
            </w:r>
            <w:r>
              <w:t xml:space="preserve"> </w:t>
            </w:r>
            <w:r>
              <w:rPr>
                <w:bCs/>
                <w:b/>
              </w:rPr>
              <w:t xml:space="preserve">shares the same ratio as α</w:t>
            </w:r>
            <w:r>
              <w:t xml:space="preserve">. Rewards regions genuinely under-utilised from both a NonProd-placement and a DR-overflow perspective.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nonprod_crg_effective_free / nonprod_crg_quantity</w:t>
            </w:r>
            <w:r>
              <w:t xml:space="preserve"> </w:t>
            </w:r>
            <w:r>
              <w:t xml:space="preserve">(same as 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placement prioritizes regions with DR overflow 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ratio health relative to target. Scores 1.0 when coverage ≥</w:t>
            </w:r>
            <w:r>
              <w:t xml:space="preserve"> </w:t>
            </w:r>
            <w:r>
              <w:rPr>
                <w:rStyle w:val="VerbatimChar"/>
              </w:rPr>
              <w:t xml:space="preserve">dr_ratio_max</w:t>
            </w:r>
            <w:r>
              <w:t xml:space="preserve"> </w:t>
            </w:r>
            <w:r>
              <w:t xml:space="preserve">(0.40). Proportionally below 1.0 for coverage between</w:t>
            </w:r>
            <w:r>
              <w:t xml:space="preserve"> </w:t>
            </w:r>
            <w:r>
              <w:rPr>
                <w:rStyle w:val="VerbatimChar"/>
              </w:rPr>
              <w:t xml:space="preserve">dr_ratio_min</w:t>
            </w:r>
            <w:r>
              <w:t xml:space="preserve"> </w:t>
            </w:r>
            <w:r>
              <w:t xml:space="preserve">(0.30) and</w:t>
            </w:r>
            <w:r>
              <w:t xml:space="preserve"> </w:t>
            </w:r>
            <w:r>
              <w:rPr>
                <w:rStyle w:val="VerbatimChar"/>
              </w:rPr>
              <w:t xml:space="preserve">dr_ratio_max</w:t>
            </w:r>
            <w:r>
              <w:t xml:space="preserve"> </w:t>
            </w:r>
            <w:r>
              <w:t xml:space="preserve">(e.g. 0.35/0.40 = 0.875).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min(1.0, dr_crg_coverage_ratio / dr_ratio_max)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placement drives buffer margins toward target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δ is different per env:</w:t>
      </w:r>
      <w:r>
        <w:t xml:space="preserve"> </w:t>
      </w:r>
      <w:r>
        <w:t xml:space="preserve">Each environment has a distinct resilience need. Prod cares about its paired DR region’s readiness; NonProd cares about overflow headroom it can yield to DR during a crisis; DR cares about its own coverage health.</w:t>
      </w:r>
    </w:p>
    <w:p>
      <w:pPr>
        <w:pStyle w:val="BodyText"/>
      </w:pPr>
      <w:r>
        <w:rPr>
          <w:bCs/>
          <w:b/>
        </w:rPr>
        <w:t xml:space="preserve">Why δ = 0.15:</w:t>
      </w:r>
      <w:r>
        <w:t xml:space="preserve"> </w:t>
      </w:r>
      <w:r>
        <w:t xml:space="preserve">Lower than α/β/γ because it’s a forward-looking health signal rather than an immediate placement blocker. Increase δ toward 0.20 if DR buffer violations appear; decrease if capacity/distribution should dominate.</w:t>
      </w:r>
    </w:p>
    <w:p>
      <w:pPr>
        <w:pStyle w:val="BodyText"/>
      </w:pPr>
      <w:r>
        <w:rPr>
          <w:bCs/>
          <w:b/>
        </w:rPr>
        <w:t xml:space="preserve">Trade-off (PS_NonProd):</w:t>
      </w:r>
      <w:r>
        <w:t xml:space="preserve"> </w:t>
      </w:r>
      <w:r>
        <w:t xml:space="preserve">δ duplicates α intentionally — this was flagged in the PRR (Section 28) as double-counting. The corrected pilot formula proposes revised NonProd weights:</w:t>
      </w:r>
      <w:r>
        <w:t xml:space="preserve"> </w:t>
      </w:r>
      <w:r>
        <w:rPr>
          <w:rStyle w:val="VerbatimChar"/>
        </w:rPr>
        <w:t xml:space="preserve">PS_NonProd = 0.35·Capacity + 0.25·Quota + 0.25·Distribution + 0.05·DR_Overflow_Integrity + 0.10·Zones</w:t>
      </w:r>
      <w:r>
        <w:t xml:space="preserve"> </w:t>
      </w:r>
      <w:r>
        <w:t xml:space="preserve">to reduce the duplication.</w:t>
      </w:r>
    </w:p>
    <w:p>
      <w:r>
        <w:pict>
          <v:rect style="width:0;height:1.5pt" o:hralign="center" o:hrstd="t" o:hr="t"/>
        </w:pict>
      </w:r>
    </w:p>
    <w:bookmarkEnd w:id="24"/>
    <w:bookmarkStart w:id="26" w:name="ε-epsilon-zone-diversity-weight-0.10"/>
    <w:p>
      <w:pPr>
        <w:pStyle w:val="Heading3"/>
      </w:pPr>
      <w:r>
        <w:t xml:space="preserve">ε (Epsilon) — Zone Diversity</w:t>
      </w:r>
      <w:r>
        <w:t xml:space="preserve"> </w:t>
      </w:r>
      <w:r>
        <w:rPr>
          <w:bCs/>
          <w:b/>
        </w:rPr>
        <w:t xml:space="preserve">[Weight: 0.10]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Rewards regions with more availability zones, ensuring placed workloads can leverage Azure’s zone-redundancy features.</w:t>
      </w:r>
    </w:p>
    <w:p>
      <w:pPr>
        <w:pStyle w:val="BodyText"/>
      </w:pPr>
      <w:r>
        <w:rPr>
          <w:bCs/>
          <w:b/>
        </w:rPr>
        <w:t xml:space="preserve">Semantic (same for all environments):</w:t>
      </w:r>
    </w:p>
    <w:p>
      <w:pPr>
        <w:pStyle w:val="SourceCode"/>
      </w:pPr>
      <w:r>
        <w:rPr>
          <w:rStyle w:val="VerbatimChar"/>
        </w:rPr>
        <w:t xml:space="preserve">ε = az_count / 3</w:t>
      </w:r>
    </w:p>
    <w:p>
      <w:pPr>
        <w:pStyle w:val="FirstParagraph"/>
      </w:pPr>
      <w:r>
        <w:t xml:space="preserve">Normalizes to 1.0 for a 3-zone region (maximum diversity); proportionally lower for 2-zone (0.667) or 1-zone (0.333) regions.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(PS_Prod, PS_NonProd, PS_DR)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diversity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 / 3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ε = 0.10 (lowest weight):</w:t>
      </w:r>
      <w:r>
        <w:t xml:space="preserve"> </w:t>
      </w:r>
      <w:r>
        <w:t xml:space="preserve">Zone diversity is desirable but not a placement blocker. Hard constraint</w:t>
      </w:r>
      <w:r>
        <w:t xml:space="preserve"> </w:t>
      </w:r>
      <w:r>
        <w:rPr>
          <w:bCs/>
          <w:b/>
        </w:rPr>
        <w:t xml:space="preserve">HC-5 ZONE_AVAILABILITY</w:t>
      </w:r>
      <w:r>
        <w:t xml:space="preserve"> </w:t>
      </w:r>
      <w:r>
        <w:t xml:space="preserve">already enforces a minimum zone count — ε acts as a tiebreaker that favors 3-zone regions when all else is equal. Increase ε toward 0.15 if zone diversity is a critical operational requirement; keep at 0.10 if capacity/distribution dominate.</w:t>
      </w:r>
    </w:p>
    <w:bookmarkStart w:id="25" w:name="X5b9aa2c13ca65971fc940a728c2614ce4910cdb"/>
    <w:p>
      <w:pPr>
        <w:pStyle w:val="Heading4"/>
      </w:pPr>
      <w:r>
        <w:t xml:space="preserve">ε (region-selection) vs. PLC-011 (intra-region even distribution) — v2.4 reconciliation</w:t>
      </w:r>
    </w:p>
    <w:p>
      <w:pPr>
        <w:pStyle w:val="FirstParagraph"/>
      </w:pPr>
      <w:r>
        <w:t xml:space="preserve">ε and PLC-011 both concern availability zones but operate at</w:t>
      </w:r>
      <w:r>
        <w:t xml:space="preserve"> </w:t>
      </w:r>
      <w:r>
        <w:rPr>
          <w:bCs/>
          <w:b/>
        </w:rPr>
        <w:t xml:space="preserve">different stages</w:t>
      </w:r>
      <w:r>
        <w:t xml:space="preserve"> </w:t>
      </w:r>
      <w:r>
        <w:t xml:space="preserve">and must not be conflated: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 — Zone Diversity (this weight, PLC-007)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PLC-011 — Even Zone-Distribution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  <w:r>
              <w:t xml:space="preserve"> </w:t>
            </w:r>
            <w:r>
              <w:rPr>
                <w:bCs/>
                <w:b/>
              </w:rPr>
              <w:t xml:space="preserve">selection</w:t>
            </w:r>
            <w:r>
              <w:t xml:space="preserve"> </w:t>
            </w:r>
            <w:r>
              <w:t xml:space="preserve">(which region wins)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</w:t>
            </w:r>
            <w:r>
              <w:t xml:space="preserve"> </w:t>
            </w:r>
            <w:r>
              <w:rPr>
                <w:bCs/>
                <w:b/>
              </w:rPr>
              <w:t xml:space="preserve">placement within</w:t>
            </w:r>
            <w:r>
              <w:t xml:space="preserve"> </w:t>
            </w:r>
            <w:r>
              <w:t xml:space="preserve">the already-selected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Signal /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ε = az_count / 3</w:t>
            </w:r>
            <w:r>
              <w:t xml:space="preserve"> </w:t>
            </w:r>
            <w:r>
              <w:t xml:space="preserve">— a soft ranking</w:t>
            </w:r>
            <w:r>
              <w:t xml:space="preserve"> </w:t>
            </w:r>
            <w:r>
              <w:rPr>
                <w:iCs/>
                <w:i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spread ≈</w:t>
            </w:r>
            <w:r>
              <w:t xml:space="preserve"> </w:t>
            </w:r>
            <w:r>
              <w:rPr>
                <w:rStyle w:val="VerbatimChar"/>
              </w:rPr>
              <w:t xml:space="preserve">1 / zone_count</w:t>
            </w:r>
            <w:r>
              <w:t xml:space="preserve"> </w:t>
            </w:r>
            <w:r>
              <w:t xml:space="preserve">per zone (≈33% each in a 3-zone region) — a placement</w:t>
            </w:r>
            <w:r>
              <w:t xml:space="preserve"> </w:t>
            </w:r>
            <w:r>
              <w:rPr>
                <w:iCs/>
                <w:i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Nudges score toward regions that have more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Prefers the</w:t>
            </w:r>
            <w:r>
              <w:t xml:space="preserve"> </w:t>
            </w:r>
            <w:r>
              <w:rPr>
                <w:bCs/>
                <w:b/>
              </w:rPr>
              <w:t xml:space="preserve">under-represented</w:t>
            </w:r>
            <w:r>
              <w:t xml:space="preserve"> </w:t>
            </w:r>
            <w:r>
              <w:t xml:space="preserve">zone for new placement; (b) raises a</w:t>
            </w:r>
            <w:r>
              <w:t xml:space="preserve"> </w:t>
            </w:r>
            <w:r>
              <w:rPr>
                <w:bCs/>
                <w:b/>
              </w:rPr>
              <w:t xml:space="preserve">rebalancing</w:t>
            </w:r>
            <w:r>
              <w:t xml:space="preserve"> </w:t>
            </w:r>
            <w:r>
              <w:t xml:space="preserve">recommendation/action when skew exceeds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tiebreaker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 Skew &gt; Configured Skew Tolerance</w:t>
            </w:r>
            <w:r>
              <w:t xml:space="preserve"> </w:t>
            </w:r>
            <w:r>
              <w:t xml:space="preserve">(C-13) triggers rebalance (subject to approval + Azure feasibility)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A.9 (below)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CRG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per-AZ CRG sizing under</w:t>
            </w:r>
            <w:r>
              <w:t xml:space="preserve"> </w:t>
            </w:r>
            <w:r>
              <w:rPr>
                <w:bCs/>
                <w:b/>
              </w:rPr>
              <w:t xml:space="preserve">CAP-023</w:t>
            </w:r>
            <w:r>
              <w:t xml:space="preserve"> </w:t>
            </w:r>
            <w:r>
              <w:t xml:space="preserve">balanced</w:t>
            </w:r>
          </w:p>
        </w:tc>
      </w:tr>
    </w:tbl>
    <w:p>
      <w:pPr>
        <w:pStyle w:val="BodyText"/>
      </w:pPr>
      <w:r>
        <w:t xml:space="preserve">The baseline is explicit that PLC-011</w:t>
      </w:r>
      <w:r>
        <w:t xml:space="preserve"> </w:t>
      </w:r>
      <w:r>
        <w:t xml:space="preserve">“</w:t>
      </w:r>
      <w:r>
        <w:t xml:space="preserve">is a placement</w:t>
      </w:r>
      <w:r>
        <w:t xml:space="preserve"> </w:t>
      </w:r>
      <w:r>
        <w:rPr>
          <w:bCs/>
          <w:b/>
        </w:rPr>
        <w:t xml:space="preserve">target</w:t>
      </w:r>
      <w:r>
        <w:t xml:space="preserve">, not merely the zone-diversity scoring</w:t>
      </w:r>
      <w:r>
        <w:t xml:space="preserve"> </w:t>
      </w:r>
      <w:r>
        <w:rPr>
          <w:iCs/>
          <w:i/>
        </w:rPr>
        <w:t xml:space="preserve">signal</w:t>
      </w:r>
      <w:r>
        <w:t xml:space="preserve"> </w:t>
      </w:r>
      <w:r>
        <w:t xml:space="preserve">used in PLC-007 weighting … without an explicit target the ε zone-diversity term only nudges scoring and cannot trigger a rebalance.</w:t>
      </w:r>
      <w:r>
        <w:t xml:space="preserve">”</w:t>
      </w:r>
      <w:r>
        <w:t xml:space="preserve"> </w:t>
      </w:r>
      <w:r>
        <w:t xml:space="preserve">ε therefore remains purely a</w:t>
      </w:r>
      <w:r>
        <w:t xml:space="preserve"> </w:t>
      </w:r>
      <w:r>
        <w:rPr>
          <w:bCs/>
          <w:b/>
        </w:rPr>
        <w:t xml:space="preserve">region-ranking</w:t>
      </w:r>
      <w:r>
        <w:t xml:space="preserve"> </w:t>
      </w:r>
      <w:r>
        <w:t xml:space="preserve">tiebreaker; the intra-region distribution target and rebalancing are governed separately by PLC-011.</w:t>
      </w:r>
    </w:p>
    <w:p>
      <w:pPr>
        <w:pStyle w:val="BodyText"/>
      </w:pPr>
      <w:r>
        <w:rPr>
          <w:bCs/>
          <w:b/>
        </w:rPr>
        <w:t xml:space="preserve">Appendix A.9 — Even zone-distribution skew formula (PLC-011):</w:t>
      </w:r>
    </w:p>
    <w:p>
      <w:pPr>
        <w:pStyle w:val="SourceCode"/>
      </w:pPr>
      <w:r>
        <w:rPr>
          <w:rStyle w:val="VerbatimChar"/>
        </w:rPr>
        <w:t xml:space="preserve">Even Zone Share            = 1 / Zone Count                       (e.g. 1/3 ≈ 33% in a 3-zone region)</w:t>
      </w:r>
      <w:r>
        <w:br/>
      </w:r>
      <w:r>
        <w:rPr>
          <w:rStyle w:val="VerbatimChar"/>
        </w:rPr>
        <w:t xml:space="preserve">Target VMs per Zone        = round( Workload VM Count / Zone Count )</w:t>
      </w:r>
      <w:r>
        <w:br/>
      </w:r>
      <w:r>
        <w:rPr>
          <w:rStyle w:val="VerbatimChar"/>
        </w:rPr>
        <w:t xml:space="preserve">Zone Skew(z)               = VMs in zone z - Target VMs per Zone</w:t>
      </w:r>
      <w:r>
        <w:br/>
      </w:r>
      <w:r>
        <w:rPr>
          <w:rStyle w:val="VerbatimChar"/>
        </w:rPr>
        <w:t xml:space="preserve">Max Skew                   = MAX over zones z of | Zone Skew(z) |</w:t>
      </w:r>
      <w:r>
        <w:br/>
      </w:r>
      <w:r>
        <w:rPr>
          <w:rStyle w:val="VerbatimChar"/>
        </w:rPr>
        <w:t xml:space="preserve">Rebalance Trigger          = Max Skew &gt; Configured Skew Tolerance  (C-13)</w:t>
      </w:r>
      <w:r>
        <w:br/>
      </w:r>
      <w:r>
        <w:rPr>
          <w:rStyle w:val="VerbatimChar"/>
        </w:rPr>
        <w:t xml:space="preserve">Preferred Placement Zone   = argmin over zones z of ( VMs in zone z )   # under-represented zone</w:t>
      </w:r>
    </w:p>
    <w:p>
      <w:pPr>
        <w:pStyle w:val="FirstParagraph"/>
      </w:pPr>
      <w:r>
        <w:t xml:space="preserve">The target ratio and tolerance are configuration-driven (</w:t>
      </w:r>
      <w:r>
        <w:rPr>
          <w:rStyle w:val="VerbatimChar"/>
        </w:rPr>
        <w:t xml:space="preserve">PlacementPolicy</w:t>
      </w:r>
      <w:r>
        <w:t xml:space="preserve">, constraint</w:t>
      </w:r>
      <w:r>
        <w:t xml:space="preserve"> </w:t>
      </w:r>
      <w:r>
        <w:rPr>
          <w:bCs/>
          <w:b/>
        </w:rPr>
        <w:t xml:space="preserve">C-13</w:t>
      </w:r>
      <w:r>
        <w:t xml:space="preserve">). See the baseline PLC-011 and Appendix A.9, and ADR-003 (zone-distribution interaction) for the DR-sizing cross-reference.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complete-formula-definitions"/>
    <w:p>
      <w:pPr>
        <w:pStyle w:val="Heading2"/>
      </w:pPr>
      <w:r>
        <w:t xml:space="preserve">Complete Formula Definitions</w:t>
      </w:r>
    </w:p>
    <w:bookmarkStart w:id="28" w:name="ps_prodr-production-region-score"/>
    <w:p>
      <w:pPr>
        <w:pStyle w:val="Heading3"/>
      </w:pPr>
      <w:r>
        <w:t xml:space="preserve">PS_Prod(r) — Production Region Score</w:t>
      </w:r>
    </w:p>
    <w:p>
      <w:pPr>
        <w:pStyle w:val="SourceCode"/>
      </w:pPr>
      <w:r>
        <w:rPr>
          <w:rStyle w:val="VerbatimChar"/>
        </w:rPr>
        <w:t xml:space="preserve">PS_Prod(r) =</w:t>
      </w:r>
      <w:r>
        <w:br/>
      </w:r>
      <w:r>
        <w:rPr>
          <w:rStyle w:val="VerbatimChar"/>
        </w:rPr>
        <w:t xml:space="preserve">    0.30 × (nonprod_crg_effective_free / prod_crg_quantity)             ← α: NonProd overflow headroom</w:t>
      </w:r>
      <w:r>
        <w:br/>
      </w:r>
      <w:r>
        <w:rPr>
          <w:rStyle w:val="VerbatimChar"/>
        </w:rPr>
        <w:t xml:space="preserve">  + 0.20 × (prod_crg_quota_headroom_vcpu / prod_crg_quota_limit_vcpu)  ← β: Prod quota headroom</w:t>
      </w:r>
      <w:r>
        <w:br/>
      </w:r>
      <w:r>
        <w:rPr>
          <w:rStyle w:val="VerbatimChar"/>
        </w:rPr>
        <w:t xml:space="preserve">  + 0.25 × (1 - consumer_count_prod / total_customers)                 ← γ: Prod distribution fairness</w:t>
      </w:r>
      <w:r>
        <w:br/>
      </w:r>
      <w:r>
        <w:rPr>
          <w:rStyle w:val="VerbatimChar"/>
        </w:rPr>
        <w:t xml:space="preserve">  + 0.15 × dr_crg_coverage_ratio                                       ← δ: DR readiness of likely DR target</w:t>
      </w:r>
      <w:r>
        <w:br/>
      </w:r>
      <w:r>
        <w:rPr>
          <w:rStyle w:val="VerbatimChar"/>
        </w:rPr>
        <w:t xml:space="preserve">  + 0.10 × (az_count / 3)                                              ← ε: zone diversity</w:t>
      </w:r>
    </w:p>
    <w:p>
      <w:pPr>
        <w:pStyle w:val="FirstParagraph"/>
      </w:pPr>
      <w:r>
        <w:rPr>
          <w:bCs/>
          <w:b/>
        </w:rPr>
        <w:t xml:space="preserve">Guards: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prod_crg_quantity ==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PS_Prod = 0.0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prod_crg_quota_limit_vcpu == 0</w:t>
      </w:r>
      <w:r>
        <w:t xml:space="preserve"> </w:t>
      </w:r>
      <w:r>
        <w:t xml:space="preserve">→ β term = 0.0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dr_crg_coverage_ratio is None</w:t>
      </w:r>
      <w:r>
        <w:t xml:space="preserve"> </w:t>
      </w:r>
      <w:r>
        <w:t xml:space="preserve">→ δ term = 0.0 (no DR CRG established yet)</w:t>
      </w:r>
    </w:p>
    <w:p>
      <w:r>
        <w:pict>
          <v:rect style="width:0;height:1.5pt" o:hralign="center" o:hrstd="t" o:hr="t"/>
        </w:pict>
      </w:r>
    </w:p>
    <w:bookmarkEnd w:id="28"/>
    <w:bookmarkStart w:id="29" w:name="X8da172e0e31a791c0e043e7d31bb4e3b549ce7f"/>
    <w:p>
      <w:pPr>
        <w:pStyle w:val="Heading3"/>
      </w:pPr>
      <w:r>
        <w:t xml:space="preserve">PS_NonProd(r) — Non-Production / CVAL Region Score</w:t>
      </w:r>
    </w:p>
    <w:p>
      <w:pPr>
        <w:pStyle w:val="FirstParagraph"/>
      </w:pPr>
      <w:r>
        <w:rPr>
          <w:bCs/>
          <w:b/>
        </w:rPr>
        <w:t xml:space="preserve">Current formula (with intentional α/δ duplication):</w:t>
      </w:r>
    </w:p>
    <w:p>
      <w:pPr>
        <w:pStyle w:val="SourceCode"/>
      </w:pPr>
      <w:r>
        <w:rPr>
          <w:rStyle w:val="VerbatimChar"/>
        </w:rPr>
        <w:t xml:space="preserve">PS_NonProd(r) =</w:t>
      </w:r>
      <w:r>
        <w:br/>
      </w:r>
      <w:r>
        <w:rPr>
          <w:rStyle w:val="VerbatimChar"/>
        </w:rPr>
        <w:t xml:space="preserve">    0.30 × (nonprod_crg_effective_free / nonprod_crg_quantity)              ← α: effective NonProd headroom</w:t>
      </w:r>
      <w:r>
        <w:br/>
      </w:r>
      <w:r>
        <w:rPr>
          <w:rStyle w:val="VerbatimChar"/>
        </w:rPr>
        <w:t xml:space="preserve">  + 0.20 × (nonprod_crg_quota_headroom_vcpu / nonprod_crg_quota_limit_vcpu) ← β: NonProd quota headroom</w:t>
      </w:r>
      <w:r>
        <w:br/>
      </w:r>
      <w:r>
        <w:rPr>
          <w:rStyle w:val="VerbatimChar"/>
        </w:rPr>
        <w:t xml:space="preserve">  + 0.25 × (1 - consumer_count_nonprod / total_customers)                   ← γ: NonProd distribution</w:t>
      </w:r>
      <w:r>
        <w:br/>
      </w:r>
      <w:r>
        <w:rPr>
          <w:rStyle w:val="VerbatimChar"/>
        </w:rPr>
        <w:t xml:space="preserve">  + 0.15 × (nonprod_crg_effective_free / nonprod_crg_quantity)              ← δ: overflow capacity health (same as α)</w:t>
      </w:r>
      <w:r>
        <w:br/>
      </w:r>
      <w:r>
        <w:rPr>
          <w:rStyle w:val="VerbatimChar"/>
        </w:rPr>
        <w:t xml:space="preserve">  + 0.10 × (az_count / 3)                                                   ← ε: zone diversity</w:t>
      </w:r>
    </w:p>
    <w:p>
      <w:pPr>
        <w:pStyle w:val="FirstParagraph"/>
      </w:pPr>
      <w:r>
        <w:rPr>
          <w:bCs/>
          <w:b/>
        </w:rPr>
        <w:t xml:space="preserve">Proposed pilot formula (corrected to avoid double-counting):</w:t>
      </w:r>
    </w:p>
    <w:p>
      <w:pPr>
        <w:pStyle w:val="SourceCode"/>
      </w:pPr>
      <w:r>
        <w:rPr>
          <w:rStyle w:val="VerbatimChar"/>
        </w:rPr>
        <w:t xml:space="preserve">PS_NonProd(r) =</w:t>
      </w:r>
      <w:r>
        <w:br/>
      </w:r>
      <w:r>
        <w:rPr>
          <w:rStyle w:val="VerbatimChar"/>
        </w:rPr>
        <w:t xml:space="preserve">    0.35 × (nonprod_crg_effective_free / nonprod_crg_quantity)              ← α: capacity (increased)</w:t>
      </w:r>
      <w:r>
        <w:br/>
      </w:r>
      <w:r>
        <w:rPr>
          <w:rStyle w:val="VerbatimChar"/>
        </w:rPr>
        <w:t xml:space="preserve">  + 0.25 × (nonprod_crg_quota_headroom_vcpu / nonprod_crg_quota_limit_vcpu) ← β: quota headroom</w:t>
      </w:r>
      <w:r>
        <w:br/>
      </w:r>
      <w:r>
        <w:rPr>
          <w:rStyle w:val="VerbatimChar"/>
        </w:rPr>
        <w:t xml:space="preserve">  + 0.25 × (1 - consumer_count_nonprod / total_customers)                   ← γ: distribution</w:t>
      </w:r>
      <w:r>
        <w:br/>
      </w:r>
      <w:r>
        <w:rPr>
          <w:rStyle w:val="VerbatimChar"/>
        </w:rPr>
        <w:t xml:space="preserve">  + 0.05 × (nonprod_crg_effective_free / nonprod_crg_quantity)              ← δ: DR overflow integrity (reduced)</w:t>
      </w:r>
      <w:r>
        <w:br/>
      </w:r>
      <w:r>
        <w:rPr>
          <w:rStyle w:val="VerbatimChar"/>
        </w:rPr>
        <w:t xml:space="preserve">  + 0.10 × (az_count / 3)                                                   ← ε: zone diversity</w:t>
      </w:r>
    </w:p>
    <w:p>
      <w:pPr>
        <w:pStyle w:val="FirstParagraph"/>
      </w:pPr>
      <w:r>
        <w:rPr>
          <w:bCs/>
          <w:b/>
        </w:rPr>
        <w:t xml:space="preserve">Guards: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nonprod_crg_quantity ==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PS_NonProd = 0.0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nonprod_crg_quota_limit_vcpu == 0</w:t>
      </w:r>
      <w:r>
        <w:t xml:space="preserve"> </w:t>
      </w:r>
      <w:r>
        <w:t xml:space="preserve">→ β term = 0.0</w:t>
      </w:r>
    </w:p>
    <w:p>
      <w:r>
        <w:pict>
          <v:rect style="width:0;height:1.5pt" o:hralign="center" o:hrstd="t" o:hr="t"/>
        </w:pict>
      </w:r>
    </w:p>
    <w:bookmarkEnd w:id="29"/>
    <w:bookmarkStart w:id="30" w:name="ps_drr-disaster-recovery-region-score"/>
    <w:p>
      <w:pPr>
        <w:pStyle w:val="Heading3"/>
      </w:pPr>
      <w:r>
        <w:t xml:space="preserve">PS_DR(r) — Disaster Recovery Region Score</w:t>
      </w:r>
    </w:p>
    <w:p>
      <w:pPr>
        <w:pStyle w:val="SourceCode"/>
      </w:pPr>
      <w:r>
        <w:rPr>
          <w:rStyle w:val="VerbatimChar"/>
        </w:rPr>
        <w:t xml:space="preserve">PS_DR(r) =</w:t>
      </w:r>
      <w:r>
        <w:br/>
      </w:r>
      <w:r>
        <w:rPr>
          <w:rStyle w:val="VerbatimChar"/>
        </w:rPr>
        <w:t xml:space="preserve">    0.30 × (dr_crg_free_slots / dr_crg_quantity)                            ← α: DR CRG headroom</w:t>
      </w:r>
      <w:r>
        <w:br/>
      </w:r>
      <w:r>
        <w:rPr>
          <w:rStyle w:val="VerbatimChar"/>
        </w:rPr>
        <w:t xml:space="preserve">  + 0.20 × (dr_crg_quota_headroom_vcpu / dr_crg_quota_limit_vcpu)          ← β: DR quota headroom</w:t>
      </w:r>
      <w:r>
        <w:br/>
      </w:r>
      <w:r>
        <w:rPr>
          <w:rStyle w:val="VerbatimChar"/>
        </w:rPr>
        <w:t xml:space="preserve">  + 0.25 × (1 - consumer_count_dr / total_customers)                       ← γ: DR distribution</w:t>
      </w:r>
      <w:r>
        <w:br/>
      </w:r>
      <w:r>
        <w:rPr>
          <w:rStyle w:val="VerbatimChar"/>
        </w:rPr>
        <w:t xml:space="preserve">  + 0.15 × min(1.0, dr_crg_coverage_ratio / dr_ratio_max)                  ← δ: coverage ratio health</w:t>
      </w:r>
      <w:r>
        <w:br/>
      </w:r>
      <w:r>
        <w:rPr>
          <w:rStyle w:val="VerbatimChar"/>
        </w:rPr>
        <w:t xml:space="preserve">  + 0.10 × (az_count / 3)                                                  ← ε: zone diversity</w:t>
      </w:r>
    </w:p>
    <w:p>
      <w:pPr>
        <w:pStyle w:val="FirstParagraph"/>
      </w:pPr>
      <w:r>
        <w:rPr>
          <w:bCs/>
          <w:b/>
        </w:rPr>
        <w:t xml:space="preserve">Guards: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dr_crg_quantity ==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PS_DR = 0.0</w:t>
      </w:r>
      <w:r>
        <w:t xml:space="preserve"> </w:t>
      </w:r>
      <w:r>
        <w:t xml:space="preserve">(no DR CRG — region ineligible)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dr_crg_quota_limit_vcpu == 0</w:t>
      </w:r>
      <w:r>
        <w:t xml:space="preserve"> </w:t>
      </w:r>
      <w:r>
        <w:t xml:space="preserve">→ β term = 0.0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dr_crg_coverage_ratio is None</w:t>
      </w:r>
      <w:r>
        <w:t xml:space="preserve"> </w:t>
      </w:r>
      <w:r>
        <w:t xml:space="preserve">→ δ term = 0.0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eight-summary-table"/>
    <w:p>
      <w:pPr>
        <w:pStyle w:val="Heading2"/>
      </w:pPr>
      <w:r>
        <w:t xml:space="preserve">Weight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62"/>
        <w:gridCol w:w="772"/>
        <w:gridCol w:w="772"/>
        <w:gridCol w:w="1738"/>
        <w:gridCol w:w="2028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PS_Prod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PS_NonProd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PS_DR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CRG 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overflow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effective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CRG free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Headroom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group quota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floor-adjusted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quota within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region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 fairness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DR/Overflow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coverage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 capacity (same as 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vs target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 Diversity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 /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 /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 /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lamping-score-range"/>
    <w:p>
      <w:pPr>
        <w:pStyle w:val="Heading2"/>
      </w:pPr>
      <w:r>
        <w:t xml:space="preserve">Clamping &amp; Score Range</w:t>
      </w:r>
    </w:p>
    <w:p>
      <w:pPr>
        <w:pStyle w:val="FirstParagraph"/>
      </w:pPr>
      <w:r>
        <w:t xml:space="preserve">Every raw component ratio is</w:t>
      </w:r>
      <w:r>
        <w:t xml:space="preserve"> </w:t>
      </w:r>
      <w:r>
        <w:rPr>
          <w:bCs/>
          <w:b/>
        </w:rPr>
        <w:t xml:space="preserve">clamped</w:t>
      </w:r>
      <w:r>
        <w:t xml:space="preserve"> </w:t>
      </w:r>
      <w:r>
        <w:t xml:space="preserve">before weighting:</w:t>
      </w:r>
    </w:p>
    <w:p>
      <w:pPr>
        <w:pStyle w:val="SourceCode"/>
      </w:pPr>
      <w:r>
        <w:rPr>
          <w:rStyle w:val="VerbatimChar"/>
        </w:rPr>
        <w:t xml:space="preserve">Clamp(x) = max(0, min(1, x))</w:t>
      </w:r>
    </w:p>
    <w:p>
      <w:pPr>
        <w:pStyle w:val="FirstParagraph"/>
      </w:pPr>
      <w:r>
        <w:t xml:space="preserve">This ensures each component contributes a value in the range</w:t>
      </w:r>
      <w:r>
        <w:t xml:space="preserve"> </w:t>
      </w:r>
      <w:r>
        <w:rPr>
          <w:rStyle w:val="VerbatimChar"/>
        </w:rPr>
        <w:t xml:space="preserve">[0.0, 1.0]</w:t>
      </w:r>
      <w:r>
        <w:t xml:space="preserve">, and the final weighted score for any region is:</w:t>
      </w:r>
    </w:p>
    <w:p>
      <w:pPr>
        <w:pStyle w:val="SourceCode"/>
      </w:pPr>
      <w:r>
        <w:rPr>
          <w:rStyle w:val="VerbatimChar"/>
        </w:rPr>
        <w:t xml:space="preserve">PS(r) ∈ [0.0, 1.0]</w:t>
      </w:r>
    </w:p>
    <w:p>
      <w:pPr>
        <w:pStyle w:val="FirstParagraph"/>
      </w:pPr>
      <w:r>
        <w:t xml:space="preserve">A uniform jitter of ±0.01 is added as a tiebreaker.</w:t>
      </w:r>
    </w:p>
    <w:p>
      <w:r>
        <w:pict>
          <v:rect style="width:0;height:1.5pt" o:hralign="center" o:hrstd="t" o:hr="t"/>
        </w:pict>
      </w:r>
    </w:p>
    <w:bookmarkEnd w:id="33"/>
    <w:bookmarkStart w:id="38" w:name="tuning-guidance"/>
    <w:p>
      <w:pPr>
        <w:pStyle w:val="Heading2"/>
      </w:pPr>
      <w:r>
        <w:t xml:space="preserve">Tuning Guidance</w:t>
      </w:r>
    </w:p>
    <w:bookmarkStart w:id="34" w:name="when-to-adjust-α-capacity"/>
    <w:p>
      <w:pPr>
        <w:pStyle w:val="Heading3"/>
      </w:pPr>
      <w:r>
        <w:t xml:space="preserve">When to adjust α (Capacity)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Increase α toward 0.35–0.40</w:t>
      </w:r>
      <w:r>
        <w:t xml:space="preserve"> </w:t>
      </w:r>
      <w:r>
        <w:t xml:space="preserve">when capacity is tight and regions are unevenly provisioned.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Reduce α toward 0.20</w:t>
      </w:r>
      <w:r>
        <w:t xml:space="preserve"> </w:t>
      </w:r>
      <w:r>
        <w:t xml:space="preserve">once regions reach steady-state utilization (40–60%) and distribution becomes the primary concern.</w:t>
      </w:r>
    </w:p>
    <w:bookmarkEnd w:id="34"/>
    <w:bookmarkStart w:id="35" w:name="when-to-adjust-γ-distribution"/>
    <w:p>
      <w:pPr>
        <w:pStyle w:val="Heading3"/>
      </w:pPr>
      <w:r>
        <w:t xml:space="preserve">When to adjust γ (Distribution)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Increase γ toward 0.35</w:t>
      </w:r>
      <w:r>
        <w:t xml:space="preserve"> </w:t>
      </w:r>
      <w:r>
        <w:t xml:space="preserve">if score convergence results in uneven region loading (some regions accumulate too many customers).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Decrease γ toward 0.15</w:t>
      </w:r>
      <w:r>
        <w:t xml:space="preserve"> </w:t>
      </w:r>
      <w:r>
        <w:t xml:space="preserve">if capacity constraints should dominate fairness (tight capacity environments).</w:t>
      </w:r>
    </w:p>
    <w:bookmarkEnd w:id="35"/>
    <w:bookmarkStart w:id="36" w:name="when-to-adjust-δ-droverflow-health"/>
    <w:p>
      <w:pPr>
        <w:pStyle w:val="Heading3"/>
      </w:pPr>
      <w:r>
        <w:t xml:space="preserve">When to adjust δ (DR/Overflow Health)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Increase δ toward 0.20</w:t>
      </w:r>
      <w:r>
        <w:t xml:space="preserve"> </w:t>
      </w:r>
      <w:r>
        <w:t xml:space="preserve">if DR buffer violations or coverage gaps appear frequently.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Reduce δ toward 0.10</w:t>
      </w:r>
      <w:r>
        <w:t xml:space="preserve"> </w:t>
      </w:r>
      <w:r>
        <w:t xml:space="preserve">if capacity/distribution should dominate and DR health is consistently good.</w:t>
      </w:r>
    </w:p>
    <w:bookmarkEnd w:id="36"/>
    <w:bookmarkStart w:id="37" w:name="when-to-adjust-ε-zone-diversity"/>
    <w:p>
      <w:pPr>
        <w:pStyle w:val="Heading3"/>
      </w:pPr>
      <w:r>
        <w:t xml:space="preserve">When to adjust ε (Zone Diversity)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Increase ε toward 0.15</w:t>
      </w:r>
      <w:r>
        <w:t xml:space="preserve"> </w:t>
      </w:r>
      <w:r>
        <w:t xml:space="preserve">if zone diversity is a critical operational requirement (e.g., all placements must strongly favor 3-zone regions).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Keep ε at 0.10</w:t>
      </w:r>
      <w:r>
        <w:t xml:space="preserve"> </w:t>
      </w:r>
      <w:r>
        <w:t xml:space="preserve">(default) if capacity, quota, and distribution are the dominant concerns.</w:t>
      </w:r>
    </w:p>
    <w:p>
      <w:pPr>
        <w:pStyle w:val="FirstParagraph"/>
      </w:pPr>
      <w:r>
        <w:rPr>
          <w:bCs/>
          <w:b/>
        </w:rPr>
        <w:t xml:space="preserve">Default recommendation:</w:t>
      </w:r>
      <w:r>
        <w:t xml:space="preserve"> </w:t>
      </w:r>
      <w:r>
        <w:t xml:space="preserve">Start with the default weights (</w:t>
      </w:r>
      <w:r>
        <w:rPr>
          <w:rStyle w:val="VerbatimChar"/>
        </w:rPr>
        <w:t xml:space="preserve">α=0.30, β=0.20, γ=0.25, δ=0.15, ε=0.10</w:t>
      </w:r>
      <w:r>
        <w:t xml:space="preserve">) for the pilot. After 30–50 customer placements, analyze the score breakdown data in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and adjust incrementally based on observed convergence behavior.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ource-references"/>
    <w:p>
      <w:pPr>
        <w:pStyle w:val="Heading2"/>
      </w:pPr>
      <w:r>
        <w:t xml:space="preserve">Source References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Multi-Region Placement Design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docs/research/multi_region_placement_design.md</w:t>
      </w:r>
      <w:r>
        <w:t xml:space="preserve">) — lines 449–531, full formula definitions + weight table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Design Change Summary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docs/research/design_change_summary.md</w:t>
      </w:r>
      <w:r>
        <w:t xml:space="preserve">) — CR/CRG-7, lines 153–193, formula rationale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Production Readiness 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docs/acrme_production_readiness_review_and_architecture.md</w:t>
      </w:r>
      <w:r>
        <w:t xml:space="preserve">) — Section 28 lines 1095–1160, corrected scoring model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ADR-001 Region Selection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docs/adr/acrme_adr_001_region_selection.md</w:t>
      </w:r>
      <w:r>
        <w:t xml:space="preserve">) — corrected scoring model section</w:t>
      </w:r>
    </w:p>
    <w:p>
      <w:r>
        <w:pict>
          <v:rect style="width:0;height:1.5pt" o:hralign="center" o:hrstd="t" o:hr="t"/>
        </w:pict>
      </w:r>
    </w:p>
    <w:bookmarkEnd w:id="39"/>
    <w:bookmarkStart w:id="40" w:name="evidence-tags"/>
    <w:p>
      <w:pPr>
        <w:pStyle w:val="Heading2"/>
      </w:pPr>
      <w:r>
        <w:t xml:space="preserve">Evidence Tags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— Defined in Multi-Region Placement Design and PRR Section 28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[Decided]</w:t>
      </w:r>
      <w:r>
        <w:t xml:space="preserve"> </w:t>
      </w:r>
      <w:r>
        <w:t xml:space="preserve">— Decision Log D9 (env-type-specific formulas)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[Assumed]</w:t>
      </w:r>
      <w:r>
        <w:t xml:space="preserve"> </w:t>
      </w:r>
      <w:r>
        <w:t xml:space="preserve">— Default weights retained for pilot comparison; revised weights proposed but not empirically validated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Reference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pilot Phase 4 (policy tuning with 30–50 placements measured)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2026-09-07T15:02:05Z</dcterms:created>
  <dcterms:modified xsi:type="dcterms:W3CDTF">2026-09-07T15:02:05Z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