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Azure Capacity Reservation Management Engine (ACRME)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Architecture Governance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1.2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Part of:</w:t>
      </w:r>
      <w:r>
        <w:t xml:space="preserve"> </w:t>
      </w:r>
      <w:r>
        <w:t xml:space="preserve">ACRME Architecture Decision Records — one of four standalone, self-contained records.</w:t>
      </w:r>
    </w:p>
    <w:p>
      <w:pPr>
        <w:pStyle w:val="BlockText"/>
      </w:pPr>
      <w:r>
        <w:rPr>
          <w:bCs/>
          <w:b/>
        </w:rPr>
        <w:t xml:space="preserve">About ADRs.</w:t>
      </w:r>
      <w:r>
        <w:t xml:space="preserve"> </w:t>
      </w:r>
      <w:r>
        <w:t xml:space="preserve">An Architecture Decision Record captures a single significant architectural decision, the context that forced it, the options considered, the choice made, and its consequences. ADRs are immutable once accepted — a superseding decision is recorded as a new ADR rather than editing the original. This record is self-contained: it can be read without any companion document. Evidence tags: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(see Appendix).</w:t>
      </w:r>
    </w:p>
    <w:p>
      <w:r>
        <w:pict>
          <v:rect style="width:0;height:1.5pt" o:hralign="center" o:hrstd="t" o:hr="t"/>
        </w:pict>
      </w:r>
    </w:p>
    <w:bookmarkStart w:id="37" w:name="Xb03910cb3c9a0c0ecb9b813c5fa342521392efc"/>
    <w:p>
      <w:pPr>
        <w:pStyle w:val="Heading1"/>
      </w:pPr>
      <w:r>
        <w:t xml:space="preserve">ADR-003 — Capacity Management during Disaster Recovery (DR)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DR Owner, Platform Engineering, Security</w:t>
      </w:r>
      <w:r>
        <w:br/>
      </w:r>
      <w:r>
        <w:rPr>
          <w:bCs/>
          <w:b/>
        </w:rPr>
        <w:t xml:space="preserve">Related constraints:</w:t>
      </w:r>
      <w:r>
        <w:t xml:space="preserve"> </w:t>
      </w:r>
      <w:r>
        <w:t xml:space="preserve">HC-1, HC-4, HC-6 (hard constraints)</w:t>
      </w:r>
    </w:p>
    <w:bookmarkStart w:id="20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When a primary region fails, customers must recover in their DR region within a committed RTO. Pre-positioning a full 1:1 DR reserve is prohibitively expensive, yet under-provisioning risks a failed failover. During a crisis, waiting on Azure quota-increase approvals (hours) is unacceptable. The engine must also strictly separate</w:t>
      </w:r>
      <w:r>
        <w:t xml:space="preserve"> </w:t>
      </w:r>
      <w:r>
        <w:rPr>
          <w:bCs/>
          <w:b/>
        </w:rPr>
        <w:t xml:space="preserve">routine growth</w:t>
      </w:r>
      <w:r>
        <w:t xml:space="preserve"> </w:t>
      </w:r>
      <w:r>
        <w:t xml:space="preserve">from</w:t>
      </w:r>
      <w:r>
        <w:t xml:space="preserve"> </w:t>
      </w:r>
      <w:r>
        <w:rPr>
          <w:bCs/>
          <w:b/>
        </w:rPr>
        <w:t xml:space="preserve">destructive crisis operations</w:t>
      </w:r>
      <w:r>
        <w:t xml:space="preserve"> </w:t>
      </w:r>
      <w:r>
        <w:t xml:space="preserve">so that reconciliation can never accidentally trigger VM disruption.</w:t>
      </w:r>
    </w:p>
    <w:p>
      <w:pPr>
        <w:pStyle w:val="BodyText"/>
      </w:pPr>
      <w:r>
        <w:t xml:space="preserve">Two capabilities are needed:</w:t>
      </w:r>
      <w:r>
        <w:t xml:space="preserve"> </w:t>
      </w:r>
      <w:r>
        <w:t xml:space="preserve">- A way to reuse otherwise-idle NonProd capacity as DR overflow.</w:t>
      </w:r>
      <w:r>
        <w:t xml:space="preserve"> </w:t>
      </w:r>
      <w:r>
        <w:t xml:space="preserve">- A safe, tiered escalation model for expanding DR capacity during a declared event.</w:t>
      </w:r>
    </w:p>
    <w:bookmarkEnd w:id="20"/>
    <w:bookmarkStart w:id="30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</w:t>
      </w:r>
      <w:r>
        <w:t xml:space="preserve"> </w:t>
      </w:r>
      <w:r>
        <w:rPr>
          <w:bCs/>
          <w:b/>
        </w:rPr>
        <w:t xml:space="preserve">NonProd/DR co-location with a coverage floor</w:t>
      </w:r>
      <w:r>
        <w:t xml:space="preserve">, a</w:t>
      </w:r>
      <w:r>
        <w:t xml:space="preserve"> </w:t>
      </w:r>
      <w:r>
        <w:rPr>
          <w:bCs/>
          <w:b/>
        </w:rPr>
        <w:t xml:space="preserve">formal two-mode engine state</w:t>
      </w:r>
      <w:r>
        <w:t xml:space="preserve">, and a</w:t>
      </w:r>
      <w:r>
        <w:t xml:space="preserve"> </w:t>
      </w:r>
      <w:r>
        <w:rPr>
          <w:bCs/>
          <w:b/>
        </w:rPr>
        <w:t xml:space="preserve">three-tier emergency transfer model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NonProd and DR may share a region (HC-1 constraint removed).</w:t>
      </w:r>
      <w:r>
        <w:t xml:space="preserve"> </w:t>
      </w:r>
      <w:r>
        <w:t xml:space="preserve">This lets the NonProd CRG’s</w:t>
      </w:r>
      <w:r>
        <w:t xml:space="preserve"> </w:t>
      </w:r>
      <w:r>
        <w:rPr>
          <w:rStyle w:val="VerbatimChar"/>
        </w:rPr>
        <w:t xml:space="preserve">effective_free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dr_overflow_reserve</w:t>
      </w:r>
      <w:r>
        <w:t xml:space="preserve">) count as DR overflow headroom.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1"/>
          <w:numId w:val="1002"/>
        </w:numPr>
      </w:pPr>
      <w:r>
        <w:rPr>
          <w:bCs/>
          <w:b/>
        </w:rPr>
        <w:t xml:space="preserve">HC-6 DR_COVERAGE_FLOOR</w:t>
      </w:r>
      <w:r>
        <w:t xml:space="preserve"> </w:t>
      </w:r>
      <w:r>
        <w:t xml:space="preserve">guarantees the combined pool can absorb demand before DR placement is accepted:</w:t>
      </w:r>
    </w:p>
    <w:p>
      <w:pPr>
        <w:numPr>
          <w:ilvl w:val="1"/>
          <w:numId w:val="1000"/>
        </w:numPr>
        <w:pStyle w:val="SourceCode"/>
      </w:pPr>
      <w:r>
        <w:rPr>
          <w:rStyle w:val="VerbatimChar"/>
        </w:rPr>
        <w:t xml:space="preserve">dr_crg_free_slots(R) + nonprod_crg_effective_free(R) ≥ prod_vm_count × dr_ratio_max</w:t>
      </w:r>
    </w:p>
    <w:p>
      <w:pPr>
        <w:numPr>
          <w:ilvl w:val="1"/>
          <w:numId w:val="1002"/>
        </w:numPr>
      </w:pPr>
      <w:r>
        <w:rPr>
          <w:bCs/>
          <w:b/>
        </w:rPr>
        <w:t xml:space="preserve">HC-4 DR_SEPARATION_CLASS</w:t>
      </w:r>
      <w:r>
        <w:t xml:space="preserve"> </w:t>
      </w:r>
      <w:r>
        <w:t xml:space="preserve">still guarantees Prod and DR sit in non-correlated failure domains (HIGH separation for non-paired regions).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Two separate operating systems gated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engine_mode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  <w:bCs/>
          <w:b/>
        </w:rPr>
        <w:t xml:space="preserve">STEADY_STATE</w:t>
      </w:r>
      <w:r>
        <w:t xml:space="preserve"> </w:t>
      </w:r>
      <w:r>
        <w:t xml:space="preserve">— organic growth via the reconciliation loop and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(see ADR-004). Emergency Transfer is</w:t>
      </w:r>
      <w:r>
        <w:t xml:space="preserve"> </w:t>
      </w:r>
      <w:r>
        <w:rPr>
          <w:bCs/>
          <w:b/>
        </w:rPr>
        <w:t xml:space="preserve">rejected</w:t>
      </w:r>
      <w:r>
        <w:t xml:space="preserve"> </w:t>
      </w:r>
      <w:r>
        <w:t xml:space="preserve">in this mode.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  <w:bCs/>
          <w:b/>
        </w:rPr>
        <w:t xml:space="preserve">DR_EVENT_ACTIVE</w:t>
      </w:r>
      <w:r>
        <w:t xml:space="preserve"> </w:t>
      </w:r>
      <w:r>
        <w:t xml:space="preserve">— crisis operations only. The auto-increase trigger is</w:t>
      </w:r>
      <w:r>
        <w:t xml:space="preserve"> </w:t>
      </w:r>
      <w:r>
        <w:rPr>
          <w:bCs/>
          <w:b/>
        </w:rPr>
        <w:t xml:space="preserve">suppressed</w:t>
      </w:r>
      <w:r>
        <w:t xml:space="preserve"> </w:t>
      </w:r>
      <w:r>
        <w:t xml:space="preserve">in this mode. Mode transitions are operator-gated with dual approval (state machine</w:t>
      </w:r>
      <w:r>
        <w:t xml:space="preserve"> </w:t>
      </w:r>
      <w:r>
        <w:rPr>
          <w:rStyle w:val="VerbatimChar"/>
        </w:rPr>
        <w:t xml:space="preserve">EngineModeState</w:t>
      </w:r>
      <w:r>
        <w:t xml:space="preserve">), never automatic.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Three-tier Emergency Capacity Transfer escalation: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Tier 1 — DirectExpansion (automated):</w:t>
      </w:r>
      <w:r>
        <w:t xml:space="preserve"> </w:t>
      </w:r>
      <w:r>
        <w:t xml:space="preserve">expand DR CR quantity using free headroom in the DR group. No approval beyond DR-event declaration.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Tier 2 — QuotaNeutralTransfer (policy-gated):</w:t>
      </w:r>
      <w:r>
        <w:t xml:space="preserve"> </w:t>
      </w:r>
      <w:r>
        <w:t xml:space="preserve">reduce a NonProd CR (releasing quota to the shared NonProd+DR group pool) and expand the DR CR from that same pool. Net group headroom change ≈ 0 —</w:t>
      </w:r>
      <w:r>
        <w:t xml:space="preserve"> </w:t>
      </w:r>
      <w:r>
        <w:rPr>
          <w:bCs/>
          <w:b/>
        </w:rPr>
        <w:t xml:space="preserve">quota-neutral, no VM execution-state change</w:t>
      </w:r>
      <w:r>
        <w:t xml:space="preserve"> </w:t>
      </w:r>
      <w:r>
        <w:t xml:space="preserve">(only NonProd SLA is removed). This is possible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because of the two-group model (see ADR-002).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Tier 3 — DestructiveTransfer (dual approval + elevated RBAC):</w:t>
      </w:r>
      <w:r>
        <w:t xml:space="preserve"> </w:t>
      </w:r>
      <w:r>
        <w:t xml:space="preserve">the only tier that modifies VM-to-CRG associations. The operator supplies an explicit</w:t>
      </w:r>
      <w:r>
        <w:t xml:space="preserve"> </w:t>
      </w:r>
      <w:r>
        <w:rPr>
          <w:rStyle w:val="VerbatimChar"/>
        </w:rPr>
        <w:t xml:space="preserve">vm_disassociation_list</w:t>
      </w:r>
      <w:r>
        <w:t xml:space="preserve"> </w:t>
      </w:r>
      <w:r>
        <w:t xml:space="preserve">(no automated VM selection in Phase 1); executed via 6-step Path B with Path A fallback per VM. VMSS entries are rejected in Phase 1.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Quota-neutral math (Tier 2):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NonProd CR reduction  → releases quota to shared NonProd+DR GROUP pool</w:t>
      </w:r>
      <w:r>
        <w:br/>
      </w:r>
      <w:r>
        <w:rPr>
          <w:rStyle w:val="VerbatimChar"/>
        </w:rPr>
        <w:t xml:space="preserve">DR CR expansion       → consumes from the SAME pool</w:t>
      </w:r>
      <w:r>
        <w:br/>
      </w:r>
      <w:r>
        <w:rPr>
          <w:rStyle w:val="VerbatimChar"/>
        </w:rPr>
        <w:t xml:space="preserve">⇒ net group headroom change ≈ 0  (ARM operations only; no Azure quota approval)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DR reserve sizing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30–40%</w:t>
      </w:r>
      <w:r>
        <w:t xml:space="preserve"> </w:t>
      </w:r>
      <w:r>
        <w:t xml:space="preserve">of Prod (</w:t>
      </w:r>
      <w:r>
        <w:rPr>
          <w:rStyle w:val="VerbatimChar"/>
        </w:rPr>
        <w:t xml:space="preserve">dr_ratio_min=0.30</w:t>
      </w:r>
      <w:r>
        <w:t xml:space="preserve">,</w:t>
      </w:r>
      <w:r>
        <w:t xml:space="preserve"> </w:t>
      </w:r>
      <w:r>
        <w:rPr>
          <w:rStyle w:val="VerbatimChar"/>
        </w:rPr>
        <w:t xml:space="preserve">dr_ratio_max=0.40</w:t>
      </w:r>
      <w:r>
        <w:t xml:space="preserve">,</w:t>
      </w:r>
      <w:r>
        <w:t xml:space="preserve"> </w:t>
      </w:r>
      <w:r>
        <w:rPr>
          <w:rStyle w:val="VerbatimChar"/>
        </w:rPr>
        <w:t xml:space="preserve">dr_ratio_target=0.35</w:t>
      </w:r>
      <w:r>
        <w:t xml:space="preserve">); the protected floor uses</w:t>
      </w:r>
      <w:r>
        <w:t xml:space="preserve"> </w:t>
      </w:r>
      <w:r>
        <w:rPr>
          <w:rStyle w:val="VerbatimChar"/>
        </w:rPr>
        <w:t xml:space="preserve">dr_ratio_max</w:t>
      </w:r>
      <w:r>
        <w:t xml:space="preserve"> </w:t>
      </w:r>
      <w:r>
        <w:t xml:space="preserve">(see ADR-002).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Phase-1 safety posture:</w:t>
      </w:r>
      <w:r>
        <w:t xml:space="preserve"> </w:t>
      </w:r>
      <w:r>
        <w:t xml:space="preserve">Tier 2 is approval-gated;</w:t>
      </w:r>
      <w:r>
        <w:t xml:space="preserve"> </w:t>
      </w:r>
      <w:r>
        <w:rPr>
          <w:bCs/>
          <w:b/>
        </w:rPr>
        <w:t xml:space="preserve">Tier 3 is blocked</w:t>
      </w:r>
      <w:r>
        <w:t xml:space="preserve"> </w:t>
      </w:r>
      <w:r>
        <w:t xml:space="preserve">pending the consumer-credential model and the engine-mode state machine. No invented SLA — propagation/approval times are measured and reported as unknown until observed.</w:t>
      </w:r>
    </w:p>
    <w:p>
      <w:pPr>
        <w:pStyle w:val="CaptionedFigure"/>
      </w:pPr>
      <w:r>
        <w:drawing>
          <wp:inline>
            <wp:extent cx="5334000" cy="17597437"/>
            <wp:effectExtent b="0" l="0" r="0" t="0"/>
            <wp:docPr descr="Figure 1. Three-tier Emergency Capacity Transfer escalation — Tier 1 automated, Tier 2 quota-neutral, Tier 3 destructive (blocked in Phase 1)." title="" id="22" name="Picture"/>
            <a:graphic>
              <a:graphicData uri="http://schemas.openxmlformats.org/drawingml/2006/picture">
                <pic:pic>
                  <pic:nvPicPr>
                    <pic:cNvPr descr="diagrams/adr003_transfer_tier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97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Three-tier Emergency Capacity Transfer escalation — Tier 1 automated, Tier 2 quota-neutral, Tier 3 destructive (blocked in Phase 1).</w:t>
      </w:r>
    </w:p>
    <w:bookmarkStart w:id="27" w:name="full-engine-state-machine-normative"/>
    <w:p>
      <w:pPr>
        <w:pStyle w:val="Heading4"/>
      </w:pPr>
      <w:r>
        <w:t xml:space="preserve">Full Engine State Machine (normative)</w:t>
      </w:r>
    </w:p>
    <w:p>
      <w:pPr>
        <w:pStyle w:val="FirstParagraph"/>
      </w:pPr>
      <w:r>
        <w:rPr>
          <w:rStyle w:val="VerbatimChar"/>
        </w:rPr>
        <w:t xml:space="preserve">engine_mode</w:t>
      </w:r>
      <w:r>
        <w:t xml:space="preserve"> </w:t>
      </w:r>
      <w:r>
        <w:t xml:space="preserve">is not a two-value flag but a</w:t>
      </w:r>
      <w:r>
        <w:t xml:space="preserve"> </w:t>
      </w:r>
      <w:r>
        <w:rPr>
          <w:bCs/>
          <w:b/>
        </w:rPr>
        <w:t xml:space="preserve">five-state machine</w:t>
      </w:r>
      <w:r>
        <w:t xml:space="preserve"> </w:t>
      </w:r>
      <w:r>
        <w:t xml:space="preserve">persisted in Cosmos DB with conditional writes, transition guards, and recovery tests — a production blocker until implemented:</w:t>
      </w:r>
      <w:r>
        <w:t xml:space="preserve"> </w:t>
      </w:r>
      <w:r>
        <w:rPr>
          <w:rStyle w:val="VerbatimChar"/>
        </w:rPr>
        <w:t xml:space="preserve">[Documented]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Permitted transitions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STEADY_STATE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Organic growth only; Emergency Transfer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DR_DECLARATION_PENDING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DR_DECLARATION_PENDING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requested, awaiting dual approval +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DR_EVENT_ACTIVE (approved) · → STEADY_STATE (rejected/expired)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DR_EVENT_ACTIVE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operations only; auto-increase suppressed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FAILBACK_PENDING · → INCIDENT_HOLD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FAILBACK_PENDING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Failback requested, being 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STEADY_STATE (completed) · → DR_EVENT_ACTIVE (validation failed) · → INCIDENT_HOLD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INCIDENT_HOLD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conflict / critical failure — safe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DR_EVENT_ACTIVE · → FAILBACK_PENDING (on recovery approval)</w:t>
            </w:r>
          </w:p>
        </w:tc>
      </w:tr>
    </w:tbl>
    <w:p>
      <w:pPr>
        <w:pStyle w:val="BodyText"/>
      </w:pPr>
      <w:r>
        <w:t xml:space="preserve">All transitions are</w:t>
      </w:r>
      <w:r>
        <w:t xml:space="preserve"> </w:t>
      </w:r>
      <w:r>
        <w:rPr>
          <w:bCs/>
          <w:b/>
        </w:rPr>
        <w:t xml:space="preserve">operator-gated with dual approval</w:t>
      </w:r>
      <w:r>
        <w:t xml:space="preserve"> </w:t>
      </w:r>
      <w:r>
        <w:t xml:space="preserve">— never automatic.</w:t>
      </w:r>
    </w:p>
    <w:p>
      <w:pPr>
        <w:pStyle w:val="CaptionedFigure"/>
      </w:pPr>
      <w:r>
        <w:drawing>
          <wp:inline>
            <wp:extent cx="5334000" cy="3918857"/>
            <wp:effectExtent b="0" l="0" r="0" t="0"/>
            <wp:docPr descr="Figure 2. Five-state engine mode machine — every transition is operator-gated with dual approval." title="" id="25" name="Picture"/>
            <a:graphic>
              <a:graphicData uri="http://schemas.openxmlformats.org/drawingml/2006/picture">
                <pic:pic>
                  <pic:nvPicPr>
                    <pic:cNvPr descr="diagrams/adr003_state_machin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Five-state engine mode machine — every transition is operator-gated with dual approval.</w:t>
      </w:r>
    </w:p>
    <w:bookmarkEnd w:id="27"/>
    <w:bookmarkStart w:id="28" w:name="enginemodestate-entity"/>
    <w:p>
      <w:pPr>
        <w:pStyle w:val="Heading4"/>
      </w:pPr>
      <w:r>
        <w:rPr>
          <w:rStyle w:val="VerbatimChar"/>
        </w:rPr>
        <w:t xml:space="preserve">EngineModeState</w:t>
      </w:r>
      <w:r>
        <w:t xml:space="preserve"> </w:t>
      </w:r>
      <w:r>
        <w:t xml:space="preserve">Entity</w:t>
      </w:r>
    </w:p>
    <w:p>
      <w:pPr>
        <w:pStyle w:val="FirstParagraph"/>
      </w:pPr>
      <w:r>
        <w:t xml:space="preserve">Must carry: environment/control-plane scope · current mode · state version · incident ID · requested-by · approved-by · transition timestamp · transition reason · active operation IDs · lease owner + expiry · recovery checkpoint.</w:t>
      </w:r>
      <w:r>
        <w:t xml:space="preserve"> </w:t>
      </w:r>
      <w:r>
        <w:rPr>
          <w:rStyle w:val="VerbatimChar"/>
        </w:rPr>
        <w:t xml:space="preserve">[Documented]</w:t>
      </w:r>
    </w:p>
    <w:bookmarkEnd w:id="28"/>
    <w:bookmarkStart w:id="29" w:name="dr-activation-semantics"/>
    <w:p>
      <w:pPr>
        <w:pStyle w:val="Heading4"/>
      </w:pPr>
      <w:r>
        <w:t xml:space="preserve">DR Activation Semantics</w:t>
      </w:r>
    </w:p>
    <w:p>
      <w:pPr>
        <w:pStyle w:val="FirstParagraph"/>
      </w:pPr>
      <w:r>
        <w:t xml:space="preserve">Entering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rPr>
          <w:bCs/>
          <w:b/>
        </w:rPr>
        <w:t xml:space="preserve">only establishes the operating mode</w:t>
      </w:r>
      <w:r>
        <w:t xml:space="preserve"> </w:t>
      </w:r>
      <w:r>
        <w:t xml:space="preserve">in which separately-governed emergency operations may be evaluated —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automatically authorize Tier 2 or Tier 3. Each tier is independently gated. The DR orchestrator validates group and subscription quota and CR/sharing state before starting any approved failover deployment, and records active-or-incident-hold state back to the state service.</w:t>
      </w:r>
      <w:r>
        <w:t xml:space="preserve"> </w:t>
      </w:r>
      <w:r>
        <w:rPr>
          <w:rStyle w:val="VerbatimChar"/>
        </w:rPr>
        <w:t xml:space="preserve">[Documented]</w:t>
      </w:r>
    </w:p>
    <w:bookmarkEnd w:id="29"/>
    <w:bookmarkEnd w:id="30"/>
    <w:bookmarkStart w:id="31" w:name="consequences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Idle NonProd capacity doubles as DR overflow, cutting the cost of pre-positioned DR reserve while HC-6 guarantees sufficiency.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engine_mode</w:t>
      </w:r>
      <w:r>
        <w:t xml:space="preserve"> </w:t>
      </w:r>
      <w:r>
        <w:t xml:space="preserve">gate makes it structurally impossible for routine reconciliation to trigger destructive VM operations.</w:t>
      </w:r>
      <w:r>
        <w:t xml:space="preserve"> </w:t>
      </w:r>
      <w:r>
        <w:t xml:space="preserve">- Tier 2 delivers meaningful crisis capacity</w:t>
      </w:r>
      <w:r>
        <w:t xml:space="preserve"> </w:t>
      </w:r>
      <w:r>
        <w:rPr>
          <w:bCs/>
          <w:b/>
        </w:rPr>
        <w:t xml:space="preserve">with zero VM disruption and zero Azure quota wait</w:t>
      </w:r>
      <w:r>
        <w:t xml:space="preserve"> </w:t>
      </w:r>
      <w:r>
        <w:t xml:space="preserve">— the common escalation path avoids Tier 3 entirely.</w:t>
      </w:r>
      <w:r>
        <w:t xml:space="preserve"> </w:t>
      </w:r>
      <w:r>
        <w:t xml:space="preserve">- Every operation is tagged with its operating mode for a clean audit trail.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Co-location adds risk that NonProd over-consumption erodes DR overflow; mitigated by HC-6,</w:t>
      </w:r>
      <w:r>
        <w:t xml:space="preserve"> </w:t>
      </w:r>
      <w:r>
        <w:rPr>
          <w:rStyle w:val="VerbatimChar"/>
        </w:rPr>
        <w:t xml:space="preserve">dr_overflow_reserve</w:t>
      </w:r>
      <w:r>
        <w:t xml:space="preserve">, and floor alerting.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engine_mode</w:t>
      </w:r>
      <w:r>
        <w:t xml:space="preserve"> </w:t>
      </w:r>
      <w:r>
        <w:t xml:space="preserve">must be a formal Cosmos DB state propagated to every reconciliation cycle, with operator-gated, dual-approval transitions.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Tier 3 is blocked</w:t>
      </w:r>
      <w:r>
        <w:t xml:space="preserve"> </w:t>
      </w:r>
      <w:r>
        <w:t xml:space="preserve">until the consumer-credential model (Managed Identity vs cross-tenant service-principal) and the engine-mode state machine are resolved — a known Phase-1 limitation.</w:t>
      </w:r>
      <w:r>
        <w:t xml:space="preserve"> </w:t>
      </w:r>
      <w:r>
        <w:t xml:space="preserve">- Tier 3 requires a rare, audited break-glass role (</w:t>
      </w:r>
      <w:r>
        <w:rPr>
          <w:rStyle w:val="VerbatimChar"/>
        </w:rPr>
        <w:t xml:space="preserve">ACRME.SuperAdmin</w:t>
      </w:r>
      <w:r>
        <w:t xml:space="preserve">) for single-approver override.</w:t>
      </w:r>
      <w:r>
        <w:t xml:space="preserve"> </w:t>
      </w:r>
      <w:r>
        <w:t xml:space="preserve">- Requires per-CRG-type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fields to evaluate HC-6.</w:t>
      </w:r>
    </w:p>
    <w:bookmarkEnd w:id="31"/>
    <w:bookmarkStart w:id="32" w:name="alternatives-considered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DR_region ≠ NonProd_region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Prevents using NonProd as DR overflow — the whole point of co-location.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Remove separation with no compensating 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Risks NonProd over-consumption leaving no DR headroom.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Unified capacity engine with mode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flags create complex conditionals and risk triggering VM disassociation during routine reconciliation.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Emergency transfer as an extension of auto-increase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Conflates policy-driven growth with operator-gated crisis response; could run destructive ops without a DR declaration.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Two tiers only (automated + destructive)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Loses the quota-neutral Tier 2 — the critical low-risk intermediate that avoids Tier 3 in most crises.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Four tiers (separate VMSS tier)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VMSS disassociation deferred as a Phase-1 limitation rather than a distinct tier.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appendix-adr-summary"/>
    <w:p>
      <w:pPr>
        <w:pStyle w:val="Heading2"/>
      </w:pPr>
      <w:r>
        <w:t xml:space="preserve">Appendix — ADR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Constraints Applied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Open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ADR-003 Capacity during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HC-1, HC-4, HC-6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Consumer-credential model and engine-mode state machine; quota-release latency measured</w:t>
            </w:r>
          </w:p>
        </w:tc>
      </w:tr>
    </w:tbl>
    <w:bookmarkEnd w:id="33"/>
    <w:bookmarkStart w:id="34" w:name="appendix-status-legend"/>
    <w:p>
      <w:pPr>
        <w:pStyle w:val="Heading2"/>
      </w:pPr>
      <w:r>
        <w:t xml:space="preserve">Appendix — Status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discussion; not yet ratified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 and in force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longer recommended but not yet 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 a later ADR</w:t>
            </w:r>
          </w:p>
        </w:tc>
      </w:tr>
    </w:tbl>
    <w:bookmarkEnd w:id="34"/>
    <w:bookmarkStart w:id="35" w:name="appendix-evidence-tag-taxonomy"/>
    <w:p>
      <w:pPr>
        <w:pStyle w:val="Heading2"/>
      </w:pPr>
      <w:r>
        <w:t xml:space="preserve">Appendix — Evidence Tag Taxonomy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[Documented]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Traceable to Azure platform behaviour or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explicit ACRME design choice recorded in this ADR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logical consequence of a documented constraint or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judgement pending proof-of-concept validation</w:t>
            </w:r>
          </w:p>
        </w:tc>
      </w:tr>
    </w:tbl>
    <w:bookmarkEnd w:id="35"/>
    <w:bookmarkStart w:id="36" w:name="related-adrs"/>
    <w:p>
      <w:pPr>
        <w:pStyle w:val="Heading2"/>
      </w:pPr>
      <w:r>
        <w:t xml:space="preserve">Related ADRs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ADR-001 — Region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acrme_adr_001_region_selection.md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ADR-002 — Quota and Capacity Management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acrme_adr_002_quota_and_capacity_management.md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ADR-004 — Forecast and Increase of Capacity and Quota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acrme_adr_004_forecast_and_increase_of_capacity_and_quota.md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proof-of-concept validation of Azure Quota Groups GA and quota-release latency, and on resolution of the consumer-credential model and engine-mode state-machine items.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2026-08-27T11:37:45Z</dcterms:created>
  <dcterms:modified xsi:type="dcterms:W3CDTF">2026-08-27T11:37:45Z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