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Azure Capacity Reservation Management Engine (ACRME)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- Architecture Governance</w:t>
      </w:r>
      <w:r>
        <w:br/>
      </w:r>
      <w:r>
        <w:rPr>
          <w:bCs/>
          <w:b/>
        </w:rPr>
        <w:t xml:space="preserve">Version:</w:t>
      </w:r>
      <w:r>
        <w:t xml:space="preserve"> </w:t>
      </w:r>
      <w:r>
        <w:t xml:space="preserve">2.4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7 September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Accepted - supersedes ADR-003 v1.2 fixed-ratio DR model; reconciled to Baseline v2.4</w:t>
      </w:r>
      <w:r>
        <w:br/>
      </w:r>
      <w:r>
        <w:rPr>
          <w:bCs/>
          <w:b/>
        </w:rPr>
        <w:t xml:space="preserve">Part of:</w:t>
      </w:r>
      <w:r>
        <w:t xml:space="preserve"> </w:t>
      </w:r>
      <w:r>
        <w:t xml:space="preserve">ACRME Architecture Decision Records - aligned to Capacity &amp; Quota Management Requirements Baseline v2.4.</w:t>
      </w:r>
    </w:p>
    <w:p>
      <w:pPr>
        <w:pStyle w:val="BlockText"/>
      </w:pPr>
      <w:r>
        <w:rPr>
          <w:bCs/>
          <w:b/>
        </w:rPr>
        <w:t xml:space="preserve">About ADRs.</w:t>
      </w:r>
      <w:r>
        <w:t xml:space="preserve"> </w:t>
      </w:r>
      <w:r>
        <w:t xml:space="preserve">An Architecture Decision Record captures a significant architectural decision, the context that forced it, the options considered, the choice made, and its consequences. This ADR updates disaster-recovery capacity management to the lean bootstrap and distributed DR model. Evidence tags: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,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v2.4 reconciliation note.</w:t>
      </w:r>
      <w:r>
        <w:t xml:space="preserve"> </w:t>
      </w:r>
      <w:r>
        <w:t xml:space="preserve">The DR capacity model (max-not-sum sizing,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, standby activation waves, CVAL earmark / no-double-count) is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by Baseline v2.4. v2.4 adds the</w:t>
      </w:r>
      <w:r>
        <w:t xml:space="preserve"> </w:t>
      </w:r>
      <w:r>
        <w:rPr>
          <w:bCs/>
          <w:b/>
        </w:rPr>
        <w:t xml:space="preserve">even per-zone distribution target and rebalancing action (PLC-011, Appendix A.9)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regional + per-AZ CRG structure (CAP-023)</w:t>
      </w:r>
      <w:r>
        <w:t xml:space="preserve">; because DR sizing here is computed</w:t>
      </w:r>
      <w:r>
        <w:t xml:space="preserve"> </w:t>
      </w:r>
      <w:r>
        <w:rPr>
          <w:bCs/>
          <w:b/>
        </w:rPr>
        <w:t xml:space="preserve">per zone</w:t>
      </w:r>
      <w:r>
        <w:t xml:space="preserve">, this ADR now cross-references PLC-011/A.9 at the sizing formula so per-zone DR floors and per-AZ CRG sizing stay balanced (see</w:t>
      </w:r>
      <w:r>
        <w:t xml:space="preserve"> </w:t>
      </w:r>
      <w:r>
        <w:rPr>
          <w:iCs/>
          <w:i/>
        </w:rPr>
        <w:t xml:space="preserve">DR Sizing Formula</w:t>
      </w:r>
      <w:r>
        <w:t xml:space="preserve"> </w:t>
      </w:r>
      <w:r>
        <w:t xml:space="preserve">below).</w:t>
      </w:r>
    </w:p>
    <w:p>
      <w:r>
        <w:pict>
          <v:rect style="width:0;height:1.5pt" o:hralign="center" o:hrstd="t" o:hr="t"/>
        </w:pict>
      </w:r>
    </w:p>
    <w:bookmarkStart w:id="35" w:name="X8ed65ec4e74e59ccff599c4eccb97353d380054"/>
    <w:p>
      <w:pPr>
        <w:pStyle w:val="Heading1"/>
      </w:pPr>
      <w:r>
        <w:t xml:space="preserve">ADR-003 - Capacity Management during Disaster Recovery (DR)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27 August 2026</w:t>
      </w:r>
      <w:r>
        <w:br/>
      </w:r>
      <w:r>
        <w:rPr>
          <w:bCs/>
          <w:b/>
        </w:rPr>
        <w:t xml:space="preserve">Deciders:</w:t>
      </w:r>
      <w:r>
        <w:t xml:space="preserve"> </w:t>
      </w:r>
      <w:r>
        <w:t xml:space="preserve">Principal Cloud Architect, DR Owner, Platform Engineering, Security, FinOps</w:t>
      </w:r>
      <w:r>
        <w:br/>
      </w:r>
      <w:r>
        <w:rPr>
          <w:bCs/>
          <w:b/>
        </w:rPr>
        <w:t xml:space="preserve">Related requirements:</w:t>
      </w:r>
      <w:r>
        <w:t xml:space="preserve"> </w:t>
      </w:r>
      <w:r>
        <w:t xml:space="preserve">ENV-003..ENV-006, DR-001..DR-019, PLC-010, DAT-002, DAT-003, OBS-001..OBS-004, OPS-001</w:t>
      </w:r>
      <w:r>
        <w:br/>
      </w:r>
      <w:r>
        <w:rPr>
          <w:bCs/>
          <w:b/>
        </w:rPr>
        <w:t xml:space="preserve">Related POCs/decisions:</w:t>
      </w:r>
      <w:r>
        <w:t xml:space="preserve"> </w:t>
      </w:r>
      <w:r>
        <w:t xml:space="preserve">POC-001, POC-006, POC-007, POC-011, DEC-001, DEC-002, DEP-001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v1 DR model assumed a fixed 30-40% reserve relative to production. Requirements v2.1 explicitly rejects that as the default because idle DR reservations at platform scale are too expensive and do not reflect the single-region-failure assumption.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t xml:space="preserve">ACRME now needs a DR model that:</w:t>
      </w:r>
    </w:p>
    <w:p>
      <w:pPr>
        <w:numPr>
          <w:ilvl w:val="0"/>
          <w:numId w:val="1001"/>
        </w:numPr>
        <w:pStyle w:val="Compact"/>
      </w:pPr>
      <w:r>
        <w:t xml:space="preserve">starts with configurable bootstrap capacity, not a percentage clone of production;</w:t>
      </w:r>
    </w:p>
    <w:p>
      <w:pPr>
        <w:numPr>
          <w:ilvl w:val="0"/>
          <w:numId w:val="1001"/>
        </w:numPr>
        <w:pStyle w:val="Compact"/>
      </w:pPr>
      <w:r>
        <w:t xml:space="preserve">reconciles reserved capacity dynamically against allocated demand and policy buffers;</w:t>
      </w:r>
    </w:p>
    <w:p>
      <w:pPr>
        <w:numPr>
          <w:ilvl w:val="0"/>
          <w:numId w:val="1001"/>
        </w:numPr>
        <w:pStyle w:val="Compact"/>
      </w:pPr>
      <w:r>
        <w:t xml:space="preserve">uses CVAL/NonProd as a potential DR capacity source only under authorised runbooks;</w:t>
      </w:r>
    </w:p>
    <w:p>
      <w:pPr>
        <w:numPr>
          <w:ilvl w:val="0"/>
          <w:numId w:val="1001"/>
        </w:numPr>
        <w:pStyle w:val="Compact"/>
      </w:pPr>
      <w:r>
        <w:t xml:space="preserve">supports reciprocal multi-source DR hosting, where any region may simultaneously host Prod, CVAL, and DR standby for different customers;</w:t>
      </w:r>
    </w:p>
    <w:p>
      <w:pPr>
        <w:numPr>
          <w:ilvl w:val="0"/>
          <w:numId w:val="1001"/>
        </w:numPr>
        <w:pStyle w:val="Compact"/>
      </w:pPr>
      <w:r>
        <w:t xml:space="preserve">sizes each DR destination using max-over-non-concurrent-source demand;</w:t>
      </w:r>
    </w:p>
    <w:p>
      <w:pPr>
        <w:numPr>
          <w:ilvl w:val="0"/>
          <w:numId w:val="1001"/>
        </w:numPr>
        <w:pStyle w:val="Compact"/>
      </w:pPr>
      <w:r>
        <w:t xml:space="preserve">activates the correct standby set by source-region failure; and</w:t>
      </w:r>
    </w:p>
    <w:p>
      <w:pPr>
        <w:numPr>
          <w:ilvl w:val="0"/>
          <w:numId w:val="1001"/>
        </w:numPr>
        <w:pStyle w:val="Compact"/>
      </w:pPr>
      <w:r>
        <w:t xml:space="preserve">preserves auditability and failback reversibility.</w:t>
      </w:r>
      <w:r>
        <w:t xml:space="preserve"> </w:t>
      </w:r>
      <w:r>
        <w:rPr>
          <w:rStyle w:val="VerbatimChar"/>
        </w:rPr>
        <w:t xml:space="preserve">[Derived]</w:t>
      </w:r>
    </w:p>
    <w:bookmarkEnd w:id="20"/>
    <w:bookmarkStart w:id="21" w:name="decision"/>
    <w:p>
      <w:pPr>
        <w:pStyle w:val="Heading2"/>
      </w:pPr>
      <w:r>
        <w:t xml:space="preserve">Decision</w:t>
      </w:r>
    </w:p>
    <w:p>
      <w:pPr>
        <w:pStyle w:val="FirstParagraph"/>
      </w:pPr>
      <w:r>
        <w:t xml:space="preserve">Adopt a</w:t>
      </w:r>
      <w:r>
        <w:t xml:space="preserve"> </w:t>
      </w:r>
      <w:r>
        <w:rPr>
          <w:bCs/>
          <w:b/>
        </w:rPr>
        <w:t xml:space="preserve">lean bootstrap plus distributed DR capacity architecture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 starts lean.</w:t>
      </w:r>
      <w:r>
        <w:t xml:space="preserve"> </w:t>
      </w:r>
      <w:r>
        <w:t xml:space="preserve">DR holds a configurable bootstrap target by workload, product, region, zone, SKU/family, and subscription model. It must not default to a fixed 30-40% copy of production. Zero bootstrap is allowed only through explicit approved policy.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Destination sizing uses max-not-sum.</w:t>
      </w:r>
      <w:r>
        <w:t xml:space="preserve"> </w:t>
      </w:r>
      <w:r>
        <w:t xml:space="preserve">For a destination region, standby capacity is sized to the largest non-concurrent protected source workload portion, not the sum of all sources.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SUM remains a conservative override.</w:t>
      </w:r>
      <w:r>
        <w:t xml:space="preserve"> </w:t>
      </w:r>
      <w:r>
        <w:t xml:space="preserve">If a customer contract, geography, or risk decision requires simultaneous source-region failure coverage, policy may switch that scope to SUM sizing.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Every region can have three concurrent roles.</w:t>
      </w:r>
      <w:r>
        <w:t xml:space="preserve"> </w:t>
      </w:r>
      <w:r>
        <w:t xml:space="preserve">A region may host its own production, CVAL for customers whose production is elsewhere, and standby DR for customers from multiple source regions.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CVAL is a DR capacity source, not free capacity.</w:t>
      </w:r>
      <w:r>
        <w:t xml:space="preserve"> </w:t>
      </w:r>
      <w:r>
        <w:t xml:space="preserve">CVAL capacity can be shut down, disassociated, or reassigned only on an authorised DR declaration and per approved priority/runbook.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DR activation is per customer and priority wave.</w:t>
      </w:r>
      <w:r>
        <w:t xml:space="preserve"> </w:t>
      </w:r>
      <w:r>
        <w:t xml:space="preserve">A declared region failure changes engine mode, then ACRME activates the affected source region’s mapped standby instances from associated/inactive state to allocated/active state in approved business-priority waves.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Failback is reversible and audited.</w:t>
      </w:r>
      <w:r>
        <w:t xml:space="preserve"> </w:t>
      </w:r>
      <w:r>
        <w:t xml:space="preserve">Every activation records customer state, source/destination, capacity acquisition path, approvals, and rollback/failback checkpoint.</w:t>
      </w:r>
      <w:r>
        <w:t xml:space="preserve"> </w:t>
      </w:r>
      <w:r>
        <w:rPr>
          <w:rStyle w:val="VerbatimChar"/>
        </w:rPr>
        <w:t xml:space="preserve">[Decided]</w:t>
      </w:r>
    </w:p>
    <w:bookmarkEnd w:id="21"/>
    <w:bookmarkStart w:id="22" w:name="distributed-dr-reference-model"/>
    <w:p>
      <w:pPr>
        <w:pStyle w:val="Heading2"/>
      </w:pPr>
      <w:r>
        <w:t xml:space="preserve">Distributed DR Reference Model</w:t>
      </w:r>
    </w:p>
    <w:p>
      <w:pPr>
        <w:pStyle w:val="FirstParagraph"/>
      </w:pPr>
      <w:r>
        <w:t xml:space="preserve">The authoritative mapping is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or protected production source.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holding standby DR capacity.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customer_or_realm_id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Customer/realm whose standby set is mapped.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back to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 </w:t>
            </w:r>
            <w:r>
              <w:t xml:space="preserve">from ADR-001.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standby_instance_set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VM/VMSS/node-pool/application set eligible for activation.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sku_family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Capacity/quota dimensions.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activation_state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activation_pending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failback_pending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returned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priority_wave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priority for activation order.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Replay, freshness, and audit fields.</w:t>
            </w:r>
          </w:p>
        </w:tc>
      </w:tr>
    </w:tbl>
    <w:p>
      <w:pPr>
        <w:pStyle w:val="BodyText"/>
      </w:pPr>
      <w:r>
        <w:t xml:space="preserve">The index must be queryable in both directions:</w:t>
      </w:r>
    </w:p>
    <w:p>
      <w:pPr>
        <w:numPr>
          <w:ilvl w:val="0"/>
          <w:numId w:val="1003"/>
        </w:numPr>
        <w:pStyle w:val="Compact"/>
      </w:pPr>
      <w:r>
        <w:t xml:space="preserve">source -&gt; destinations, to know where a failed region’s customers activate;</w:t>
      </w:r>
    </w:p>
    <w:p>
      <w:pPr>
        <w:numPr>
          <w:ilvl w:val="0"/>
          <w:numId w:val="1003"/>
        </w:numPr>
        <w:pStyle w:val="Compact"/>
      </w:pPr>
      <w:r>
        <w:t xml:space="preserve">destination -&gt; sources, to compute max-source coverage and dashboard exposure.</w:t>
      </w:r>
      <w:r>
        <w:t xml:space="preserve"> </w:t>
      </w:r>
      <w:r>
        <w:rPr>
          <w:rStyle w:val="VerbatimChar"/>
        </w:rPr>
        <w:t xml:space="preserve">[Decided]</w:t>
      </w:r>
    </w:p>
    <w:bookmarkEnd w:id="22"/>
    <w:bookmarkStart w:id="23" w:name="dr-sizing-formula"/>
    <w:p>
      <w:pPr>
        <w:pStyle w:val="Heading2"/>
      </w:pPr>
      <w:r>
        <w:t xml:space="preserve">DR Sizing Formula</w:t>
      </w:r>
    </w:p>
    <w:p>
      <w:pPr>
        <w:pStyle w:val="FirstParagraph"/>
      </w:pPr>
      <w:r>
        <w:t xml:space="preserve">For each destination, SKU, zone, and policy scope:</w:t>
      </w:r>
    </w:p>
    <w:p>
      <w:pPr>
        <w:pStyle w:val="SourceCode"/>
      </w:pPr>
      <w:r>
        <w:rPr>
          <w:rStyle w:val="VerbatimChar"/>
        </w:rPr>
        <w:t xml:space="preserve">Destination_DR_Requirement(d)</w:t>
      </w:r>
      <w:r>
        <w:br/>
      </w:r>
      <w:r>
        <w:rPr>
          <w:rStyle w:val="VerbatimChar"/>
        </w:rPr>
        <w:t xml:space="preserve">  = MAX over non-concurrent source regions s protected by d (</w:t>
      </w:r>
      <w:r>
        <w:br/>
      </w:r>
      <w:r>
        <w:rPr>
          <w:rStyle w:val="VerbatimChar"/>
        </w:rPr>
        <w:t xml:space="preserve">      Workload_Portion(s -&gt; d)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With vCPU expansion:</w:t>
      </w:r>
    </w:p>
    <w:p>
      <w:pPr>
        <w:pStyle w:val="SourceCode"/>
      </w:pPr>
      <w:r>
        <w:rPr>
          <w:rStyle w:val="VerbatimChar"/>
        </w:rPr>
        <w:t xml:space="preserve">DR_Floor_vCPU(d, sku, zone)</w:t>
      </w:r>
      <w:r>
        <w:br/>
      </w:r>
      <w:r>
        <w:rPr>
          <w:rStyle w:val="VerbatimChar"/>
        </w:rPr>
        <w:t xml:space="preserve">  = Destination_DR_Requirement(d, sku, zone) * vCPU_Per_Instance(sku)</w:t>
      </w:r>
    </w:p>
    <w:p>
      <w:pPr>
        <w:pStyle w:val="FirstParagraph"/>
      </w:pPr>
      <w:r>
        <w:t xml:space="preserve">The old formula</w:t>
      </w:r>
      <w:r>
        <w:t xml:space="preserve"> </w:t>
      </w:r>
      <w:r>
        <w:rPr>
          <w:rStyle w:val="VerbatimChar"/>
        </w:rPr>
        <w:t xml:space="preserve">prod_vm_count * dr_ratio_max</w:t>
      </w:r>
      <w:r>
        <w:t xml:space="preserve"> </w:t>
      </w:r>
      <w:r>
        <w:t xml:space="preserve">is superseded. It may appear only in legacy examples, never as the default production sizing rule.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bCs/>
          <w:b/>
        </w:rPr>
        <w:t xml:space="preserve">Zone-distribution interaction (PLC-011, Appendix A.9) — cross-reference.</w:t>
      </w:r>
      <w:r>
        <w:t xml:space="preserve"> </w:t>
      </w:r>
      <w:r>
        <w:t xml:space="preserve">Because the DR floor above is computed</w:t>
      </w:r>
      <w:r>
        <w:t xml:space="preserve"> </w:t>
      </w:r>
      <w:r>
        <w:rPr>
          <w:bCs/>
          <w:b/>
        </w:rPr>
        <w:t xml:space="preserve">per zone</w:t>
      </w:r>
      <w:r>
        <w:t xml:space="preserve">, the per-zone</w:t>
      </w:r>
      <w:r>
        <w:t xml:space="preserve"> </w:t>
      </w:r>
      <w:r>
        <w:rPr>
          <w:rStyle w:val="VerbatimChar"/>
        </w:rPr>
        <w:t xml:space="preserve">Workload_Portion(s → d)</w:t>
      </w:r>
      <w:r>
        <w:t xml:space="preserve"> </w:t>
      </w:r>
      <w:r>
        <w:t xml:space="preserve">values depend on how each source workload is spread across its availability zones. Under</w:t>
      </w:r>
      <w:r>
        <w:t xml:space="preserve"> </w:t>
      </w:r>
      <w:r>
        <w:rPr>
          <w:bCs/>
          <w:b/>
        </w:rPr>
        <w:t xml:space="preserve">PLC-011</w:t>
      </w:r>
      <w:r>
        <w:t xml:space="preserve"> </w:t>
      </w:r>
      <w:r>
        <w:t xml:space="preserve">placement targets an</w:t>
      </w:r>
      <w:r>
        <w:t xml:space="preserve"> </w:t>
      </w:r>
      <w:r>
        <w:rPr>
          <w:bCs/>
          <w:b/>
        </w:rPr>
        <w:t xml:space="preserve">even 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1/zone_count</w:t>
      </w:r>
      <w:r>
        <w:rPr>
          <w:bCs/>
          <w:b/>
        </w:rPr>
        <w:t xml:space="preserve"> </w:t>
      </w:r>
      <w:r>
        <w:rPr>
          <w:bCs/>
          <w:b/>
        </w:rPr>
        <w:t xml:space="preserve">spread</w:t>
      </w:r>
      <w:r>
        <w:t xml:space="preserve"> </w:t>
      </w:r>
      <w:r>
        <w:t xml:space="preserve">of a workload’s VMs across zones (≈ 33% each in a three-zone region), and raises a</w:t>
      </w:r>
      <w:r>
        <w:t xml:space="preserve"> </w:t>
      </w:r>
      <w:r>
        <w:rPr>
          <w:bCs/>
          <w:b/>
        </w:rPr>
        <w:t xml:space="preserve">rebalancing action</w:t>
      </w:r>
      <w:r>
        <w:t xml:space="preserve"> </w:t>
      </w:r>
      <w:r>
        <w:t xml:space="preserve">when a deployment or growth event skews distribution beyond the configured tolerance (C-13); see</w:t>
      </w:r>
      <w:r>
        <w:t xml:space="preserve"> </w:t>
      </w:r>
      <w:r>
        <w:rPr>
          <w:bCs/>
          <w:b/>
        </w:rPr>
        <w:t xml:space="preserve">Appendix A.9</w:t>
      </w:r>
      <w:r>
        <w:t xml:space="preserve"> </w:t>
      </w:r>
      <w:r>
        <w:t xml:space="preserve">of the baseline for the skew formula. Two consequences for DR sizing: (a) an</w:t>
      </w:r>
      <w:r>
        <w:t xml:space="preserve"> </w:t>
      </w:r>
      <w:r>
        <w:rPr>
          <w:bCs/>
          <w:b/>
        </w:rPr>
        <w:t xml:space="preserve">even source distribution</w:t>
      </w:r>
      <w:r>
        <w:t xml:space="preserve"> </w:t>
      </w:r>
      <w:r>
        <w:t xml:space="preserve">keeps the per-zone</w:t>
      </w:r>
      <w:r>
        <w:t xml:space="preserve"> </w:t>
      </w:r>
      <w:r>
        <w:rPr>
          <w:rStyle w:val="VerbatimChar"/>
        </w:rPr>
        <w:t xml:space="preserve">Destination_DR_Requirement(d, sku, zone)</w:t>
      </w:r>
      <w:r>
        <w:t xml:space="preserve"> </w:t>
      </w:r>
      <w:r>
        <w:t xml:space="preserve">balanced, so no single destination zone carries a disproportionate max-not-sum floor; and (b) the resulting per-zone DR reservations are held in the destination’s</w:t>
      </w:r>
      <w:r>
        <w:t xml:space="preserve"> </w:t>
      </w:r>
      <w:r>
        <w:rPr>
          <w:bCs/>
          <w:b/>
        </w:rPr>
        <w:t xml:space="preserve">per-AZ CRGs (CAP-023)</w:t>
      </w:r>
      <w:r>
        <w:t xml:space="preserve"> </w:t>
      </w:r>
      <w:r>
        <w:t xml:space="preserve">— the per-AZ CRG for each zone sizes to that zone’s DR floor, and the regional CRG holds only SKUs without zonal reservation support. A skewed source distribution therefore inflates one destination zone’s DR floor; the PLC-011 rebalancing action is the corrective control, and DR sizing consumes the (rebalanced) per-zone portions rather than re-deriving distribution.</w:t>
      </w:r>
      <w:r>
        <w:t xml:space="preserve"> </w:t>
      </w:r>
      <w:r>
        <w:rPr>
          <w:rStyle w:val="VerbatimChar"/>
        </w:rPr>
        <w:t xml:space="preserve">[Derived]</w:t>
      </w:r>
    </w:p>
    <w:bookmarkEnd w:id="23"/>
    <w:bookmarkStart w:id="24" w:name="dr-activation-sequence"/>
    <w:p>
      <w:pPr>
        <w:pStyle w:val="Heading2"/>
      </w:pPr>
      <w:r>
        <w:t xml:space="preserve">DR Activation Sequence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Declare[Authorised DR declaration] --&gt; Mode[Set DR_EVENT_ACTIVE]</w:t>
      </w:r>
      <w:r>
        <w:br/>
      </w:r>
      <w:r>
        <w:rPr>
          <w:rStyle w:val="VerbatimChar"/>
        </w:rPr>
        <w:t xml:space="preserve">    Mode --&gt; Index[Read SourceDestinationDRIndex]</w:t>
      </w:r>
      <w:r>
        <w:br/>
      </w:r>
      <w:r>
        <w:rPr>
          <w:rStyle w:val="VerbatimChar"/>
        </w:rPr>
        <w:t xml:space="preserve">    Index --&gt; Waves[Order customers by priority wave]</w:t>
      </w:r>
      <w:r>
        <w:br/>
      </w:r>
      <w:r>
        <w:rPr>
          <w:rStyle w:val="VerbatimChar"/>
        </w:rPr>
        <w:t xml:space="preserve">    Waves --&gt; Bootstrap[Use bootstrap capacity]</w:t>
      </w:r>
      <w:r>
        <w:br/>
      </w:r>
      <w:r>
        <w:rPr>
          <w:rStyle w:val="VerbatimChar"/>
        </w:rPr>
        <w:t xml:space="preserve">    Bootstrap --&gt; Quota[Use available destination quota]</w:t>
      </w:r>
      <w:r>
        <w:br/>
      </w:r>
      <w:r>
        <w:rPr>
          <w:rStyle w:val="VerbatimChar"/>
        </w:rPr>
        <w:t xml:space="preserve">    Quota --&gt; CVAL[Release approved CVAL earmark]</w:t>
      </w:r>
      <w:r>
        <w:br/>
      </w:r>
      <w:r>
        <w:rPr>
          <w:rStyle w:val="VerbatimChar"/>
        </w:rPr>
        <w:t xml:space="preserve">    CVAL --&gt; Share[Use approved shared reservation]</w:t>
      </w:r>
      <w:r>
        <w:br/>
      </w:r>
      <w:r>
        <w:rPr>
          <w:rStyle w:val="VerbatimChar"/>
        </w:rPr>
        <w:t xml:space="preserve">    Share --&gt; Pool[Allocate pooled quota]</w:t>
      </w:r>
      <w:r>
        <w:br/>
      </w:r>
      <w:r>
        <w:rPr>
          <w:rStyle w:val="VerbatimChar"/>
        </w:rPr>
        <w:t xml:space="preserve">    Pool --&gt; AzureReq[Submit Azure request if still deficient]</w:t>
      </w:r>
      <w:r>
        <w:br/>
      </w:r>
      <w:r>
        <w:rPr>
          <w:rStyle w:val="VerbatimChar"/>
        </w:rPr>
        <w:t xml:space="preserve">    AzureReq --&gt; Activate[Transition standby associated to allocated active]</w:t>
      </w:r>
      <w:r>
        <w:br/>
      </w:r>
      <w:r>
        <w:rPr>
          <w:rStyle w:val="VerbatimChar"/>
        </w:rPr>
        <w:t xml:space="preserve">    Activate --&gt; Audit[Record activation and failback checkpoint]</w:t>
      </w:r>
    </w:p>
    <w:p>
      <w:pPr>
        <w:pStyle w:val="FirstParagraph"/>
      </w:pPr>
      <w:r>
        <w:t xml:space="preserve">Capacity acquisition order:</w:t>
      </w:r>
    </w:p>
    <w:p>
      <w:pPr>
        <w:numPr>
          <w:ilvl w:val="0"/>
          <w:numId w:val="1004"/>
        </w:numPr>
        <w:pStyle w:val="Compact"/>
      </w:pPr>
      <w:r>
        <w:t xml:space="preserve">existing bootstrap capacity;</w:t>
      </w:r>
    </w:p>
    <w:p>
      <w:pPr>
        <w:numPr>
          <w:ilvl w:val="0"/>
          <w:numId w:val="1004"/>
        </w:numPr>
        <w:pStyle w:val="Compact"/>
      </w:pPr>
      <w:r>
        <w:t xml:space="preserve">available destination quota/capacity;</w:t>
      </w:r>
    </w:p>
    <w:p>
      <w:pPr>
        <w:numPr>
          <w:ilvl w:val="0"/>
          <w:numId w:val="1004"/>
        </w:numPr>
        <w:pStyle w:val="Compact"/>
      </w:pPr>
      <w:r>
        <w:t xml:space="preserve">approved CVAL release;</w:t>
      </w:r>
    </w:p>
    <w:p>
      <w:pPr>
        <w:numPr>
          <w:ilvl w:val="0"/>
          <w:numId w:val="1004"/>
        </w:numPr>
        <w:pStyle w:val="Compact"/>
      </w:pPr>
      <w:r>
        <w:t xml:space="preserve">approved capacity sharing;</w:t>
      </w:r>
    </w:p>
    <w:p>
      <w:pPr>
        <w:numPr>
          <w:ilvl w:val="0"/>
          <w:numId w:val="1004"/>
        </w:numPr>
        <w:pStyle w:val="Compact"/>
      </w:pPr>
      <w:r>
        <w:t xml:space="preserve">pooled quota allocation;</w:t>
      </w:r>
    </w:p>
    <w:p>
      <w:pPr>
        <w:numPr>
          <w:ilvl w:val="0"/>
          <w:numId w:val="1004"/>
        </w:numPr>
        <w:pStyle w:val="Compact"/>
      </w:pPr>
      <w:r>
        <w:t xml:space="preserve">Azure quota/capacity request with exposed deficit if Azure cannot supply it.</w:t>
      </w:r>
      <w:r>
        <w:t xml:space="preserve"> </w:t>
      </w:r>
      <w:r>
        <w:rPr>
          <w:rStyle w:val="VerbatimChar"/>
        </w:rPr>
        <w:t xml:space="preserve">[Decided]</w:t>
      </w:r>
    </w:p>
    <w:bookmarkEnd w:id="24"/>
    <w:bookmarkStart w:id="25" w:name="cval-earmark-and-no-double-count-rule"/>
    <w:p>
      <w:pPr>
        <w:pStyle w:val="Heading2"/>
      </w:pPr>
      <w:r>
        <w:t xml:space="preserve">CVAL Earmark and No-Double-Count Rule</w:t>
      </w:r>
    </w:p>
    <w:p>
      <w:pPr>
        <w:pStyle w:val="FirstParagraph"/>
      </w:pPr>
      <w:r>
        <w:t xml:space="preserve">When CVAL and DR co-locate, ACRME must create a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that identifies which CVAL capacity is releasable for a customer’s DR activation. Earmarked CVAL capacity counts toward DR headroom, not live CVAL headroom. It must never be credited as both live CVAL capacity and available DR capacity.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BodyText"/>
      </w:pPr>
      <w:r>
        <w:rPr>
          <w:rStyle w:val="VerbatimChar"/>
        </w:rPr>
        <w:t xml:space="preserve">CVALEarmarkRecord</w:t>
      </w:r>
      <w:r>
        <w:t xml:space="preserve"> </w:t>
      </w:r>
      <w:r>
        <w:t xml:space="preserve">contains customer/realm, CVAL region, DR destination, SKU/zone/quantity, release action, approval policy, priority wave, expiry/review status, and audit references.</w:t>
      </w:r>
      <w:r>
        <w:t xml:space="preserve"> </w:t>
      </w:r>
      <w:r>
        <w:rPr>
          <w:rStyle w:val="VerbatimChar"/>
        </w:rPr>
        <w:t xml:space="preserve">[Decided]</w:t>
      </w:r>
    </w:p>
    <w:bookmarkEnd w:id="25"/>
    <w:bookmarkStart w:id="26" w:name="engine-state-machine"/>
    <w:p>
      <w:pPr>
        <w:pStyle w:val="Heading2"/>
      </w:pPr>
      <w:r>
        <w:t xml:space="preserve">Engine State Machine</w:t>
      </w:r>
    </w:p>
    <w:p>
      <w:pPr>
        <w:pStyle w:val="FirstParagraph"/>
      </w:pPr>
      <w:r>
        <w:rPr>
          <w:rStyle w:val="VerbatimChar"/>
        </w:rPr>
        <w:t xml:space="preserve">engine_mode</w:t>
      </w:r>
      <w:r>
        <w:t xml:space="preserve"> </w:t>
      </w:r>
      <w:r>
        <w:t xml:space="preserve">is a persisted state machine with conditional writes and operator-gated transitions: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STEADY_STATE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inventory, reconciliation, placement, and approved growth.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DR_DECLARATION_PENDING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DR_DECLARATION_PENDING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requested and awaiting approval/validation.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DR_EVENT_ACTIVE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STEADY_STATE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DR_EVENT_ACTIVE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Source-specific DR activation and emergency operations permitted.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FAILBACK_PENDING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FAILBACK_PENDING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Return/reversal is being validated and executed.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STEADY_STATE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DR_EVENT_ACTIVE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INCIDENT_HOLD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INCIDENT_HOLD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degraded state after conflict or critical failure.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Recovery-approved transition only</w:t>
            </w:r>
          </w:p>
        </w:tc>
      </w:tr>
    </w:tbl>
    <w:p>
      <w:pPr>
        <w:pStyle w:val="BodyText"/>
      </w:pPr>
      <w:r>
        <w:t xml:space="preserve">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automatically authorise service-impacting CVAL action, Tier 2, or Tier 3. Each action still requires its own policy gate.</w:t>
      </w:r>
      <w:r>
        <w:t xml:space="preserve"> </w:t>
      </w:r>
      <w:r>
        <w:rPr>
          <w:rStyle w:val="VerbatimChar"/>
        </w:rPr>
        <w:t xml:space="preserve">[Decided]</w:t>
      </w:r>
    </w:p>
    <w:bookmarkEnd w:id="26"/>
    <w:bookmarkStart w:id="27" w:name="relationship-to-emergency-tiers"/>
    <w:p>
      <w:pPr>
        <w:pStyle w:val="Heading2"/>
      </w:pPr>
      <w:r>
        <w:t xml:space="preserve">Relationship to Emergency Tiers</w:t>
      </w:r>
    </w:p>
    <w:p>
      <w:pPr>
        <w:pStyle w:val="FirstParagraph"/>
      </w:pPr>
      <w:r>
        <w:t xml:space="preserve">The previous three-tier emergency transfer model remains as an implementation pattern, but v2.1 scopes it behind bootstrap-first activation: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v2.1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1 - direct 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Permitted after DR declaration when quota/capacity/sharing preconditions are fresh.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2 - quota-neutral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Approval-gated until quota group release and consumer quota behavior are proven.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Tier 3 - destructive VM association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 in Phase 1; VMSS entries are rejected.</w:t>
            </w:r>
          </w:p>
        </w:tc>
      </w:tr>
    </w:tbl>
    <w:bookmarkEnd w:id="27"/>
    <w:bookmarkStart w:id="28" w:name="observability-and-runbooks"/>
    <w:p>
      <w:pPr>
        <w:pStyle w:val="Heading2"/>
      </w:pPr>
      <w:r>
        <w:t xml:space="preserve">Observability and Runbooks</w:t>
      </w:r>
    </w:p>
    <w:p>
      <w:pPr>
        <w:pStyle w:val="FirstParagraph"/>
      </w:pPr>
      <w:r>
        <w:t xml:space="preserve">ACRME dashboards and alerts must show:</w:t>
      </w:r>
    </w:p>
    <w:p>
      <w:pPr>
        <w:numPr>
          <w:ilvl w:val="0"/>
          <w:numId w:val="1005"/>
        </w:numPr>
        <w:pStyle w:val="Compact"/>
      </w:pPr>
      <w:r>
        <w:t xml:space="preserve">DR bootstrap below target;</w:t>
      </w:r>
    </w:p>
    <w:p>
      <w:pPr>
        <w:numPr>
          <w:ilvl w:val="0"/>
          <w:numId w:val="1005"/>
        </w:numPr>
        <w:pStyle w:val="Compact"/>
      </w:pPr>
      <w:r>
        <w:t xml:space="preserve">destination coverage below max protected source;</w:t>
      </w:r>
    </w:p>
    <w:p>
      <w:pPr>
        <w:numPr>
          <w:ilvl w:val="0"/>
          <w:numId w:val="1005"/>
        </w:numPr>
        <w:pStyle w:val="Compact"/>
      </w:pPr>
      <w:r>
        <w:t xml:space="preserve">source &lt;-&gt; destination mapping;</w:t>
      </w:r>
    </w:p>
    <w:p>
      <w:pPr>
        <w:numPr>
          <w:ilvl w:val="0"/>
          <w:numId w:val="1005"/>
        </w:numPr>
        <w:pStyle w:val="Compact"/>
      </w:pPr>
      <w:r>
        <w:t xml:space="preserve">activation state by customer and priority wave;</w:t>
      </w:r>
    </w:p>
    <w:p>
      <w:pPr>
        <w:numPr>
          <w:ilvl w:val="0"/>
          <w:numId w:val="1005"/>
        </w:numPr>
        <w:pStyle w:val="Compact"/>
      </w:pPr>
      <w:r>
        <w:t xml:space="preserve">CVAL earmarks and releasable capacity;</w:t>
      </w:r>
    </w:p>
    <w:p>
      <w:pPr>
        <w:numPr>
          <w:ilvl w:val="0"/>
          <w:numId w:val="1005"/>
        </w:numPr>
        <w:pStyle w:val="Compact"/>
      </w:pPr>
      <w:r>
        <w:t xml:space="preserve">quota/capacity deficits after each acquisition stage;</w:t>
      </w:r>
    </w:p>
    <w:p>
      <w:pPr>
        <w:numPr>
          <w:ilvl w:val="0"/>
          <w:numId w:val="1005"/>
        </w:numPr>
        <w:pStyle w:val="Compact"/>
      </w:pPr>
      <w:r>
        <w:t xml:space="preserve">failed/stale activation state;</w:t>
      </w:r>
    </w:p>
    <w:p>
      <w:pPr>
        <w:numPr>
          <w:ilvl w:val="0"/>
          <w:numId w:val="1005"/>
        </w:numPr>
        <w:pStyle w:val="Compact"/>
      </w:pPr>
      <w:r>
        <w:t xml:space="preserve">failback pending age.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t xml:space="preserve">Runbooks must cover DR declaration, standby activation, CVAL release/shutdown/disassociation, quota allocation to DR, sharing activation, manual emergency override, regional recovery, and failback.</w:t>
      </w:r>
      <w:r>
        <w:t xml:space="preserve"> </w:t>
      </w:r>
      <w:r>
        <w:rPr>
          <w:rStyle w:val="VerbatimChar"/>
        </w:rPr>
        <w:t xml:space="preserve">[Decided]</w:t>
      </w:r>
    </w:p>
    <w:bookmarkEnd w:id="28"/>
    <w:bookmarkStart w:id="29" w:name="consequences"/>
    <w:p>
      <w:pPr>
        <w:pStyle w:val="Heading2"/>
      </w:pPr>
      <w:r>
        <w:t xml:space="preserve">Consequences</w:t>
      </w:r>
    </w:p>
    <w:p>
      <w:pPr>
        <w:pStyle w:val="FirstParagraph"/>
      </w:pPr>
      <w:r>
        <w:rPr>
          <w:bCs/>
          <w:b/>
        </w:rPr>
        <w:t xml:space="preserve">Positive</w:t>
      </w:r>
    </w:p>
    <w:p>
      <w:pPr>
        <w:numPr>
          <w:ilvl w:val="0"/>
          <w:numId w:val="1006"/>
        </w:numPr>
        <w:pStyle w:val="Compact"/>
      </w:pPr>
      <w:r>
        <w:t xml:space="preserve">Removes the high-cost fixed 30-40% standby reserve as the default.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Aligns standby sizing with the single-region-failure assumption.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6"/>
        </w:numPr>
        <w:pStyle w:val="Compact"/>
      </w:pPr>
      <w:r>
        <w:t xml:space="preserve">Supports reciprocal multi-source hosting without summing unrelated non-concurrent sources.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Makes activation deterministic from the DR index and seed records.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Negative / trade-offs</w:t>
      </w:r>
    </w:p>
    <w:p>
      <w:pPr>
        <w:numPr>
          <w:ilvl w:val="0"/>
          <w:numId w:val="1007"/>
        </w:numPr>
        <w:pStyle w:val="Compact"/>
      </w:pPr>
      <w:r>
        <w:t xml:space="preserve">Max-not-sum under-protects two simultaneous source-region failures unless SUM override is configured.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7"/>
        </w:numPr>
        <w:pStyle w:val="Compact"/>
      </w:pPr>
      <w:r>
        <w:t xml:space="preserve">Capacity Reservation Sharing remains a preview/feature-maturity dependency for parts of the cost model.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7"/>
        </w:numPr>
        <w:pStyle w:val="Compact"/>
      </w:pPr>
      <w:r>
        <w:t xml:space="preserve">Bootstrap sizing requires workload-specific POC evidence.</w:t>
      </w:r>
      <w:r>
        <w:t xml:space="preserve"> </w:t>
      </w:r>
      <w:r>
        <w:rPr>
          <w:rStyle w:val="VerbatimChar"/>
        </w:rPr>
        <w:t xml:space="preserve">[Assumed]</w:t>
      </w:r>
    </w:p>
    <w:p>
      <w:pPr>
        <w:numPr>
          <w:ilvl w:val="0"/>
          <w:numId w:val="1007"/>
        </w:numPr>
        <w:pStyle w:val="Compact"/>
      </w:pPr>
      <w:r>
        <w:t xml:space="preserve">CVAL release can be service-impacting and therefore requires explicit authorisation.</w:t>
      </w:r>
      <w:r>
        <w:t xml:space="preserve"> </w:t>
      </w:r>
      <w:r>
        <w:rPr>
          <w:rStyle w:val="VerbatimChar"/>
        </w:rPr>
        <w:t xml:space="preserve">[Decided]</w:t>
      </w:r>
    </w:p>
    <w:bookmarkEnd w:id="29"/>
    <w:bookmarkStart w:id="30" w:name="alternatives-considered"/>
    <w:p>
      <w:pPr>
        <w:pStyle w:val="Heading2"/>
      </w:pPr>
      <w:r>
        <w:t xml:space="preserve">Alternatives Considered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Alternative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Fixed 30-40% production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default because of idle cost and v2.1 pivot.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 all sources per destination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 as default; too expensive under single-region-failure assumption.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 DR bootstrap by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zero is allowed only by explicit approved policy.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Treat CVAL free capacity as always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requires earmark, authorisation, and no-double-count controls.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 all destination standby capacity during any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Rejected; activation is source-specific via the DR index.</w:t>
            </w:r>
            <w:r>
              <w:t xml:space="preserve"> </w:t>
            </w:r>
            <w:r>
              <w:rPr>
                <w:rStyle w:val="VerbatimChar"/>
              </w:rPr>
              <w:t xml:space="preserve">[Decided]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appendix---adr-summary"/>
    <w:p>
      <w:pPr>
        <w:pStyle w:val="Heading2"/>
      </w:pPr>
      <w:r>
        <w:t xml:space="preserve">Appendix - ADR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Open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ADR-003 Capacity Management during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ENV-003..006, DR-001..019, PLC-010, DAT-002, OBS-004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POC-006 topology, POC-007 bootstrap sizing, POC-011 max-not-sum safety, DEC-001 Middle East DR, DEC-002 failback duration, DEP-001 sharing maturity</w:t>
            </w:r>
          </w:p>
        </w:tc>
      </w:tr>
    </w:tbl>
    <w:bookmarkEnd w:id="31"/>
    <w:bookmarkStart w:id="32" w:name="appendix---status-legend"/>
    <w:p>
      <w:pPr>
        <w:pStyle w:val="Heading2"/>
      </w:pPr>
      <w:r>
        <w:t xml:space="preserve">Appendix - Status 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 discussion; not yet ratified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Ratified and in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longer recommended but not yet replaced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a later ADR</w:t>
            </w:r>
          </w:p>
        </w:tc>
      </w:tr>
    </w:tbl>
    <w:bookmarkEnd w:id="32"/>
    <w:bookmarkStart w:id="33" w:name="appendix---evidence-tag-taxonomy"/>
    <w:p>
      <w:pPr>
        <w:pStyle w:val="Heading2"/>
      </w:pPr>
      <w:r>
        <w:t xml:space="preserve">Appendix - Evidence Tag Taxonomy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[Documented]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Traceable to Azure platform behaviour 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[Decided]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explicit ACRME design choice recorded in this ADR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[Derived]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logical consequence of a documented constraint or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[Assumed]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Architectural judgement pending proof-of-concept validation</w:t>
            </w:r>
          </w:p>
        </w:tc>
      </w:tr>
    </w:tbl>
    <w:bookmarkEnd w:id="33"/>
    <w:bookmarkStart w:id="34" w:name="related-adrs"/>
    <w:p>
      <w:pPr>
        <w:pStyle w:val="Heading2"/>
      </w:pPr>
      <w:r>
        <w:t xml:space="preserve">Related ADRs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ADR-001 - Region Selection and Customer Placement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acrme_adr_001_region_selection.md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ADR-002 - Quota and Capacity Management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acrme_adr_002_quota_and_capacity_management.md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ADR-004 - Forecast, Reconciliation, and Increase of Capacity and Quota</w:t>
      </w:r>
      <w:r>
        <w:t xml:space="preserve"> </w:t>
      </w:r>
      <w:r>
        <w:t xml:space="preserve">(</w:t>
      </w:r>
      <w:r>
        <w:rPr>
          <w:rStyle w:val="VerbatimChar"/>
        </w:rPr>
        <w:t xml:space="preserve">acrme_adr_004_forecast_and_increase_of_capacity_and_quota.md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Accepted</w:t>
      </w:r>
      <w:r>
        <w:br/>
      </w:r>
      <w:r>
        <w:rPr>
          <w:bCs/>
          <w:b/>
        </w:rPr>
        <w:t xml:space="preserve">Next Review:</w:t>
      </w:r>
      <w:r>
        <w:t xml:space="preserve"> </w:t>
      </w:r>
      <w:r>
        <w:t xml:space="preserve">After POC-006, POC-007, POC-011, DEC-001, DEC-002, and Capacity Reservation Sharing maturity review.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2026-09-07T14:56:38Z</dcterms:created>
  <dcterms:modified xsi:type="dcterms:W3CDTF">2026-09-07T14:56:38Z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