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d2574ea027b0a220e9963f5fb01075e47dd758e"/>
    <w:p>
      <w:pPr>
        <w:pStyle w:val="Heading1"/>
      </w:pPr>
      <w:r>
        <w:t xml:space="preserve">ACRME Calculation Logic — Plain English Walkthrough (v2.2)</w:t>
      </w:r>
    </w:p>
    <w:p>
      <w:pPr>
        <w:pStyle w:val="BlockText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Companion reference — plain-language explanation of every formula in the</w:t>
      </w:r>
      <w:r>
        <w:t xml:space="preserve"> </w:t>
      </w:r>
      <w:r>
        <w:t xml:space="preserve">Calculation Logic Reference (v2.2). This document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replace the Calculation Logic</w:t>
      </w:r>
      <w:r>
        <w:t xml:space="preserve"> </w:t>
      </w:r>
      <w:r>
        <w:t xml:space="preserve">Reference or the Technical Design Document. Read it alongside those documents to understand the</w:t>
      </w:r>
      <w:r>
        <w:t xml:space="preserve"> </w:t>
      </w:r>
      <w:r>
        <w:rPr>
          <w:iCs/>
          <w:i/>
        </w:rPr>
        <w:t xml:space="preserve">intent</w:t>
      </w:r>
      <w:r>
        <w:t xml:space="preserve"> </w:t>
      </w:r>
      <w:r>
        <w:t xml:space="preserve">behind each formula before reading the formal notation.</w:t>
      </w:r>
    </w:p>
    <w:p>
      <w:pPr>
        <w:pStyle w:val="BlockText"/>
      </w:pPr>
      <w:r>
        <w:rPr>
          <w:bCs/>
          <w:b/>
        </w:rPr>
        <w:t xml:space="preserve">Audience:</w:t>
      </w:r>
      <w:r>
        <w:t xml:space="preserve"> </w:t>
      </w:r>
      <w:r>
        <w:t xml:space="preserve">Platform engineers, product owners, and architects who need to reason about ACRME</w:t>
      </w:r>
      <w:r>
        <w:t xml:space="preserve"> </w:t>
      </w:r>
      <w:r>
        <w:t xml:space="preserve">behaviour without working through mathematical notation first.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 — 2 September 2026. Authored from the ACRME Q&amp;A design walkthrough session.</w:t>
      </w:r>
    </w:p>
    <w:p>
      <w:r>
        <w:pict>
          <v:rect style="width:0;height:1.5pt" o:hralign="center" o:hrstd="t" o:hr="t"/>
        </w:pict>
      </w:r>
    </w:p>
    <w:bookmarkStart w:id="2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Calculation Logic — Plain English Walkthrough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Q&amp;A design walkthrough session; Calculation Logic Reference v2.2; Requirements Baseline 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Companion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acrme_calculation_logic_reference.md</w:t>
            </w:r>
            <w:r>
              <w:t xml:space="preserve"> </w:t>
            </w:r>
            <w:r>
              <w:t xml:space="preserve">(formal notation);</w:t>
            </w:r>
            <w:r>
              <w:t xml:space="preserve"> </w:t>
            </w:r>
            <w:r>
              <w:rPr>
                <w:rStyle w:val="VerbatimChar"/>
              </w:rPr>
              <w:t xml:space="preserve">acrme_technical_design_document.md</w:t>
            </w:r>
            <w:r>
              <w:t xml:space="preserve"> </w:t>
            </w:r>
            <w:r>
              <w:t xml:space="preserve">(component design)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 — What ACRME Actually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This Document Is Organised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1: 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2: 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3: 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Weight Invariant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Three Domains 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Reference — Key Numbers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rientation-what-acrme-actually-does"/>
    <w:p>
      <w:pPr>
        <w:pStyle w:val="Heading2"/>
      </w:pPr>
      <w:r>
        <w:t xml:space="preserve">1. Orientation — What ACRME Actually Does</w:t>
      </w:r>
    </w:p>
    <w:p>
      <w:pPr>
        <w:pStyle w:val="FirstParagraph"/>
      </w:pPr>
      <w:r>
        <w:t xml:space="preserve">Before any Azure VM is deployed for a customer, ACRME answers three questions in sequence: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Where should this customer live?</w:t>
      </w:r>
      <w:r>
        <w:t xml:space="preserve"> </w:t>
      </w:r>
      <w:r>
        <w:t xml:space="preserve">— pick the best Azure region for each environment</w:t>
      </w:r>
      <w:r>
        <w:t xml:space="preserve"> </w:t>
      </w:r>
      <w:r>
        <w:t xml:space="preserve">(production, CVAL, DR).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 there enough quota there?</w:t>
      </w:r>
      <w:r>
        <w:t xml:space="preserve"> </w:t>
      </w:r>
      <w:r>
        <w:t xml:space="preserve">— ensure the subscription has headroom to deploy the required</w:t>
      </w:r>
      <w:r>
        <w:t xml:space="preserve"> </w:t>
      </w:r>
      <w:r>
        <w:t xml:space="preserve">VM family.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 there a physical reservation?</w:t>
      </w:r>
      <w:r>
        <w:t xml:space="preserve"> </w:t>
      </w:r>
      <w:r>
        <w:t xml:space="preserve">— ensure Azure has set aside the physical capacity the VM</w:t>
      </w:r>
      <w:r>
        <w:t xml:space="preserve"> </w:t>
      </w:r>
      <w:r>
        <w:t xml:space="preserve">needs.</w:t>
      </w:r>
    </w:p>
    <w:p>
      <w:pPr>
        <w:pStyle w:val="FirstParagraph"/>
      </w:pPr>
      <w:r>
        <w:t xml:space="preserve">If all three answers are</w:t>
      </w:r>
      <w:r>
        <w:t xml:space="preserve"> </w:t>
      </w:r>
      <w:r>
        <w:t xml:space="preserve">“</w:t>
      </w:r>
      <w:r>
        <w:t xml:space="preserve">yes,</w:t>
      </w:r>
      <w:r>
        <w:t xml:space="preserve">”</w:t>
      </w:r>
      <w:r>
        <w:t xml:space="preserve"> </w:t>
      </w:r>
      <w:r>
        <w:t xml:space="preserve">the deployment gets a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signal and proceeds. If any answer is</w:t>
      </w:r>
      <w:r>
        <w:t xml:space="preserve"> </w:t>
      </w:r>
      <w:r>
        <w:t xml:space="preserve">“</w:t>
      </w:r>
      <w:r>
        <w:t xml:space="preserve">no,</w:t>
      </w:r>
      <w:r>
        <w:t xml:space="preserve">”</w:t>
      </w:r>
      <w:r>
        <w:t xml:space="preserve"> </w:t>
      </w:r>
      <w:r>
        <w:t xml:space="preserve">the deployment is held until the gap is closed.</w:t>
      </w:r>
    </w:p>
    <w:p>
      <w:pPr>
        <w:pStyle w:val="BodyText"/>
      </w:pPr>
      <w:r>
        <w:t xml:space="preserve">These three questions map to the three calculation domains this document explains: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answered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does this customer 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 1, 2, 3, 4, 5, 6,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subscription limit high enough?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 8, 9,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Azure reserved the physical hardware?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 11, 12, 13, 16, 17, 18, 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how-this-document-is-organised"/>
    <w:p>
      <w:pPr>
        <w:pStyle w:val="Heading2"/>
      </w:pPr>
      <w:r>
        <w:t xml:space="preserve">2. How This Document Is Organised</w:t>
      </w:r>
    </w:p>
    <w:p>
      <w:pPr>
        <w:pStyle w:val="FirstParagraph"/>
      </w:pPr>
      <w:r>
        <w:t xml:space="preserve">Each domain section follows the same pattern: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Concept</w:t>
      </w:r>
      <w:r>
        <w:t xml:space="preserve"> </w:t>
      </w:r>
      <w:r>
        <w:t xml:space="preserve">— what this domain manages, in plain language.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formula, translated</w:t>
      </w:r>
      <w:r>
        <w:t xml:space="preserve"> </w:t>
      </w:r>
      <w:r>
        <w:t xml:space="preserve">— what each piece of the formula means.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Happy path</w:t>
      </w:r>
      <w:r>
        <w:t xml:space="preserve"> </w:t>
      </w:r>
      <w:r>
        <w:t xml:space="preserve">— what happens when everything is fine.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Sad path</w:t>
      </w:r>
      <w:r>
        <w:t xml:space="preserve"> </w:t>
      </w:r>
      <w:r>
        <w:t xml:space="preserve">— what happens when something is wrong.</w:t>
      </w:r>
    </w:p>
    <w:p>
      <w:pPr>
        <w:pStyle w:val="FirstParagraph"/>
      </w:pPr>
      <w:r>
        <w:t xml:space="preserve">Geography-specific examples use the authoritative Standard Capacity region sets (Requirements Baseline</w:t>
      </w:r>
      <w:r>
        <w:t xml:space="preserve"> </w:t>
      </w:r>
      <w:r>
        <w:t xml:space="preserve">v2.2 Section 6, ADR-001):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Capacity Regions (engine-selectable)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Regions (exception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 · Central US · 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US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 · Sweden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Europe · West Europe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North · Saudi Arabia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Representative SKU examples throughout:</w:t>
      </w:r>
      <w:r>
        <w:t xml:space="preserve"> </w:t>
      </w:r>
      <w:r>
        <w:rPr>
          <w:bCs/>
          <w:b/>
        </w:rPr>
        <w:t xml:space="preserve">E16ads_v5</w:t>
      </w:r>
      <w:r>
        <w:t xml:space="preserve"> </w:t>
      </w:r>
      <w:r>
        <w:t xml:space="preserve">(16 vCPU per VM) and</w:t>
      </w:r>
      <w:r>
        <w:t xml:space="preserve"> </w:t>
      </w:r>
      <w:r>
        <w:rPr>
          <w:bCs/>
          <w:b/>
        </w:rPr>
        <w:t xml:space="preserve">E8ads_v5</w:t>
      </w:r>
      <w:r>
        <w:t xml:space="preserve"> </w:t>
      </w:r>
      <w:r>
        <w:t xml:space="preserve">(8 vCPU</w:t>
      </w:r>
      <w:r>
        <w:t xml:space="preserve"> </w:t>
      </w:r>
      <w:r>
        <w:t xml:space="preserve">per VM).</w:t>
      </w:r>
    </w:p>
    <w:p>
      <w:r>
        <w:pict>
          <v:rect style="width:0;height:1.5pt" o:hralign="center" o:hrstd="t" o:hr="t"/>
        </w:pict>
      </w:r>
    </w:p>
    <w:bookmarkEnd w:id="23"/>
    <w:bookmarkStart w:id="41" w:name="domain-1-region-selection"/>
    <w:p>
      <w:pPr>
        <w:pStyle w:val="Heading2"/>
      </w:pPr>
      <w:r>
        <w:t xml:space="preserve">3. Domain 1 — Region Selection</w:t>
      </w:r>
    </w:p>
    <w:bookmarkStart w:id="24" w:name="concept"/>
    <w:p>
      <w:pPr>
        <w:pStyle w:val="Heading3"/>
      </w:pPr>
      <w:r>
        <w:t xml:space="preserve">3.1 Concept</w:t>
      </w:r>
    </w:p>
    <w:p>
      <w:pPr>
        <w:pStyle w:val="FirstParagraph"/>
      </w:pPr>
      <w:r>
        <w:t xml:space="preserve">Region selection answers the 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Of all the Azure regions available for this geography, which</w:t>
      </w:r>
      <w:r>
        <w:rPr>
          <w:iCs/>
          <w:i/>
        </w:rPr>
        <w:t xml:space="preserve"> </w:t>
      </w:r>
      <w:r>
        <w:rPr>
          <w:iCs/>
          <w:i/>
        </w:rPr>
        <w:t xml:space="preserve">one should this customer’s production (or CVAL, or DR) environment live in?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The engine scores every eligible region and picks the highest-scoring one. The score is a number</w:t>
      </w:r>
      <w:r>
        <w:t xml:space="preserve"> </w:t>
      </w:r>
      <w:r>
        <w:t xml:space="preserve">between 0 and 1 — higher is better. The region with the highest score wins.</w:t>
      </w:r>
    </w:p>
    <w:p>
      <w:pPr>
        <w:pStyle w:val="BodyText"/>
      </w:pPr>
      <w:r>
        <w:t xml:space="preserve">Selection happens in a fixed sequential order:</w:t>
      </w:r>
      <w:r>
        <w:t xml:space="preserve"> </w:t>
      </w:r>
      <w:r>
        <w:rPr>
          <w:bCs/>
          <w:b/>
        </w:rPr>
        <w:t xml:space="preserve">Prod first, then CVAL (NonProd), then DR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Prod region</w:t>
      </w:r>
      <w:r>
        <w:t xml:space="preserve"> </w:t>
      </w:r>
      <w:r>
        <w:t xml:space="preserve">is usually supplied by the customer. ACRME validates it against hard constraints</w:t>
      </w:r>
      <w:r>
        <w:t xml:space="preserve"> </w:t>
      </w:r>
      <w:r>
        <w:t xml:space="preserve">rather than deriving it. Deriving a Prod region from geography alone is an exception path that</w:t>
      </w:r>
      <w:r>
        <w:t xml:space="preserve"> </w:t>
      </w:r>
      <w:r>
        <w:t xml:space="preserve">requires explicit approval.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CVAL region</w:t>
      </w:r>
      <w:r>
        <w:t xml:space="preserve"> </w:t>
      </w:r>
      <w:r>
        <w:t xml:space="preserve">is selected by the engine from the remaining Standard regions after Prod is</w:t>
      </w:r>
      <w:r>
        <w:t xml:space="preserve"> </w:t>
      </w:r>
      <w:r>
        <w:t xml:space="preserve">fixed.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DR region</w:t>
      </w:r>
      <w:r>
        <w:t xml:space="preserve"> </w:t>
      </w:r>
      <w:r>
        <w:t xml:space="preserve">is selected last from the remaining Standard regions.</w:t>
      </w:r>
    </w:p>
    <w:p>
      <w:pPr>
        <w:pStyle w:val="FirstParagraph"/>
      </w:pPr>
      <w:r>
        <w:t xml:space="preserve">If a customer’s supplied region is a</w:t>
      </w:r>
      <w:r>
        <w:t xml:space="preserve"> </w:t>
      </w:r>
      <w:r>
        <w:rPr>
          <w:bCs/>
          <w:b/>
        </w:rPr>
        <w:t xml:space="preserve">Restricted Capacity Region</w:t>
      </w:r>
      <w:r>
        <w:t xml:space="preserve"> </w:t>
      </w:r>
      <w:r>
        <w:t xml:space="preserve">(e.g. East US 2, North Europe),</w:t>
      </w:r>
      <w:r>
        <w:t xml:space="preserve"> </w:t>
      </w:r>
      <w:r>
        <w:t xml:space="preserve">it does not enter scoring at all. It goes to a manual exception workflow.</w:t>
      </w:r>
    </w:p>
    <w:bookmarkEnd w:id="24"/>
    <w:bookmarkStart w:id="25" w:name="X55bfdea8f63ca6d66dfde506c7b1c33cb19293e"/>
    <w:p>
      <w:pPr>
        <w:pStyle w:val="Heading3"/>
      </w:pPr>
      <w:r>
        <w:t xml:space="preserve">3.2 The Hard Constraint Gate — Ruling Out Ineligible Regions</w:t>
      </w:r>
    </w:p>
    <w:p>
      <w:pPr>
        <w:pStyle w:val="FirstParagraph"/>
      </w:pPr>
      <w:r>
        <w:t xml:space="preserve">Before any scoring happens, each candidate region must pass a set of hard constraints (HC-1..HC-10).</w:t>
      </w:r>
      <w:r>
        <w:t xml:space="preserve"> </w:t>
      </w:r>
      <w:r>
        <w:t xml:space="preserve">Think of these as eligibility checks that must all pass before a region is even considered. A region</w:t>
      </w:r>
      <w:r>
        <w:t xml:space="preserve"> </w:t>
      </w:r>
      <w:r>
        <w:t xml:space="preserve">that fails any hard constraint is removed from the scoring candidate pool entirely.</w:t>
      </w:r>
    </w:p>
    <w:p>
      <w:pPr>
        <w:pStyle w:val="BodyText"/>
      </w:pPr>
      <w:r>
        <w:t xml:space="preserve">The three arithmetic constraints that matter most in practice:</w:t>
      </w:r>
    </w:p>
    <w:p>
      <w:pPr>
        <w:pStyle w:val="BodyText"/>
      </w:pPr>
      <w:r>
        <w:rPr>
          <w:bCs/>
          <w:b/>
        </w:rPr>
        <w:t xml:space="preserve">HC-3 (Quota Floor):</w:t>
      </w:r>
      <w:r>
        <w:t xml:space="preserve"> </w:t>
      </w:r>
      <w:r>
        <w:t xml:space="preserve">Does the region have enough quota to accept the new deployment?</w:t>
      </w:r>
    </w:p>
    <w:p>
      <w:pPr>
        <w:pStyle w:val="SourceCode"/>
      </w:pPr>
      <w:r>
        <w:rPr>
          <w:rStyle w:val="VerbatimChar"/>
        </w:rPr>
        <w:t xml:space="preserve">For Prod:   the region's Prod quota headroom ≥ the vCPUs needed for this deployment</w:t>
      </w:r>
      <w:r>
        <w:br/>
      </w:r>
      <w:r>
        <w:rPr>
          <w:rStyle w:val="VerbatimChar"/>
        </w:rPr>
        <w:t xml:space="preserve">For NonProd: the region's effective NonProd headroom ≥ the vCPUs needed</w:t>
      </w:r>
      <w:r>
        <w:br/>
      </w:r>
      <w:r>
        <w:rPr>
          <w:rStyle w:val="VerbatimChar"/>
        </w:rPr>
        <w:t xml:space="preserve">For DR:      the region's DR headroom ≥ the target DR quantity × vCPU</w:t>
      </w:r>
    </w:p>
    <w:p>
      <w:pPr>
        <w:pStyle w:val="FirstParagraph"/>
      </w:pPr>
      <w:r>
        <w:t xml:space="preserve">In plain English: the region’s subscription quota limit is high enough that adding these VMs will</w:t>
      </w:r>
      <w:r>
        <w:t xml:space="preserve"> </w:t>
      </w:r>
      <w:r>
        <w:t xml:space="preserve">not push usage over the cap.</w:t>
      </w:r>
    </w:p>
    <w:p>
      <w:pPr>
        <w:pStyle w:val="BodyText"/>
      </w:pPr>
      <w:r>
        <w:rPr>
          <w:bCs/>
          <w:b/>
        </w:rPr>
        <w:t xml:space="preserve">HC-6 (DR Coverage Floor):</w:t>
      </w:r>
      <w:r>
        <w:t xml:space="preserve"> </w:t>
      </w:r>
      <w:r>
        <w:t xml:space="preserve">Does the region have enough room in its DR and NonProd CRGs combined</w:t>
      </w:r>
      <w:r>
        <w:t xml:space="preserve"> </w:t>
      </w:r>
      <w:r>
        <w:t xml:space="preserve">to take on this customer’s DR requirement?</w:t>
      </w:r>
    </w:p>
    <w:p>
      <w:pPr>
        <w:pStyle w:val="BodyText"/>
      </w:pPr>
      <w:r>
        <w:rPr>
          <w:bCs/>
          <w:b/>
        </w:rPr>
        <w:t xml:space="preserve">HC-7 (DR Floor Integrity):</w:t>
      </w:r>
      <w:r>
        <w:t xml:space="preserve"> </w:t>
      </w:r>
      <w:r>
        <w:t xml:space="preserve">Would adding these NonProd VMs eat into the space that is earmarked</w:t>
      </w:r>
      <w:r>
        <w:t xml:space="preserve"> </w:t>
      </w:r>
      <w:r>
        <w:t xml:space="preserve">for DR? If yes, the region is rejected — ACRME never lets NonProd growth erode DR protection.</w:t>
      </w:r>
    </w:p>
    <w:p>
      <w:pPr>
        <w:pStyle w:val="BodyText"/>
      </w:pPr>
      <w:r>
        <w:rPr>
          <w:bCs/>
          <w:b/>
        </w:rPr>
        <w:t xml:space="preserve">What happens if a region fails?</w:t>
      </w:r>
      <w:r>
        <w:t xml:space="preserve"> </w:t>
      </w:r>
      <w:r>
        <w:t xml:space="preserve">It is excluded from the scoring step. The engine scores only</w:t>
      </w:r>
      <w:r>
        <w:t xml:space="preserve"> </w:t>
      </w:r>
      <w:r>
        <w:t xml:space="preserve">the regions that passed all hard constraints.</w:t>
      </w:r>
    </w:p>
    <w:bookmarkEnd w:id="25"/>
    <w:bookmarkStart w:id="32" w:name="Xffa5ebca731bcaa89d8806d65c30202cd359372"/>
    <w:p>
      <w:pPr>
        <w:pStyle w:val="Heading3"/>
      </w:pPr>
      <w:r>
        <w:t xml:space="preserve">3.3 The Scoring Formulas — What Each Weight Means</w:t>
      </w:r>
    </w:p>
    <w:p>
      <w:pPr>
        <w:pStyle w:val="FirstParagraph"/>
      </w:pPr>
      <w:r>
        <w:t xml:space="preserve">Each of the three environment types has its own scoring formula. All three share the same five weights</w:t>
      </w:r>
      <w:r>
        <w:t xml:space="preserve"> </w:t>
      </w:r>
      <w:r>
        <w:t xml:space="preserve">(α=0.30, β=0.20, γ=0.25, δ=0.15, ε=0.10) but each weight measures something slightly different</w:t>
      </w:r>
      <w:r>
        <w:t xml:space="preserve"> </w:t>
      </w:r>
      <w:r>
        <w:t xml:space="preserve">depending on the environment type.</w:t>
      </w:r>
    </w:p>
    <w:p>
      <w:pPr>
        <w:pStyle w:val="BodyText"/>
      </w:pPr>
      <w:r>
        <w:t xml:space="preserve">Every component value is</w:t>
      </w:r>
      <w:r>
        <w:t xml:space="preserve"> </w:t>
      </w:r>
      <w:r>
        <w:rPr>
          <w:bCs/>
          <w:b/>
        </w:rPr>
        <w:t xml:space="preserve">clamped to the range [0, 1]</w:t>
      </w:r>
      <w:r>
        <w:t xml:space="preserve"> </w:t>
      </w:r>
      <w:r>
        <w:t xml:space="preserve">before being multiplied by its weight. This</w:t>
      </w:r>
      <w:r>
        <w:t xml:space="preserve"> </w:t>
      </w:r>
      <w:r>
        <w:t xml:space="preserve">means a component can never go below 0 or above 1, regardless of the raw numbers.</w:t>
      </w:r>
    </w:p>
    <w:bookmarkStart w:id="26" w:name="X6fb62483510d2d20870a825bb193a8aceb5d4a3"/>
    <w:p>
      <w:pPr>
        <w:pStyle w:val="Heading4"/>
      </w:pPr>
      <w:r>
        <w:t xml:space="preserve">Why These Specific Weights? The Building Analogy</w:t>
      </w:r>
    </w:p>
    <w:p>
      <w:pPr>
        <w:pStyle w:val="FirstParagraph"/>
      </w:pPr>
      <w:r>
        <w:t xml:space="preserve">Before diving into the technical formulas, here is the plain-English intuition behind each weight,</w:t>
      </w:r>
      <w:r>
        <w:t xml:space="preserve"> </w:t>
      </w:r>
      <w:r>
        <w:t xml:space="preserve">using the analogy of placing desks in office buildings: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English reason (building/office analogy)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 = 0.30</w:t>
            </w:r>
            <w:r>
              <w:t xml:space="preserve"> </w:t>
            </w:r>
            <w:r>
              <w:t xml:space="preserve">(largest)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Headroom/capacity 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single most important factor.</w:t>
            </w:r>
            <w:r>
              <w:t xml:space="preserve"> </w:t>
            </w:r>
            <w:r>
              <w:t xml:space="preserve">If a building is nearly full, we cannot grow — and growing is inevitable. Deserves the highest priority.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 =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never want all customers in the same building. If one building catches fire (fails), we want as few customers affected as possible.</w:t>
            </w:r>
            <w:r>
              <w:t xml:space="preserve"> </w:t>
            </w:r>
            <w:r>
              <w:rPr>
                <w:bCs/>
                <w:b/>
              </w:rPr>
              <w:t xml:space="preserve">Second highest.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 = 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building permit (quota) must have room approved by the authority (Microsoft). Without it, no new desks can be added even if the floor is empty.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 = 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backup office already covering enough customers? A well-covered DR region is a better destination. Lower priority because DR coverage depends on the customer mix, not just space.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 = 0.10</w:t>
            </w:r>
            <w:r>
              <w:t xml:space="preserve"> </w:t>
            </w:r>
            <w:r>
              <w:t xml:space="preserve">(smallest)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desks spread across different floors of the building? If one floor has a power cut, other floors keep running. Nice-to-have, not critical.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five add to exactly 1.0 (100%).</w:t>
      </w:r>
      <w:r>
        <w:t xml:space="preserve"> </w:t>
      </w:r>
      <w:r>
        <w:t xml:space="preserve">They are</w:t>
      </w:r>
      <w:r>
        <w:t xml:space="preserve"> </w:t>
      </w:r>
      <w:r>
        <w:rPr>
          <w:bCs/>
          <w:b/>
        </w:rPr>
        <w:t xml:space="preserve">policy defaults stored in config</w:t>
      </w:r>
      <w:r>
        <w:t xml:space="preserve"> </w:t>
      </w:r>
      <w:r>
        <w:t xml:space="preserve">— not</w:t>
      </w:r>
      <w:r>
        <w:t xml:space="preserve"> </w:t>
      </w:r>
      <w:r>
        <w:t xml:space="preserve">hardcoded. The team can adjust them if priorities change (see Section 6 for the weight-sum validation</w:t>
      </w:r>
      <w:r>
        <w:t xml:space="preserve"> </w:t>
      </w:r>
      <w:r>
        <w:t xml:space="preserve">requirement).</w:t>
      </w:r>
    </w:p>
    <w:bookmarkEnd w:id="26"/>
    <w:bookmarkStart w:id="27" w:name="Xcd116e4ecb24539ddbaf41d8d916780ffc31504"/>
    <w:p>
      <w:pPr>
        <w:pStyle w:val="Heading4"/>
      </w:pPr>
      <w:r>
        <w:t xml:space="preserve">Component α (weight 0.30) — Headroom or Capacity Signal</w:t>
      </w:r>
    </w:p>
    <w:p>
      <w:pPr>
        <w:pStyle w:val="FirstParagraph"/>
      </w:pPr>
      <w:r>
        <w:t xml:space="preserve">This is the single biggest factor. It 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much free capacity does this region have?</w:t>
      </w:r>
      <w:r>
        <w:rPr>
          <w:iCs/>
          <w:i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Formula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CRG effective free slots ÷ Prod CRG quantity (how much NonProd breathing room backs the Prod anchor)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CRG effective free slots ÷ NonProd CRG quantity (direct NonProd headroom ratio)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CRG free slots ÷ DR CRG quantity (direct DR headroom ratio)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 plain English:</w:t>
      </w:r>
      <w:r>
        <w:t xml:space="preserve"> </w:t>
      </w:r>
      <w:r>
        <w:t xml:space="preserve">a region with more available headroom scores higher. This is the most heavily</w:t>
      </w:r>
      <w:r>
        <w:t xml:space="preserve"> </w:t>
      </w:r>
      <w:r>
        <w:t xml:space="preserve">weighted factor because placing a customer in a region with no headroom creates an immediate risk of</w:t>
      </w:r>
      <w:r>
        <w:t xml:space="preserve"> </w:t>
      </w:r>
      <w:r>
        <w:t xml:space="preserve">capacity exhaustion.</w:t>
      </w:r>
    </w:p>
    <w:bookmarkEnd w:id="27"/>
    <w:bookmarkStart w:id="28" w:name="X7adabbbfd1bb0521bd354676e49d36b4b2cda09"/>
    <w:p>
      <w:pPr>
        <w:pStyle w:val="Heading4"/>
      </w:pPr>
      <w:r>
        <w:t xml:space="preserve">Component β (weight 0.20) — Quota Headroom Signal</w:t>
      </w:r>
    </w:p>
    <w:p>
      <w:pPr>
        <w:pStyle w:val="FirstParagraph"/>
      </w:pPr>
      <w:r>
        <w:t xml:space="preserve">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much room does the subscription’s quota limit have?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All three environment types measure this the same way: the ratio of remaining quota headroom to total</w:t>
      </w:r>
      <w:r>
        <w:t xml:space="preserve"> </w:t>
      </w:r>
      <w:r>
        <w:t xml:space="preserve">quota limit. A region where the subscription is nearly at its quota limit scores lower. This matters</w:t>
      </w:r>
      <w:r>
        <w:t xml:space="preserve"> </w:t>
      </w:r>
      <w:r>
        <w:t xml:space="preserve">because even if Azure has physical capacity, a quota limit prevents deployment.</w:t>
      </w:r>
    </w:p>
    <w:bookmarkEnd w:id="28"/>
    <w:bookmarkStart w:id="29" w:name="Xc798a9e50eb2cbfb66c7250b7ba9ec38a388b4c"/>
    <w:p>
      <w:pPr>
        <w:pStyle w:val="Heading4"/>
      </w:pPr>
      <w:r>
        <w:t xml:space="preserve">Component γ (weight 0.25) — Distribution Fairness</w:t>
      </w:r>
    </w:p>
    <w:p>
      <w:pPr>
        <w:pStyle w:val="FirstParagraph"/>
      </w:pPr>
      <w:r>
        <w:t xml:space="preserve">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this region already heavily loaded with customers?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All three environment types measure this as</w:t>
      </w:r>
      <w:r>
        <w:t xml:space="preserve"> </w:t>
      </w:r>
      <w:r>
        <w:rPr>
          <w:rStyle w:val="VerbatimChar"/>
        </w:rPr>
        <w:t xml:space="preserve">1 − (customers already in this region ÷ total customers across all regions)</w:t>
      </w:r>
      <w:r>
        <w:t xml:space="preserve">. The subtraction from 1 means a lightly loaded region scores high (close to 1)</w:t>
      </w:r>
      <w:r>
        <w:t xml:space="preserve"> </w:t>
      </w:r>
      <w:r>
        <w:t xml:space="preserve">and a heavily loaded region scores low (close to 0).</w:t>
      </w:r>
    </w:p>
    <w:p>
      <w:pPr>
        <w:pStyle w:val="BodyText"/>
      </w:pPr>
      <w:r>
        <w:rPr>
          <w:bCs/>
          <w:b/>
        </w:rPr>
        <w:t xml:space="preserve">In plain English:</w:t>
      </w:r>
      <w:r>
        <w:t xml:space="preserve"> </w:t>
      </w:r>
      <w:r>
        <w:t xml:space="preserve">ACRME tries to spread customers evenly. A region that already hosts most of the</w:t>
      </w:r>
      <w:r>
        <w:t xml:space="preserve"> </w:t>
      </w:r>
      <w:r>
        <w:t xml:space="preserve">customer base is less attractive for the next customer — even if it has adequate headroom.</w:t>
      </w:r>
    </w:p>
    <w:bookmarkEnd w:id="29"/>
    <w:bookmarkStart w:id="30" w:name="Xa815a247d8919cb201119cb6a80b84304a04769"/>
    <w:p>
      <w:pPr>
        <w:pStyle w:val="Heading4"/>
      </w:pPr>
      <w:r>
        <w:t xml:space="preserve">Component δ (weight 0.15) — DR Readiness or Overflow Integrity Signal</w:t>
      </w:r>
    </w:p>
    <w:p>
      <w:pPr>
        <w:pStyle w:val="FirstParagraph"/>
      </w:pPr>
      <w:r>
        <w:t xml:space="preserve">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this region’s DR position healthy?</w:t>
      </w:r>
      <w:r>
        <w:rPr>
          <w:iCs/>
          <w:i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Formula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CRG coverage ratio (does this region have adequate DR coverage already?)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CRG effective free ÷ quantity (overflow capacity health — duplicate of α in design-of-record)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CRG coverage ratio ÷ dr_ratio_target (how close is DR coverage to the bootstrap target?)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 plain English:</w:t>
      </w:r>
      <w:r>
        <w:t xml:space="preserve"> </w:t>
      </w:r>
      <w:r>
        <w:t xml:space="preserve">this component rewards regions where the DR position is healthy — the region is</w:t>
      </w:r>
      <w:r>
        <w:t xml:space="preserve"> </w:t>
      </w:r>
      <w:r>
        <w:t xml:space="preserve">not already overcommitted from a DR perspective.</w:t>
      </w:r>
    </w:p>
    <w:bookmarkEnd w:id="30"/>
    <w:bookmarkStart w:id="31" w:name="component-ε-weight-0.10-zone-diversity"/>
    <w:p>
      <w:pPr>
        <w:pStyle w:val="Heading4"/>
      </w:pPr>
      <w:r>
        <w:t xml:space="preserve">Component ε (weight 0.10) — Zone Diversity</w:t>
      </w:r>
    </w:p>
    <w:p>
      <w:pPr>
        <w:pStyle w:val="FirstParagraph"/>
      </w:pPr>
      <w:r>
        <w:t xml:space="preserve">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many Availability Zones does this region have?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The formula is</w:t>
      </w:r>
      <w:r>
        <w:t xml:space="preserve"> </w:t>
      </w:r>
      <w:r>
        <w:rPr>
          <w:rStyle w:val="VerbatimChar"/>
        </w:rPr>
        <w:t xml:space="preserve">az_count ÷ 3</w:t>
      </w:r>
      <w:r>
        <w:t xml:space="preserve">, clamped to [0, 1]. A region with 3 AZs scores 1.0; a region with 1</w:t>
      </w:r>
      <w:r>
        <w:t xml:space="preserve"> </w:t>
      </w:r>
      <w:r>
        <w:t xml:space="preserve">AZ scores 0.33. Zone diversity matters because it determines whether the deployment can be spread</w:t>
      </w:r>
      <w:r>
        <w:t xml:space="preserve"> </w:t>
      </w:r>
      <w:r>
        <w:t xml:space="preserve">across multiple physical failure domains.</w:t>
      </w:r>
    </w:p>
    <w:p>
      <w:pPr>
        <w:pStyle w:val="BodyText"/>
      </w:pPr>
      <w:r>
        <w:rPr>
          <w:bCs/>
          <w:b/>
        </w:rPr>
        <w:t xml:space="preserve">In plain English:</w:t>
      </w:r>
      <w:r>
        <w:t xml:space="preserve"> </w:t>
      </w:r>
      <w:r>
        <w:t xml:space="preserve">a region with more Availability Zones is more resilient and scores higher on</w:t>
      </w:r>
      <w:r>
        <w:t xml:space="preserve"> </w:t>
      </w:r>
      <w:r>
        <w:t xml:space="preserve">this component, all else equal.</w:t>
      </w:r>
    </w:p>
    <w:bookmarkEnd w:id="31"/>
    <w:bookmarkEnd w:id="32"/>
    <w:bookmarkStart w:id="33" w:name="X028286bd9315a9e8cb7c3c550c2f95f5d36b2cc"/>
    <w:p>
      <w:pPr>
        <w:pStyle w:val="Heading3"/>
      </w:pPr>
      <w:r>
        <w:t xml:space="preserve">3.4 Putting It Together — The Score and the Winner</w:t>
      </w:r>
    </w:p>
    <w:p>
      <w:pPr>
        <w:pStyle w:val="FirstParagraph"/>
      </w:pPr>
      <w:r>
        <w:t xml:space="preserve">Each region gets a score between 0 and 1:</w:t>
      </w:r>
    </w:p>
    <w:p>
      <w:pPr>
        <w:pStyle w:val="SourceCode"/>
      </w:pPr>
      <w:r>
        <w:rPr>
          <w:rStyle w:val="VerbatimChar"/>
        </w:rPr>
        <w:t xml:space="preserve">Score(region) = 0.30 × α_component</w:t>
      </w:r>
      <w:r>
        <w:br/>
      </w:r>
      <w:r>
        <w:rPr>
          <w:rStyle w:val="VerbatimChar"/>
        </w:rPr>
        <w:t xml:space="preserve">              + 0.20 × β_component</w:t>
      </w:r>
      <w:r>
        <w:br/>
      </w:r>
      <w:r>
        <w:rPr>
          <w:rStyle w:val="VerbatimChar"/>
        </w:rPr>
        <w:t xml:space="preserve">              + 0.25 × γ_component</w:t>
      </w:r>
      <w:r>
        <w:br/>
      </w:r>
      <w:r>
        <w:rPr>
          <w:rStyle w:val="VerbatimChar"/>
        </w:rPr>
        <w:t xml:space="preserve">              + 0.15 × δ_component</w:t>
      </w:r>
      <w:r>
        <w:br/>
      </w:r>
      <w:r>
        <w:rPr>
          <w:rStyle w:val="VerbatimChar"/>
        </w:rPr>
        <w:t xml:space="preserve">              + 0.10 × ε_component</w:t>
      </w:r>
    </w:p>
    <w:p>
      <w:pPr>
        <w:pStyle w:val="FirstParagraph"/>
      </w:pPr>
      <w:r>
        <w:t xml:space="preserve">The region with the</w:t>
      </w:r>
      <w:r>
        <w:t xml:space="preserve"> </w:t>
      </w:r>
      <w:r>
        <w:rPr>
          <w:bCs/>
          <w:b/>
        </w:rPr>
        <w:t xml:space="preserve">highest score wins</w:t>
      </w:r>
      <w:r>
        <w:t xml:space="preserve"> </w:t>
      </w:r>
      <w:r>
        <w:t xml:space="preserve">— this is what the formula</w:t>
      </w:r>
      <w:r>
        <w:t xml:space="preserve"> </w:t>
      </w:r>
      <w:r>
        <w:rPr>
          <w:rStyle w:val="VerbatimChar"/>
        </w:rPr>
        <w:t xml:space="preserve">argmax(PS)</w:t>
      </w:r>
      <w:r>
        <w:t xml:space="preserve"> </w:t>
      </w:r>
      <w:r>
        <w:t xml:space="preserve">means. If two</w:t>
      </w:r>
      <w:r>
        <w:t xml:space="preserve"> </w:t>
      </w:r>
      <w:r>
        <w:t xml:space="preserve">regions tie, the engine picks the first one in the Standard Capacity Region list for that geography</w:t>
      </w:r>
      <w:r>
        <w:t xml:space="preserve"> </w:t>
      </w:r>
      <w:r>
        <w:t xml:space="preserve">(deterministic tie-break).</w:t>
      </w:r>
    </w:p>
    <w:p>
      <w:pPr>
        <w:pStyle w:val="BodyText"/>
      </w:pPr>
      <w:r>
        <w:t xml:space="preserve">The winning region’s score, along with every input value and the PlacementPolicy version, is written</w:t>
      </w:r>
      <w:r>
        <w:t xml:space="preserve"> </w:t>
      </w:r>
      <w:r>
        <w:t xml:space="preserve">to the OperationRecord so the decision can be replayed or audited later.</w:t>
      </w:r>
    </w:p>
    <w:bookmarkEnd w:id="33"/>
    <w:bookmarkStart w:id="36" w:name="X5964f6e479482a3ead1e0a0b39d9c8d6104dd98"/>
    <w:p>
      <w:pPr>
        <w:pStyle w:val="Heading3"/>
      </w:pPr>
      <w:r>
        <w:t xml:space="preserve">3.5 US Geography Walkthrough (3 Standard Regions)</w:t>
      </w:r>
    </w:p>
    <w:p>
      <w:pPr>
        <w:pStyle w:val="FirstParagraph"/>
      </w:pPr>
      <w:r>
        <w:rPr>
          <w:bCs/>
          <w:b/>
        </w:rPr>
        <w:t xml:space="preserve">Context:</w:t>
      </w:r>
      <w:r>
        <w:t xml:space="preserve"> </w:t>
      </w:r>
      <w:r>
        <w:t xml:space="preserve">US Geography has three Standard Capacity regions: West US 3, Central US, Canada Central.</w:t>
      </w:r>
      <w:r>
        <w:t xml:space="preserve"> </w:t>
      </w:r>
      <w:r>
        <w:t xml:space="preserve">All three are initially in the scoring candidate pool.</w:t>
      </w:r>
    </w:p>
    <w:bookmarkStart w:id="34" w:name="happy-path-all-three-regions-eligible"/>
    <w:p>
      <w:pPr>
        <w:pStyle w:val="Heading4"/>
      </w:pPr>
      <w:r>
        <w:t xml:space="preserve">Happy Path — All Three Regions Eligible</w:t>
      </w:r>
    </w:p>
    <w:p>
      <w:pPr>
        <w:pStyle w:val="FirstParagraph"/>
      </w:pPr>
      <w:r>
        <w:t xml:space="preserve">All three regions pass HC-1..HC-10. The engine scores all three and picks the highest:</w:t>
      </w:r>
    </w:p>
    <w:p>
      <w:pPr>
        <w:pStyle w:val="SourceCode"/>
      </w:pPr>
      <w:r>
        <w:rPr>
          <w:rStyle w:val="VerbatimChar"/>
        </w:rPr>
        <w:t xml:space="preserve">Candidate regions: { West US 3, Central US, Canada Central }</w:t>
      </w:r>
      <w:r>
        <w:br/>
      </w:r>
      <w:r>
        <w:br/>
      </w:r>
      <w:r>
        <w:rPr>
          <w:rStyle w:val="VerbatimChar"/>
        </w:rPr>
        <w:t xml:space="preserve">Score(West US 3):    0.30 × 0.65 + 0.20 × 0.70 + 0.25 × 0.60 + 0.15 × 0.50 + 0.10 × 1.0 = 0.63</w:t>
      </w:r>
      <w:r>
        <w:br/>
      </w:r>
      <w:r>
        <w:rPr>
          <w:rStyle w:val="VerbatimChar"/>
        </w:rPr>
        <w:t xml:space="preserve">Score(Central US):   0.30 × 0.40 + 0.20 × 0.55 + 0.25 × 0.75 + 0.15 × 0.45 + 0.10 × 1.0 = 0.58</w:t>
      </w:r>
      <w:r>
        <w:br/>
      </w:r>
      <w:r>
        <w:rPr>
          <w:rStyle w:val="VerbatimChar"/>
        </w:rPr>
        <w:t xml:space="preserve">Score(Canada Central): 0.30 × 0.20 + 0.20 × 0.30 + 0.25 × 0.80 + 0.15 × 0.60 + 0.10 × 0.67 = 0.44</w:t>
      </w:r>
      <w:r>
        <w:br/>
      </w:r>
      <w:r>
        <w:br/>
      </w:r>
      <w:r>
        <w:rPr>
          <w:rStyle w:val="VerbatimChar"/>
        </w:rPr>
        <w:t xml:space="preserve">argmax → West US 3 (Prod anchor)</w:t>
      </w:r>
    </w:p>
    <w:p>
      <w:pPr>
        <w:pStyle w:val="FirstParagraph"/>
      </w:pPr>
      <w:r>
        <w:t xml:space="preserve">Subsequent CVAL and DR selections run the same scoring against the remaining eligible regions.</w:t>
      </w:r>
    </w:p>
    <w:bookmarkEnd w:id="34"/>
    <w:bookmarkStart w:id="35" w:name="X0e71000fa1f28e7234c26d9920962de16021ed0"/>
    <w:p>
      <w:pPr>
        <w:pStyle w:val="Heading4"/>
      </w:pPr>
      <w:r>
        <w:t xml:space="preserve">Sad Path — One Region Fails the Hard Constraint Gate</w:t>
      </w:r>
    </w:p>
    <w:p>
      <w:pPr>
        <w:pStyle w:val="FirstParagraph"/>
      </w:pPr>
      <w:r>
        <w:t xml:space="preserve">Suppose Central US has a current NonProd quota usage so high that adding 3× E16ads_v5 (48 vCPU)</w:t>
      </w:r>
      <w:r>
        <w:t xml:space="preserve"> </w:t>
      </w:r>
      <w:r>
        <w:t xml:space="preserve">would exceed the effective NonProd ceiling:</w:t>
      </w:r>
    </w:p>
    <w:p>
      <w:pPr>
        <w:pStyle w:val="SourceCode"/>
      </w:pPr>
      <w:r>
        <w:rPr>
          <w:rStyle w:val="VerbatimChar"/>
        </w:rPr>
        <w:t xml:space="preserve">HC-7 check for Central US:</w:t>
      </w:r>
      <w:r>
        <w:br/>
      </w:r>
      <w:r>
        <w:rPr>
          <w:rStyle w:val="VerbatimChar"/>
        </w:rPr>
        <w:t xml:space="preserve">  nonprod_quota_used + (3 × 16) = nonprod_quota_used + 48 &gt; effective_nonprod_ceiling</w:t>
      </w:r>
      <w:r>
        <w:br/>
      </w:r>
      <w:r>
        <w:rPr>
          <w:rStyle w:val="VerbatimChar"/>
        </w:rPr>
        <w:t xml:space="preserve">  → HC-7 FAIL → Central US excluded from scoring pool</w:t>
      </w:r>
    </w:p>
    <w:p>
      <w:pPr>
        <w:pStyle w:val="FirstParagraph"/>
      </w:pPr>
      <w:r>
        <w:t xml:space="preserve">The engine now scores only { West US 3, Canada Central }. It still picks the best of the remaining</w:t>
      </w:r>
      <w:r>
        <w:t xml:space="preserve"> </w:t>
      </w:r>
      <w:r>
        <w:t xml:space="preserve">two — it does not fail the entire placement. Only if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Standard regions fail the hard constraint</w:t>
      </w:r>
      <w:r>
        <w:t xml:space="preserve"> </w:t>
      </w:r>
      <w:r>
        <w:t xml:space="preserve">gate does the engine fall into the exception workflow.</w:t>
      </w:r>
    </w:p>
    <w:bookmarkEnd w:id="35"/>
    <w:bookmarkEnd w:id="36"/>
    <w:bookmarkStart w:id="39" w:name="Xbf33f4e5138670cd60f80190312500638212d4d"/>
    <w:p>
      <w:pPr>
        <w:pStyle w:val="Heading3"/>
      </w:pPr>
      <w:r>
        <w:t xml:space="preserve">3.6 EU Geography Walkthrough (2 Standard Regions)</w:t>
      </w:r>
    </w:p>
    <w:p>
      <w:pPr>
        <w:pStyle w:val="FirstParagraph"/>
      </w:pPr>
      <w:r>
        <w:rPr>
          <w:bCs/>
          <w:b/>
        </w:rPr>
        <w:t xml:space="preserve">Context:</w:t>
      </w:r>
      <w:r>
        <w:t xml:space="preserve"> </w:t>
      </w:r>
      <w:r>
        <w:t xml:space="preserve">EU Geography has only two Standard Capacity regions: Switzerland North and Sweden Central.</w:t>
      </w:r>
      <w:r>
        <w:t xml:space="preserve"> </w:t>
      </w:r>
      <w:r>
        <w:t xml:space="preserve">This is a structural constraint: with only two Standard regions, the engine cannot place Prod, CVAL,</w:t>
      </w:r>
      <w:r>
        <w:t xml:space="preserve"> </w:t>
      </w:r>
      <w:r>
        <w:t xml:space="preserve">and DR in three separate regions.</w:t>
      </w:r>
    </w:p>
    <w:p>
      <w:pPr>
        <w:pStyle w:val="BodyText"/>
      </w:pPr>
      <w:r>
        <w:rPr>
          <w:bCs/>
          <w:b/>
        </w:rPr>
        <w:t xml:space="preserve">How EU handles this — the co-location rule (PLC-010):</w:t>
      </w:r>
      <w:r>
        <w:t xml:space="preserve"> </w:t>
      </w:r>
      <w:r>
        <w:t xml:space="preserve">one region is Prod, the other is both CVAL</w:t>
      </w:r>
      <w:r>
        <w:t xml:space="preserve"> </w:t>
      </w:r>
      <w:r>
        <w:t xml:space="preserve">and DR together (co-located). CVAL and DR share the second region. This is by design, not a fallback.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prevents double-counting: CVAL capacity earmarked for DR activation cannot</w:t>
      </w:r>
      <w:r>
        <w:t xml:space="preserve"> </w:t>
      </w:r>
      <w:r>
        <w:t xml:space="preserve">simultaneously be counted as live NonProd headroom.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DR_NOT_OFFERED does not apply to EU. Both Switzerland North and Sweden Central are fully</w:t>
      </w:r>
      <w:r>
        <w:t xml:space="preserve"> </w:t>
      </w:r>
      <w:r>
        <w:t xml:space="preserve">eligible for all three environment types.</w:t>
      </w:r>
    </w:p>
    <w:bookmarkStart w:id="37" w:name="happy-path-both-regions-eligible"/>
    <w:p>
      <w:pPr>
        <w:pStyle w:val="Heading4"/>
      </w:pPr>
      <w:r>
        <w:t xml:space="preserve">Happy Path — Both Regions Eligible</w:t>
      </w:r>
    </w:p>
    <w:p>
      <w:pPr>
        <w:pStyle w:val="SourceCode"/>
      </w:pPr>
      <w:r>
        <w:rPr>
          <w:rStyle w:val="VerbatimChar"/>
        </w:rPr>
        <w:t xml:space="preserve">Candidate regions: { Switzerland North, Sweden Central }</w:t>
      </w:r>
      <w:r>
        <w:br/>
      </w:r>
      <w:r>
        <w:br/>
      </w:r>
      <w:r>
        <w:rPr>
          <w:rStyle w:val="VerbatimChar"/>
        </w:rPr>
        <w:t xml:space="preserve">Step 1 (Prod):    argmax(PS_Prod) → say Switzerland North scores highest → Prod = Switzerland North</w:t>
      </w:r>
      <w:r>
        <w:br/>
      </w:r>
      <w:r>
        <w:rPr>
          <w:rStyle w:val="VerbatimChar"/>
        </w:rPr>
        <w:t xml:space="preserve">Step 2 (CVAL):    only Sweden Central remains → CVAL = Sweden Central (deterministic, no argmax needed)</w:t>
      </w:r>
      <w:r>
        <w:br/>
      </w:r>
      <w:r>
        <w:rPr>
          <w:rStyle w:val="VerbatimChar"/>
        </w:rPr>
        <w:t xml:space="preserve">Step 3 (DR):      same region as CVAL by PLC-010 co-location rule → DR = Sweden Central</w:t>
      </w:r>
      <w:r>
        <w:br/>
      </w:r>
      <w:r>
        <w:br/>
      </w:r>
      <w:r>
        <w:rPr>
          <w:rStyle w:val="VerbatimChar"/>
        </w:rPr>
        <w:t xml:space="preserve">CustomerSeedRecord:</w:t>
      </w:r>
      <w:r>
        <w:br/>
      </w:r>
      <w:r>
        <w:rPr>
          <w:rStyle w:val="VerbatimChar"/>
        </w:rPr>
        <w:t xml:space="preserve">  production_region = "Switzerland North"</w:t>
      </w:r>
      <w:r>
        <w:br/>
      </w:r>
      <w:r>
        <w:rPr>
          <w:rStyle w:val="VerbatimChar"/>
        </w:rPr>
        <w:t xml:space="preserve">  cval_region       = "Sweden Central"</w:t>
      </w:r>
      <w:r>
        <w:br/>
      </w:r>
      <w:r>
        <w:rPr>
          <w:rStyle w:val="VerbatimChar"/>
        </w:rPr>
        <w:t xml:space="preserve">  dr_region         = "Sweden Central"   ← co-located with CVAL</w:t>
      </w:r>
    </w:p>
    <w:bookmarkEnd w:id="37"/>
    <w:bookmarkStart w:id="38" w:name="Xeb1d2640e8b9c7f514bd092797cc2fd06b42fce"/>
    <w:p>
      <w:pPr>
        <w:pStyle w:val="Heading4"/>
      </w:pPr>
      <w:r>
        <w:t xml:space="preserve">Sad Path — One Region Fails the Hard Constraint Gate</w:t>
      </w:r>
    </w:p>
    <w:p>
      <w:pPr>
        <w:pStyle w:val="FirstParagraph"/>
      </w:pPr>
      <w:r>
        <w:t xml:space="preserve">If Sweden Central fails HC-3 (insufficient Prod quota headroom for this deployment):</w:t>
      </w:r>
    </w:p>
    <w:p>
      <w:pPr>
        <w:pStyle w:val="SourceCode"/>
      </w:pPr>
      <w:r>
        <w:rPr>
          <w:rStyle w:val="VerbatimChar"/>
        </w:rPr>
        <w:t xml:space="preserve">HC-3 check for Sweden Central:</w:t>
      </w:r>
      <w:r>
        <w:br/>
      </w:r>
      <w:r>
        <w:rPr>
          <w:rStyle w:val="VerbatimChar"/>
        </w:rPr>
        <w:t xml:space="preserve">  prod_quota_headroom &lt; requested_vm_count × vCPU</w:t>
      </w:r>
      <w:r>
        <w:br/>
      </w:r>
      <w:r>
        <w:rPr>
          <w:rStyle w:val="VerbatimChar"/>
        </w:rPr>
        <w:t xml:space="preserve">  → HC-3 FAIL → Sweden Central excluded from Prod scoring</w:t>
      </w:r>
      <w:r>
        <w:br/>
      </w:r>
      <w:r>
        <w:br/>
      </w:r>
      <w:r>
        <w:rPr>
          <w:rStyle w:val="VerbatimChar"/>
        </w:rPr>
        <w:t xml:space="preserve">Only remaining Prod candidate: Switzerland North</w:t>
      </w:r>
      <w:r>
        <w:br/>
      </w:r>
      <w:r>
        <w:rPr>
          <w:rStyle w:val="VerbatimChar"/>
        </w:rPr>
        <w:t xml:space="preserve">Prod = Switzerland North (deterministic — no argmax, single candidate)</w:t>
      </w:r>
      <w:r>
        <w:br/>
      </w:r>
      <w:r>
        <w:br/>
      </w:r>
      <w:r>
        <w:rPr>
          <w:rStyle w:val="VerbatimChar"/>
        </w:rPr>
        <w:t xml:space="preserve">CVAL + DR must go to Sweden Central (only remaining Standard region) regardless of HC failure for Prod</w:t>
      </w:r>
      <w:r>
        <w:br/>
      </w:r>
      <w:r>
        <w:rPr>
          <w:rStyle w:val="VerbatimChar"/>
        </w:rPr>
        <w:t xml:space="preserve">scoring. The engine re-evaluates HC for CVAL/NonProd context — a region that fails Prod constraints</w:t>
      </w:r>
      <w:r>
        <w:br/>
      </w:r>
      <w:r>
        <w:rPr>
          <w:rStyle w:val="VerbatimChar"/>
        </w:rPr>
        <w:t xml:space="preserve">may still pass NonProd constraints because they check different quota groups/pools.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regions fail the gate for the same environment type, the engine has no eligible candidate</w:t>
      </w:r>
      <w:r>
        <w:t xml:space="preserve"> </w:t>
      </w:r>
      <w:r>
        <w:t xml:space="preserve">and escalates to the exception workflow (Scenario 3).</w:t>
      </w:r>
    </w:p>
    <w:bookmarkEnd w:id="38"/>
    <w:bookmarkEnd w:id="39"/>
    <w:bookmarkStart w:id="40" w:name="X056fb990fb5a0f68d6ea0ec579813290cf71ab2"/>
    <w:p>
      <w:pPr>
        <w:pStyle w:val="Heading3"/>
      </w:pPr>
      <w:r>
        <w:t xml:space="preserve">3.7 Worked Example — E16ads_v5 (16 vCPU) at US Scale</w:t>
      </w:r>
    </w:p>
    <w:p>
      <w:pPr>
        <w:pStyle w:val="FirstParagraph"/>
      </w:pPr>
      <w:r>
        <w:rPr>
          <w:bCs/>
          <w:b/>
        </w:rPr>
        <w:t xml:space="preserve">Deployment:</w:t>
      </w:r>
      <w:r>
        <w:t xml:space="preserve"> </w:t>
      </w:r>
      <w:r>
        <w:t xml:space="preserve">3× E16ads_v5 = 48 vCPU for Prod in US Geography.</w:t>
      </w:r>
    </w:p>
    <w:p>
      <w:pPr>
        <w:pStyle w:val="SourceCode"/>
      </w:pPr>
      <w:r>
        <w:rPr>
          <w:rStyle w:val="VerbatimChar"/>
        </w:rPr>
        <w:t xml:space="preserve">HC-3 Prod check for each candidate region:</w:t>
      </w:r>
      <w:r>
        <w:br/>
      </w:r>
      <w:r>
        <w:rPr>
          <w:rStyle w:val="VerbatimChar"/>
        </w:rPr>
        <w:t xml:space="preserve">  Required:  48 vCPU</w:t>
      </w:r>
      <w:r>
        <w:br/>
      </w:r>
      <w:r>
        <w:rPr>
          <w:rStyle w:val="VerbatimChar"/>
        </w:rPr>
        <w:t xml:space="preserve">  Region must have Prod_Group_headroom ≥ 48 vCPU</w:t>
      </w:r>
      <w:r>
        <w:br/>
      </w:r>
      <w:r>
        <w:br/>
      </w:r>
      <w:r>
        <w:rPr>
          <w:rStyle w:val="VerbatimChar"/>
        </w:rPr>
        <w:t xml:space="preserve">If West US 3 has Prod_Group_headroom = 64 vCPU → PASS (64 ≥ 48)</w:t>
      </w:r>
      <w:r>
        <w:br/>
      </w:r>
      <w:r>
        <w:rPr>
          <w:rStyle w:val="VerbatimChar"/>
        </w:rPr>
        <w:t xml:space="preserve">If Central US has Prod_Group_headroom = 32 vCPU → FAIL (32 &lt; 48) → excluded</w:t>
      </w:r>
      <w:r>
        <w:br/>
      </w:r>
      <w:r>
        <w:br/>
      </w:r>
      <w:r>
        <w:rPr>
          <w:rStyle w:val="VerbatimChar"/>
        </w:rPr>
        <w:t xml:space="preserve">Scoring runs on: { West US 3, Canada Central }</w:t>
      </w:r>
      <w:r>
        <w:br/>
      </w:r>
      <w:r>
        <w:rPr>
          <w:rStyle w:val="VerbatimChar"/>
        </w:rPr>
        <w:t xml:space="preserve">Winner: argmax of those two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2" w:name="domain-2-quota-management"/>
    <w:p>
      <w:pPr>
        <w:pStyle w:val="Heading2"/>
      </w:pPr>
      <w:r>
        <w:t xml:space="preserve">4. Domain 2 — Quota Management</w:t>
      </w:r>
    </w:p>
    <w:bookmarkStart w:id="42" w:name="concept-1"/>
    <w:p>
      <w:pPr>
        <w:pStyle w:val="Heading3"/>
      </w:pPr>
      <w:r>
        <w:t xml:space="preserve">4.1 Concept</w:t>
      </w:r>
    </w:p>
    <w:p>
      <w:pPr>
        <w:pStyle w:val="FirstParagraph"/>
      </w:pPr>
      <w:r>
        <w:t xml:space="preserve">Quota is the Azure-imposed limit on how many vCPUs of a given VM family a subscription can deploy in</w:t>
      </w:r>
      <w:r>
        <w:t xml:space="preserve"> </w:t>
      </w:r>
      <w:r>
        <w:t xml:space="preserve">a region. Even if physical capacity exists, deployment fails if the subscription has no quota left.</w:t>
      </w:r>
    </w:p>
    <w:p>
      <w:pPr>
        <w:pStyle w:val="BodyText"/>
      </w:pPr>
      <w:r>
        <w:t xml:space="preserve">ACRME manages quota in a</w:t>
      </w:r>
      <w:r>
        <w:t xml:space="preserve"> </w:t>
      </w:r>
      <w:r>
        <w:rPr>
          <w:bCs/>
          <w:b/>
        </w:rPr>
        <w:t xml:space="preserve">single governed pool per region per VM family</w:t>
      </w:r>
      <w:r>
        <w:t xml:space="preserve">. This pool covers Prod,</w:t>
      </w:r>
      <w:r>
        <w:t xml:space="preserve"> </w:t>
      </w:r>
      <w:r>
        <w:t xml:space="preserve">NonProd/CVAL, and DR together. Inside the pool, ACRME uses</w:t>
      </w:r>
      <w:r>
        <w:t xml:space="preserve"> </w:t>
      </w:r>
      <w:r>
        <w:rPr>
          <w:bCs/>
          <w:b/>
        </w:rPr>
        <w:t xml:space="preserve">logical earmarks</w:t>
      </w:r>
      <w:r>
        <w:t xml:space="preserve"> </w:t>
      </w:r>
      <w:r>
        <w:t xml:space="preserve">to protect Prod and DR</w:t>
      </w:r>
      <w:r>
        <w:t xml:space="preserve"> </w:t>
      </w:r>
      <w:r>
        <w:t xml:space="preserve">space — they are never available for NonProd to consume.</w:t>
      </w:r>
    </w:p>
    <w:bookmarkEnd w:id="42"/>
    <w:bookmarkStart w:id="43" w:name="the-single-pool-why-one-pool"/>
    <w:p>
      <w:pPr>
        <w:pStyle w:val="Heading3"/>
      </w:pPr>
      <w:r>
        <w:t xml:space="preserve">4.2 The Single Pool — Why One Pool?</w:t>
      </w:r>
    </w:p>
    <w:p>
      <w:pPr>
        <w:pStyle w:val="FirstParagraph"/>
      </w:pPr>
      <w:r>
        <w:t xml:space="preserve">Older designs used separate quota groups (one for Prod, one for NonProd+DR). The single-pool model</w:t>
      </w:r>
      <w:r>
        <w:t xml:space="preserve"> </w:t>
      </w:r>
      <w:r>
        <w:t xml:space="preserve">was adopted because: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Flexibility:</w:t>
      </w:r>
      <w:r>
        <w:t xml:space="preserve"> </w:t>
      </w:r>
      <w:r>
        <w:t xml:space="preserve">all quota is in one place. If Prod needs more room, there is no inter-group</w:t>
      </w:r>
      <w:r>
        <w:t xml:space="preserve"> </w:t>
      </w:r>
      <w:r>
        <w:t xml:space="preserve">transfer required — the engine just allocates from the shared pool.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Efficiency:</w:t>
      </w:r>
      <w:r>
        <w:t xml:space="preserve"> </w:t>
      </w:r>
      <w:r>
        <w:t xml:space="preserve">quota is expensive to obtain from Microsoft (quota increase requests take time and</w:t>
      </w:r>
      <w:r>
        <w:t xml:space="preserve"> </w:t>
      </w:r>
      <w:r>
        <w:t xml:space="preserve">require justification). Pooling avoids the situation where one group is near-empty while another</w:t>
      </w:r>
      <w:r>
        <w:t xml:space="preserve"> </w:t>
      </w:r>
      <w:r>
        <w:t xml:space="preserve">has idle headroom.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Emergency DR draw:</w:t>
      </w:r>
      <w:r>
        <w:t xml:space="preserve"> </w:t>
      </w:r>
      <w:r>
        <w:t xml:space="preserve">during an active DR event, the DR orchestrator draws directly from</w:t>
      </w:r>
      <w:r>
        <w:t xml:space="preserve"> </w:t>
      </w:r>
      <w:r>
        <w:t xml:space="preserve">Pool_Headroom. No cross-group transfer; no Azure quota request needed for Tier 2 operations.</w:t>
      </w:r>
    </w:p>
    <w:p>
      <w:pPr>
        <w:pStyle w:val="FirstParagraph"/>
      </w:pPr>
      <w:r>
        <w:t xml:space="preserve">The two-group topology is retained as a narrow exception when Azure’s own Quota Group API limits</w:t>
      </w:r>
      <w:r>
        <w:t xml:space="preserve"> </w:t>
      </w:r>
      <w:r>
        <w:t xml:space="preserve">or a mandatory governance boundary make one pool impossible.</w:t>
      </w:r>
    </w:p>
    <w:bookmarkEnd w:id="43"/>
    <w:bookmarkStart w:id="44" w:name="the-pool-formula-translated"/>
    <w:p>
      <w:pPr>
        <w:pStyle w:val="Heading3"/>
      </w:pPr>
      <w:r>
        <w:t xml:space="preserve">4.3 The Pool Formula — Translated</w:t>
      </w:r>
    </w:p>
    <w:p>
      <w:pPr>
        <w:pStyle w:val="SourceCode"/>
      </w:pPr>
      <w:r>
        <w:rPr>
          <w:rStyle w:val="VerbatimChar"/>
        </w:rPr>
        <w:t xml:space="preserve">Pool_Limit(region) =</w:t>
      </w:r>
      <w:r>
        <w:br/>
      </w:r>
      <w:r>
        <w:rPr>
          <w:rStyle w:val="VerbatimChar"/>
        </w:rPr>
        <w:t xml:space="preserve">    Prod CRG quantity  × vCPU × 1.20   (Prod with 20% growth buffer)</w:t>
      </w:r>
      <w:r>
        <w:br/>
      </w:r>
      <w:r>
        <w:rPr>
          <w:rStyle w:val="VerbatimChar"/>
        </w:rPr>
        <w:t xml:space="preserve">  + NonProd CRG quantity × vCPU × 1.20 (NonProd with 20% growth buffer)</w:t>
      </w:r>
      <w:r>
        <w:br/>
      </w:r>
      <w:r>
        <w:rPr>
          <w:rStyle w:val="VerbatimChar"/>
        </w:rPr>
        <w:t xml:space="preserve">  + DR_Earmark_vCPU(region)             (space permanently reserved for DR standby)</w:t>
      </w:r>
      <w:r>
        <w:br/>
      </w:r>
      <w:r>
        <w:rPr>
          <w:rStyle w:val="VerbatimChar"/>
        </w:rPr>
        <w:t xml:space="preserve">  + emergency_transfer_headroom_vcpu    (30% of potential DR demand — Tier 2 buffer)</w:t>
      </w:r>
    </w:p>
    <w:p>
      <w:pPr>
        <w:pStyle w:val="FirstParagraph"/>
      </w:pPr>
      <w:r>
        <w:rPr>
          <w:bCs/>
          <w:b/>
        </w:rPr>
        <w:t xml:space="preserve">What this means in plain English:</w:t>
      </w:r>
      <w:r>
        <w:t xml:space="preserve"> </w:t>
      </w:r>
      <w:r>
        <w:t xml:space="preserve">the pool limit is sized to be big enough to hold everything at</w:t>
      </w:r>
      <w:r>
        <w:t xml:space="preserve"> </w:t>
      </w:r>
      <w:r>
        <w:t xml:space="preserve">full scale, including a growth allowance, a permanent DR reserve, and a buffer for emergency DR</w:t>
      </w:r>
      <w:r>
        <w:t xml:space="preserve"> </w:t>
      </w:r>
      <w:r>
        <w:t xml:space="preserve">capacity draws. When ACRME requests this quota from Microsoft, it is asking for the headroom to cover</w:t>
      </w:r>
      <w:r>
        <w:t xml:space="preserve"> </w:t>
      </w:r>
      <w:r>
        <w:t xml:space="preserve">all of these uses without coming back for more quota frequently.</w:t>
      </w:r>
    </w:p>
    <w:bookmarkEnd w:id="44"/>
    <w:bookmarkStart w:id="45" w:name="X0e0bc75d13a8fea529f06b9d2f7d5a5e4808171"/>
    <w:p>
      <w:pPr>
        <w:pStyle w:val="Heading3"/>
      </w:pPr>
      <w:r>
        <w:t xml:space="preserve">4.4 Logical Earmarks — Protecting Prod and DR Inside the Pool</w:t>
      </w:r>
    </w:p>
    <w:p>
      <w:pPr>
        <w:pStyle w:val="FirstParagraph"/>
      </w:pPr>
      <w:r>
        <w:t xml:space="preserve">Once the pool exists, the engine enforces two internal floors that NonProd can never consume:</w:t>
      </w:r>
    </w:p>
    <w:p>
      <w:pPr>
        <w:pStyle w:val="BodyText"/>
      </w:pPr>
      <w:r>
        <w:rPr>
          <w:bCs/>
          <w:b/>
        </w:rPr>
        <w:t xml:space="preserve">Prod_Reserved_Floor:</w:t>
      </w:r>
      <w:r>
        <w:t xml:space="preserve"> </w:t>
      </w:r>
      <w:r>
        <w:t xml:space="preserve">The minimum quota the Prod workloads need — their current vCPU usage plus</w:t>
      </w:r>
      <w:r>
        <w:t xml:space="preserve"> </w:t>
      </w:r>
      <w:r>
        <w:t xml:space="preserve">the growth buffer above it. NonProd allocation is blocked if it would eat below this floor.</w:t>
      </w:r>
    </w:p>
    <w:p>
      <w:pPr>
        <w:pStyle w:val="BodyText"/>
      </w:pPr>
      <w:r>
        <w:rPr>
          <w:bCs/>
          <w:b/>
        </w:rPr>
        <w:t xml:space="preserve">DR_Earmark_vCPU:</w:t>
      </w:r>
      <w:r>
        <w:t xml:space="preserve"> </w:t>
      </w:r>
      <w:r>
        <w:t xml:space="preserve">The quota reserved for DR standby. This is calculated using the max-not-sum</w:t>
      </w:r>
      <w:r>
        <w:t xml:space="preserve"> </w:t>
      </w:r>
      <w:r>
        <w:t xml:space="preserve">formula (see Domain 3 — Scenario 17): it is the capacity needed to absorb the</w:t>
      </w:r>
      <w:r>
        <w:t xml:space="preserve"> </w:t>
      </w:r>
      <w:r>
        <w:rPr>
          <w:iCs/>
          <w:i/>
        </w:rPr>
        <w:t xml:space="preserve">largest single source</w:t>
      </w:r>
      <w:r>
        <w:rPr>
          <w:iCs/>
          <w:i/>
        </w:rPr>
        <w:t xml:space="preserve"> </w:t>
      </w:r>
      <w:r>
        <w:rPr>
          <w:iCs/>
          <w:i/>
        </w:rPr>
        <w:t xml:space="preserve">region</w:t>
      </w:r>
      <w:r>
        <w:t xml:space="preserve"> </w:t>
      </w:r>
      <w:r>
        <w:t xml:space="preserve">that could fail and send its customers here, not the sum of all potential sources.</w:t>
      </w:r>
    </w:p>
    <w:p>
      <w:pPr>
        <w:pStyle w:val="BodyText"/>
      </w:pPr>
      <w:r>
        <w:rPr>
          <w:bCs/>
          <w:b/>
        </w:rPr>
        <w:t xml:space="preserve">Allocatable_NonProd</w:t>
      </w:r>
      <w:r>
        <w:t xml:space="preserve"> </w:t>
      </w:r>
      <w:r>
        <w:t xml:space="preserve">is what is left over after both earmarks:</w:t>
      </w:r>
    </w:p>
    <w:p>
      <w:pPr>
        <w:pStyle w:val="SourceCode"/>
      </w:pPr>
      <w:r>
        <w:rPr>
          <w:rStyle w:val="VerbatimChar"/>
        </w:rPr>
        <w:t xml:space="preserve">Allocatable_NonProd = Pool_Limit</w:t>
      </w:r>
      <w:r>
        <w:br/>
      </w:r>
      <w:r>
        <w:rPr>
          <w:rStyle w:val="VerbatimChar"/>
        </w:rPr>
        <w:t xml:space="preserve">                    − Prod_Reserved_Floor</w:t>
      </w:r>
      <w:r>
        <w:br/>
      </w:r>
      <w:r>
        <w:rPr>
          <w:rStyle w:val="VerbatimChar"/>
        </w:rPr>
        <w:t xml:space="preserve">                    − DR_Earmark_vCPU</w:t>
      </w:r>
      <w:r>
        <w:br/>
      </w:r>
      <w:r>
        <w:rPr>
          <w:rStyle w:val="VerbatimChar"/>
        </w:rPr>
        <w:t xml:space="preserve">                    − NonProd currently used</w:t>
      </w:r>
    </w:p>
    <w:p>
      <w:pPr>
        <w:pStyle w:val="FirstParagraph"/>
      </w:pPr>
      <w:r>
        <w:t xml:space="preserve">If this number hits zero, the engine blocks any further NonProd expansion in that region until</w:t>
      </w:r>
      <w:r>
        <w:t xml:space="preserve"> </w:t>
      </w:r>
      <w:r>
        <w:t xml:space="preserve">either the pool limit is raised or Prod/DR demand decreases.</w:t>
      </w:r>
    </w:p>
    <w:bookmarkEnd w:id="45"/>
    <w:bookmarkStart w:id="46" w:name="Xea245ea7264559044258d7abc5a2713c2f870f2"/>
    <w:p>
      <w:pPr>
        <w:pStyle w:val="Heading3"/>
      </w:pPr>
      <w:r>
        <w:t xml:space="preserve">4.5 The DR Floor — Why It Exists and How It Is Enforced</w:t>
      </w:r>
    </w:p>
    <w:p>
      <w:pPr>
        <w:pStyle w:val="FirstParagraph"/>
      </w:pPr>
      <w:r>
        <w:t xml:space="preserve">The DR floor (</w:t>
      </w:r>
      <w:r>
        <w:rPr>
          <w:rStyle w:val="VerbatimChar"/>
        </w:rPr>
        <w:t xml:space="preserve">DR_Earmark_vCPU</w:t>
      </w:r>
      <w:r>
        <w:t xml:space="preserve">) is a ring-fence: the engine promises that there will always be</w:t>
      </w:r>
      <w:r>
        <w:t xml:space="preserve"> </w:t>
      </w:r>
      <w:r>
        <w:t xml:space="preserve">enough quota to activate DR for the largest protected source region. Without it, NonProd growth could</w:t>
      </w:r>
      <w:r>
        <w:t xml:space="preserve"> </w:t>
      </w:r>
      <w:r>
        <w:t xml:space="preserve">quietly eat the DR quota until a real DR event arrives — at which point the DR activation fails.</w:t>
      </w:r>
    </w:p>
    <w:p>
      <w:pPr>
        <w:pStyle w:val="BodyText"/>
      </w:pPr>
      <w:r>
        <w:t xml:space="preserve">Azure itself does not natively enforce intra-pool sub-reservations. The engine enforces the DR floor</w:t>
      </w:r>
      <w:r>
        <w:t xml:space="preserve"> </w:t>
      </w:r>
      <w:r>
        <w:t xml:space="preserve">by arithmetic at command time (when NonProd expansion is requested) and by a separate detector that</w:t>
      </w:r>
      <w:r>
        <w:t xml:space="preserve"> </w:t>
      </w:r>
      <w:r>
        <w:t xml:space="preserve">continuously recomputes the floor from authoritative assignment data. If the detector disagrees with</w:t>
      </w:r>
      <w:r>
        <w:t xml:space="preserve"> </w:t>
      </w:r>
      <w:r>
        <w:t xml:space="preserve">the command-time calculation, automatic NonProd expansion is disabled until the state is reconciled.</w:t>
      </w:r>
    </w:p>
    <w:bookmarkEnd w:id="46"/>
    <w:bookmarkStart w:id="49" w:name="us-geography-walkthrough-quota-sizing"/>
    <w:p>
      <w:pPr>
        <w:pStyle w:val="Heading3"/>
      </w:pPr>
      <w:r>
        <w:t xml:space="preserve">4.6 US Geography Walkthrough — Quota Sizing</w:t>
      </w:r>
    </w:p>
    <w:p>
      <w:pPr>
        <w:pStyle w:val="FirstParagraph"/>
      </w:pPr>
      <w:r>
        <w:rPr>
          <w:bCs/>
          <w:b/>
        </w:rPr>
        <w:t xml:space="preserve">Context:</w:t>
      </w:r>
      <w:r>
        <w:t xml:space="preserve"> </w:t>
      </w:r>
      <w:r>
        <w:t xml:space="preserve">3× E16ads_v5 (48 vCPU) for Prod, 3× E8ads_v5 (24 vCPU) for NonProd, in US Geography</w:t>
      </w:r>
      <w:r>
        <w:t xml:space="preserve"> </w:t>
      </w:r>
      <w:r>
        <w:t xml:space="preserve">(3 Standard regions: West US 3, Central US, Canada Central). DR requirement sized by max-not-sum.</w:t>
      </w:r>
    </w:p>
    <w:p>
      <w:pPr>
        <w:pStyle w:val="BodyText"/>
      </w:pPr>
      <w:r>
        <w:rPr>
          <w:bCs/>
          <w:b/>
        </w:rPr>
        <w:t xml:space="preserve">Worked example for one region (West US 3):</w:t>
      </w:r>
    </w:p>
    <w:p>
      <w:pPr>
        <w:pStyle w:val="SourceCode"/>
      </w:pP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Prod CRG quantity     = 48 vCPU  (3× E16ads_v5 × 16 vCPU)</w:t>
      </w:r>
      <w:r>
        <w:br/>
      </w:r>
      <w:r>
        <w:rPr>
          <w:rStyle w:val="VerbatimChar"/>
        </w:rPr>
        <w:t xml:space="preserve">  NonProd CRG quantity  = 24 vCPU  (3× E8ads_v5  × 8 vCPU)</w:t>
      </w:r>
      <w:r>
        <w:br/>
      </w:r>
      <w:r>
        <w:rPr>
          <w:rStyle w:val="VerbatimChar"/>
        </w:rPr>
        <w:t xml:space="preserve">  DR_Earmark_vCPU       = 48 vCPU  (sized for the largest source — see Domain 3)</w:t>
      </w:r>
      <w:r>
        <w:br/>
      </w:r>
      <w:r>
        <w:rPr>
          <w:rStyle w:val="VerbatimChar"/>
        </w:rPr>
        <w:t xml:space="preserve">  emergency_transfer_headroom = 24 × 0.30 = 7.2 → ceil → 8 vCPU</w:t>
      </w:r>
      <w:r>
        <w:br/>
      </w:r>
      <w:r>
        <w:br/>
      </w:r>
      <w:r>
        <w:rPr>
          <w:rStyle w:val="VerbatimChar"/>
        </w:rPr>
        <w:t xml:space="preserve">Pool_Limit = (48 × 1.20) + (24 × 1.20) + 48 + 8</w:t>
      </w:r>
      <w:r>
        <w:br/>
      </w:r>
      <w:r>
        <w:rPr>
          <w:rStyle w:val="VerbatimChar"/>
        </w:rPr>
        <w:t xml:space="preserve">           = 57.6 + 28.8 + 48 + 8</w:t>
      </w:r>
      <w:r>
        <w:br/>
      </w:r>
      <w:r>
        <w:rPr>
          <w:rStyle w:val="VerbatimChar"/>
        </w:rPr>
        <w:t xml:space="preserve">           = 142.4 → request 143 vCPU from Microsoft</w:t>
      </w:r>
      <w:r>
        <w:br/>
      </w:r>
      <w:r>
        <w:br/>
      </w:r>
      <w:r>
        <w:rPr>
          <w:rStyle w:val="VerbatimChar"/>
        </w:rPr>
        <w:t xml:space="preserve">Prod_Reserved_Floor   = 48 + (48 × 0.20) = 57.6 vCPU</w:t>
      </w:r>
      <w:r>
        <w:br/>
      </w:r>
      <w:r>
        <w:rPr>
          <w:rStyle w:val="VerbatimChar"/>
        </w:rPr>
        <w:t xml:space="preserve">DR_Earmark_vCPU       = 48 vCPU</w:t>
      </w:r>
      <w:r>
        <w:br/>
      </w:r>
      <w:r>
        <w:rPr>
          <w:rStyle w:val="VerbatimChar"/>
        </w:rPr>
        <w:t xml:space="preserve">NonProd currently used = 24 vCPU (all in use)</w:t>
      </w:r>
      <w:r>
        <w:br/>
      </w:r>
      <w:r>
        <w:br/>
      </w:r>
      <w:r>
        <w:rPr>
          <w:rStyle w:val="VerbatimChar"/>
        </w:rPr>
        <w:t xml:space="preserve">Allocatable_NonProd = 143 − 57.6 − 48 − 24 = 13.4 vCPU remaining</w:t>
      </w:r>
    </w:p>
    <w:bookmarkStart w:id="47" w:name="X0ad64bafa3764e6e7ee8130973e890de77f50d4"/>
    <w:p>
      <w:pPr>
        <w:pStyle w:val="Heading4"/>
      </w:pPr>
      <w:r>
        <w:t xml:space="preserve">Happy Path — NonProd Expansion Request Within Allocatable Headroom</w:t>
      </w:r>
    </w:p>
    <w:p>
      <w:pPr>
        <w:pStyle w:val="FirstParagraph"/>
      </w:pPr>
      <w:r>
        <w:t xml:space="preserve">A team requests 1 additional E8ads_v5 (8 vCPU) for NonProd:</w:t>
      </w:r>
    </w:p>
    <w:p>
      <w:pPr>
        <w:pStyle w:val="SourceCode"/>
      </w:pPr>
      <w:r>
        <w:rPr>
          <w:rStyle w:val="VerbatimChar"/>
        </w:rPr>
        <w:t xml:space="preserve">HC-7 check: NonProd used + 8 = 24 + 8 = 32 &gt; Allocatable_NonProd ceiling?</w:t>
      </w:r>
      <w:r>
        <w:br/>
      </w:r>
      <w:r>
        <w:rPr>
          <w:rStyle w:val="VerbatimChar"/>
        </w:rPr>
        <w:t xml:space="preserve">  Allocatable_NonProd ceiling = Pool_Limit − Prod_Reserved_Floor − DR_Earmark_vCPU</w:t>
      </w:r>
      <w:r>
        <w:br/>
      </w:r>
      <w:r>
        <w:rPr>
          <w:rStyle w:val="VerbatimChar"/>
        </w:rPr>
        <w:t xml:space="preserve">                              = 143 − 57.6 − 48 = 37.4 vCPU</w:t>
      </w:r>
      <w:r>
        <w:br/>
      </w:r>
      <w:r>
        <w:rPr>
          <w:rStyle w:val="VerbatimChar"/>
        </w:rPr>
        <w:t xml:space="preserve">  32 ≤ 37.4 → PASS</w:t>
      </w:r>
      <w:r>
        <w:br/>
      </w:r>
      <w:r>
        <w:rPr>
          <w:rStyle w:val="VerbatimChar"/>
        </w:rPr>
        <w:t xml:space="preserve">NonProd expansion approved.</w:t>
      </w:r>
    </w:p>
    <w:bookmarkEnd w:id="47"/>
    <w:bookmarkStart w:id="48" w:name="X6680a8faaeb65dfc744c532dd167f2f946d3857"/>
    <w:p>
      <w:pPr>
        <w:pStyle w:val="Heading4"/>
      </w:pPr>
      <w:r>
        <w:t xml:space="preserve">Sad Path — NonProd Expansion Would Violate DR Floor</w:t>
      </w:r>
    </w:p>
    <w:p>
      <w:pPr>
        <w:pStyle w:val="FirstParagraph"/>
      </w:pPr>
      <w:r>
        <w:t xml:space="preserve">A team requests 4× E8ads_v5 (32 vCPU) for NonProd at once:</w:t>
      </w:r>
    </w:p>
    <w:p>
      <w:pPr>
        <w:pStyle w:val="SourceCode"/>
      </w:pPr>
      <w:r>
        <w:rPr>
          <w:rStyle w:val="VerbatimChar"/>
        </w:rPr>
        <w:t xml:space="preserve">HC-7 check: NonProd used + 32 = 24 + 32 = 56 &gt; effective NonProd ceiling of 37.4 vCPU</w:t>
      </w:r>
      <w:r>
        <w:br/>
      </w:r>
      <w:r>
        <w:rPr>
          <w:rStyle w:val="VerbatimChar"/>
        </w:rPr>
        <w:t xml:space="preserve">  → HC-7 FAIL</w:t>
      </w:r>
      <w:r>
        <w:br/>
      </w:r>
      <w:r>
        <w:rPr>
          <w:rStyle w:val="VerbatimChar"/>
        </w:rPr>
        <w:t xml:space="preserve">  → Emit: DRFloorViolationDetected (Critical severity)</w:t>
      </w:r>
      <w:r>
        <w:br/>
      </w:r>
      <w:r>
        <w:rPr>
          <w:rStyle w:val="VerbatimChar"/>
        </w:rPr>
        <w:t xml:space="preserve">  → Block expansion</w:t>
      </w:r>
      <w:r>
        <w:br/>
      </w:r>
      <w:r>
        <w:rPr>
          <w:rStyle w:val="VerbatimChar"/>
        </w:rPr>
        <w:t xml:space="preserve">  → Alert: "NonProd expansion denied — DR floor integrity violated"</w:t>
      </w:r>
    </w:p>
    <w:p>
      <w:pPr>
        <w:pStyle w:val="FirstParagraph"/>
      </w:pPr>
      <w:r>
        <w:t xml:space="preserve">The team must request a quota increase from Microsoft (raising Pool_Limit) before this deployment</w:t>
      </w:r>
      <w:r>
        <w:t xml:space="preserve"> </w:t>
      </w:r>
      <w:r>
        <w:t xml:space="preserve">can proceed.</w:t>
      </w:r>
    </w:p>
    <w:bookmarkEnd w:id="48"/>
    <w:bookmarkEnd w:id="49"/>
    <w:bookmarkStart w:id="50" w:name="X9df11f35ce13b0ae3bf170be7fe68a6fa4d7eaa"/>
    <w:p>
      <w:pPr>
        <w:pStyle w:val="Heading3"/>
      </w:pPr>
      <w:r>
        <w:t xml:space="preserve">4.7 EU Geography Walkthrough — Quota with Co-location</w:t>
      </w:r>
    </w:p>
    <w:p>
      <w:pPr>
        <w:pStyle w:val="FirstParagraph"/>
      </w:pPr>
      <w:r>
        <w:t xml:space="preserve">In EU, CVAL and DR co-locate in the second Standard region (say Sweden Central). The pool for Sweden</w:t>
      </w:r>
      <w:r>
        <w:t xml:space="preserve"> </w:t>
      </w:r>
      <w:r>
        <w:t xml:space="preserve">Central must cover both NonProd and DR earmarks:</w:t>
      </w:r>
    </w:p>
    <w:p>
      <w:pPr>
        <w:pStyle w:val="SourceCode"/>
      </w:pPr>
      <w:r>
        <w:rPr>
          <w:rStyle w:val="VerbatimChar"/>
        </w:rPr>
        <w:t xml:space="preserve">Prod region:        Switzerland North</w:t>
      </w:r>
      <w:r>
        <w:br/>
      </w:r>
      <w:r>
        <w:rPr>
          <w:rStyle w:val="VerbatimChar"/>
        </w:rPr>
        <w:t xml:space="preserve">CVAL + DR region:   Sweden Central</w:t>
      </w:r>
      <w:r>
        <w:br/>
      </w:r>
      <w:r>
        <w:br/>
      </w:r>
      <w:r>
        <w:rPr>
          <w:rStyle w:val="VerbatimChar"/>
        </w:rPr>
        <w:t xml:space="preserve">Sweden Central pool covers:</w:t>
      </w:r>
      <w:r>
        <w:br/>
      </w:r>
      <w:r>
        <w:rPr>
          <w:rStyle w:val="VerbatimChar"/>
        </w:rPr>
        <w:t xml:space="preserve">  NonProd CRG quantity  = 24 vCPU</w:t>
      </w:r>
      <w:r>
        <w:br/>
      </w:r>
      <w:r>
        <w:rPr>
          <w:rStyle w:val="VerbatimChar"/>
        </w:rPr>
        <w:t xml:space="preserve">  DR_Earmark_vCPU       = sized for DR requirement</w:t>
      </w:r>
      <w:r>
        <w:br/>
      </w:r>
      <w:r>
        <w:rPr>
          <w:rStyle w:val="VerbatimChar"/>
        </w:rPr>
        <w:t xml:space="preserve">  (Prod_Reserved_Floor applies only in Switzerland North)</w:t>
      </w:r>
      <w:r>
        <w:br/>
      </w:r>
      <w:r>
        <w:br/>
      </w:r>
      <w:r>
        <w:rPr>
          <w:rStyle w:val="VerbatimChar"/>
        </w:rPr>
        <w:t xml:space="preserve">CVALEarmarkRecord enforces: CVAL capacity used for DR activation is NOT</w:t>
      </w:r>
      <w:r>
        <w:br/>
      </w:r>
      <w:r>
        <w:rPr>
          <w:rStyle w:val="VerbatimChar"/>
        </w:rPr>
        <w:t xml:space="preserve">  simultaneously counted as Allocatable_NonProd headroom.</w:t>
      </w:r>
    </w:p>
    <w:p>
      <w:pPr>
        <w:pStyle w:val="FirstParagraph"/>
      </w:pPr>
      <w:r>
        <w:t xml:space="preserve">This prevents a double-count: CVAL VMs that are earmarked to be shut down and replaced by DR standby</w:t>
      </w:r>
      <w:r>
        <w:t xml:space="preserve"> </w:t>
      </w:r>
      <w:r>
        <w:t xml:space="preserve">cannot be claimed as</w:t>
      </w:r>
      <w:r>
        <w:t xml:space="preserve"> </w:t>
      </w:r>
      <w:r>
        <w:t xml:space="preserve">“</w:t>
      </w:r>
      <w:r>
        <w:t xml:space="preserve">available NonProd headroom</w:t>
      </w:r>
      <w:r>
        <w:t xml:space="preserve">”</w:t>
      </w:r>
      <w:r>
        <w:t xml:space="preserve"> </w:t>
      </w:r>
      <w:r>
        <w:t xml:space="preserve">while they are still running.</w:t>
      </w:r>
    </w:p>
    <w:bookmarkEnd w:id="50"/>
    <w:bookmarkStart w:id="51" w:name="Xfbd29b91ab42611f9d3f197bbac055758aaf1c5"/>
    <w:p>
      <w:pPr>
        <w:pStyle w:val="Heading3"/>
      </w:pPr>
      <w:r>
        <w:t xml:space="preserve">4.8 Quota Scoring (Scenario 10) — The β Component</w:t>
      </w:r>
    </w:p>
    <w:p>
      <w:pPr>
        <w:pStyle w:val="FirstParagraph"/>
      </w:pPr>
      <w:r>
        <w:t xml:space="preserve">The β component of the placement score (weight 0.20) reflects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quota position. It is</w:t>
      </w:r>
      <w:r>
        <w:t xml:space="preserve"> </w:t>
      </w:r>
      <w:r>
        <w:t xml:space="preserve">dispatched by environment type:</w:t>
      </w:r>
    </w:p>
    <w:p>
      <w:pPr>
        <w:pStyle w:val="SourceCode"/>
      </w:pPr>
      <w:r>
        <w:rPr>
          <w:rStyle w:val="VerbatimChar"/>
        </w:rPr>
        <w:t xml:space="preserve">Quota_Score_Prod(r)    = prod quota headroom ÷ prod quota limit</w:t>
      </w:r>
      <w:r>
        <w:br/>
      </w:r>
      <w:r>
        <w:rPr>
          <w:rStyle w:val="VerbatimChar"/>
        </w:rPr>
        <w:t xml:space="preserve">Quota_Score_NonProd(r) = NonProd headroom ÷ effective NonProd ceiling</w:t>
      </w:r>
      <w:r>
        <w:br/>
      </w:r>
      <w:r>
        <w:rPr>
          <w:rStyle w:val="VerbatimChar"/>
        </w:rPr>
        <w:t xml:space="preserve">Quota_Score_DR(r)      = DR headroom ÷ DR floor vCPU</w:t>
      </w:r>
    </w:p>
    <w:p>
      <w:pPr>
        <w:pStyle w:val="FirstParagraph"/>
      </w:pPr>
      <w:r>
        <w:rPr>
          <w:bCs/>
          <w:b/>
        </w:rPr>
        <w:t xml:space="preserve">Important nuance on DR:</w:t>
      </w:r>
      <w:r>
        <w:t xml:space="preserve"> </w:t>
      </w:r>
      <w:r>
        <w:t xml:space="preserve">a DR score of 1.0 means maximum expansion room (DR CRG is at zero —</w:t>
      </w:r>
      <w:r>
        <w:t xml:space="preserve"> </w:t>
      </w:r>
      <w:r>
        <w:t xml:space="preserve">nothing is reserved yet, so the ceiling has not been eaten). It does not mean</w:t>
      </w:r>
      <w:r>
        <w:t xml:space="preserve"> </w:t>
      </w:r>
      <w:r>
        <w:t xml:space="preserve">“</w:t>
      </w:r>
      <w:r>
        <w:t xml:space="preserve">quota is fully</w:t>
      </w:r>
      <w:r>
        <w:t xml:space="preserve"> </w:t>
      </w:r>
      <w:r>
        <w:t xml:space="preserve">consumed.</w:t>
      </w:r>
      <w:r>
        <w:t xml:space="preserve">”</w:t>
      </w:r>
      <w:r>
        <w:t xml:space="preserve"> </w:t>
      </w:r>
      <w:r>
        <w:t xml:space="preserve">A DR score of 0 means the DR earmark is fully used — the region cannot take more DR load.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2" w:name="domain-3-capacity-management"/>
    <w:p>
      <w:pPr>
        <w:pStyle w:val="Heading2"/>
      </w:pPr>
      <w:r>
        <w:t xml:space="preserve">5. Domain 3 — Capacity Management</w:t>
      </w:r>
    </w:p>
    <w:bookmarkStart w:id="53" w:name="concept-2"/>
    <w:p>
      <w:pPr>
        <w:pStyle w:val="Heading3"/>
      </w:pPr>
      <w:r>
        <w:t xml:space="preserve">5.1 Concept</w:t>
      </w:r>
    </w:p>
    <w:p>
      <w:pPr>
        <w:pStyle w:val="FirstParagraph"/>
      </w:pPr>
      <w:r>
        <w:t xml:space="preserve">Quota (Domain 2) answers whether the</w:t>
      </w:r>
      <w:r>
        <w:t xml:space="preserve"> </w:t>
      </w:r>
      <w:r>
        <w:rPr>
          <w:iCs/>
          <w:i/>
        </w:rPr>
        <w:t xml:space="preserve">subscription limit</w:t>
      </w:r>
      <w:r>
        <w:t xml:space="preserve"> </w:t>
      </w:r>
      <w:r>
        <w:t xml:space="preserve">allows a deployment. Capacity management</w:t>
      </w:r>
      <w:r>
        <w:t xml:space="preserve"> </w:t>
      </w:r>
      <w:r>
        <w:t xml:space="preserve">(Domain 3) answers whether</w:t>
      </w:r>
      <w:r>
        <w:t xml:space="preserve"> </w:t>
      </w:r>
      <w:r>
        <w:rPr>
          <w:iCs/>
          <w:i/>
        </w:rPr>
        <w:t xml:space="preserve">Azure has actually set aside physical hardware</w:t>
      </w:r>
      <w:r>
        <w:t xml:space="preserve"> </w:t>
      </w:r>
      <w:r>
        <w:t xml:space="preserve">for those VMs.</w:t>
      </w:r>
    </w:p>
    <w:p>
      <w:pPr>
        <w:pStyle w:val="BodyText"/>
      </w:pPr>
      <w:r>
        <w:t xml:space="preserve">This is managed through</w:t>
      </w:r>
      <w:r>
        <w:t xml:space="preserve"> </w:t>
      </w:r>
      <w:r>
        <w:rPr>
          <w:bCs/>
          <w:b/>
        </w:rPr>
        <w:t xml:space="preserve">Capacity Reservation Groups (CRGs)</w:t>
      </w:r>
      <w:r>
        <w:t xml:space="preserve">. A CRG tells Azure:</w:t>
      </w:r>
      <w:r>
        <w:t xml:space="preserve"> </w:t>
      </w:r>
      <w:r>
        <w:t xml:space="preserve">“</w:t>
      </w:r>
      <w:r>
        <w:t xml:space="preserve">I want you to</w:t>
      </w:r>
      <w:r>
        <w:t xml:space="preserve"> </w:t>
      </w:r>
      <w:r>
        <w:t xml:space="preserve">guarantee that a certain number of VMs of this SKU in this region/zone will always be available to</w:t>
      </w:r>
      <w:r>
        <w:t xml:space="preserve"> </w:t>
      </w:r>
      <w:r>
        <w:t xml:space="preserve">me.</w:t>
      </w:r>
      <w:r>
        <w:t xml:space="preserve">”</w:t>
      </w:r>
      <w:r>
        <w:t xml:space="preserve"> </w:t>
      </w:r>
      <w:r>
        <w:t xml:space="preserve">Azure marks that physical hardware as reserved; other customers cannot take it.</w:t>
      </w:r>
    </w:p>
    <w:p>
      <w:pPr>
        <w:pStyle w:val="BodyText"/>
      </w:pPr>
      <w:r>
        <w:t xml:space="preserve">ACRME’s capacity management job is to keep the CRG quantity correctly sized — not too high (wastes</w:t>
      </w:r>
      <w:r>
        <w:t xml:space="preserve"> </w:t>
      </w:r>
      <w:r>
        <w:t xml:space="preserve">money) and not too low (exposes customers to deployment failures).</w:t>
      </w:r>
    </w:p>
    <w:bookmarkEnd w:id="53"/>
    <w:bookmarkStart w:id="54" w:name="Xd8a6eaba8cf74e5480c26eb839155f91f833053"/>
    <w:p>
      <w:pPr>
        <w:pStyle w:val="Heading3"/>
      </w:pPr>
      <w:r>
        <w:t xml:space="preserve">5.2 The Reconciliation Floor — The Minimum the CRG Must Reserve</w:t>
      </w:r>
    </w:p>
    <w:p>
      <w:pPr>
        <w:pStyle w:val="FirstParagraph"/>
      </w:pPr>
      <w:r>
        <w:t xml:space="preserve">The most fundamental formula is:</w:t>
      </w:r>
    </w:p>
    <w:p>
      <w:pPr>
        <w:pStyle w:val="SourceCode"/>
      </w:pPr>
      <w:r>
        <w:rPr>
          <w:rStyle w:val="VerbatimChar"/>
        </w:rPr>
        <w:t xml:space="preserve">Target Reserved Capacity = Allocated VM Count + Configured Buffer</w:t>
      </w:r>
    </w:p>
    <w:p>
      <w:pPr>
        <w:pStyle w:val="FirstParagraph"/>
      </w:pPr>
      <w:r>
        <w:rPr>
          <w:bCs/>
          <w:b/>
        </w:rPr>
        <w:t xml:space="preserve">Allocated VM Count</w:t>
      </w:r>
      <w:r>
        <w:t xml:space="preserve"> </w:t>
      </w:r>
      <w:r>
        <w:t xml:space="preserve">is the number of VMs currently in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 </w:t>
      </w:r>
      <w:r>
        <w:t xml:space="preserve">state consuming</w:t>
      </w:r>
      <w:r>
        <w:t xml:space="preserve"> </w:t>
      </w:r>
      <w:r>
        <w:t xml:space="preserve">compute in this region/CRG.</w:t>
      </w:r>
    </w:p>
    <w:p>
      <w:pPr>
        <w:pStyle w:val="BodyText"/>
      </w:pPr>
      <w:r>
        <w:rPr>
          <w:bCs/>
          <w:b/>
        </w:rPr>
        <w:t xml:space="preserve">Configured Buffer</w:t>
      </w:r>
      <w:r>
        <w:t xml:space="preserve"> </w:t>
      </w:r>
      <w:r>
        <w:t xml:space="preserve">is the policy-defined headroom above current demand. It is tunable per</w:t>
      </w:r>
      <w:r>
        <w:t xml:space="preserve"> </w:t>
      </w:r>
      <w:r>
        <w:t xml:space="preserve">product/region/environment/SKU — there is no single hard-coded number.</w:t>
      </w:r>
    </w:p>
    <w:p>
      <w:pPr>
        <w:pStyle w:val="BodyText"/>
      </w:pPr>
      <w:r>
        <w:rPr>
          <w:bCs/>
          <w:b/>
        </w:rPr>
        <w:t xml:space="preserve">What this means in plain English:</w:t>
      </w:r>
      <w:r>
        <w:t xml:space="preserve"> </w:t>
      </w:r>
      <w:r>
        <w:t xml:space="preserve">at minimum, the CRG must reserve enough physical capacity to</w:t>
      </w:r>
      <w:r>
        <w:t xml:space="preserve"> </w:t>
      </w:r>
      <w:r>
        <w:t xml:space="preserve">cover every running VM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a buffer for expected near-term growth. The buffer is there because</w:t>
      </w:r>
      <w:r>
        <w:t xml:space="preserve"> </w:t>
      </w:r>
      <w:r>
        <w:t xml:space="preserve">acquiring new reservation capacity takes time — ACRME stays ahead of demand.</w:t>
      </w:r>
    </w:p>
    <w:p>
      <w:pPr>
        <w:pStyle w:val="BodyText"/>
      </w:pPr>
      <w:r>
        <w:rPr>
          <w:bCs/>
          <w:b/>
        </w:rPr>
        <w:t xml:space="preserve">Important clarification — deallocated VMs (CAP-004):</w:t>
      </w:r>
      <w:r>
        <w:t xml:space="preserve"> </w:t>
      </w:r>
      <w:r>
        <w:t xml:space="preserve">VMs that are associated with a CRG but</w:t>
      </w:r>
      <w:r>
        <w:t xml:space="preserve"> </w:t>
      </w:r>
      <w:r>
        <w:t xml:space="preserve">currently deallocated (stopped/not running)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force the CRG to keep a reservation for them.</w:t>
      </w:r>
      <w:r>
        <w:t xml:space="preserve"> </w:t>
      </w:r>
      <w:r>
        <w:t xml:space="preserve">They are reported separately so teams understand restart risk, but they do not add to the Target.</w:t>
      </w:r>
      <w:r>
        <w:t xml:space="preserve"> </w:t>
      </w:r>
      <w:r>
        <w:t xml:space="preserve">The risk of a failed restart is acknowledged — it is a cost vs. reservation trade-off.</w:t>
      </w:r>
    </w:p>
    <w:bookmarkEnd w:id="54"/>
    <w:bookmarkStart w:id="55" w:name="reservation-headroom-and-deficit"/>
    <w:p>
      <w:pPr>
        <w:pStyle w:val="Heading3"/>
      </w:pPr>
      <w:r>
        <w:t xml:space="preserve">5.3 Reservation Headroom and Deficit</w:t>
      </w:r>
    </w:p>
    <w:p>
      <w:pPr>
        <w:pStyle w:val="SourceCode"/>
      </w:pPr>
      <w:r>
        <w:rPr>
          <w:rStyle w:val="VerbatimChar"/>
        </w:rPr>
        <w:t xml:space="preserve">Reservation Headroom = Reserved Quantity − Allocated VM Count</w:t>
      </w:r>
      <w:r>
        <w:br/>
      </w:r>
      <w:r>
        <w:rPr>
          <w:rStyle w:val="VerbatimChar"/>
        </w:rPr>
        <w:t xml:space="preserve">Reservation Deficit  = max(0, Target Reserved Capacity − Reserved Quantity)</w:t>
      </w:r>
    </w:p>
    <w:p>
      <w:pPr>
        <w:pStyle w:val="FirstParagraph"/>
      </w:pPr>
      <w:r>
        <w:rPr>
          <w:bCs/>
          <w:b/>
        </w:rPr>
        <w:t xml:space="preserve">Headroom</w:t>
      </w:r>
      <w:r>
        <w:t xml:space="preserve"> </w:t>
      </w:r>
      <w:r>
        <w:t xml:space="preserve">tells the operator how much spare capacity is immediately available inside the existing</w:t>
      </w:r>
      <w:r>
        <w:t xml:space="preserve"> </w:t>
      </w:r>
      <w:r>
        <w:t xml:space="preserve">reservation.</w:t>
      </w:r>
      <w:r>
        <w:t xml:space="preserve"> </w:t>
      </w:r>
      <w:r>
        <w:rPr>
          <w:bCs/>
          <w:b/>
        </w:rPr>
        <w:t xml:space="preserve">Deficit</w:t>
      </w:r>
      <w:r>
        <w:t xml:space="preserve"> </w:t>
      </w:r>
      <w:r>
        <w:t xml:space="preserve">tells the operator how far short the reservation is of the minimum target.</w:t>
      </w:r>
      <w:r>
        <w:t xml:space="preserve"> </w:t>
      </w:r>
      <w:r>
        <w:t xml:space="preserve">A deficit of zero means the CRG is at or above the floor. A positive deficit means the CRG is</w:t>
      </w:r>
      <w:r>
        <w:t xml:space="preserve"> </w:t>
      </w:r>
      <w:r>
        <w:t xml:space="preserve">undersized and needs to grow.</w:t>
      </w:r>
    </w:p>
    <w:bookmarkEnd w:id="55"/>
    <w:bookmarkStart w:id="56" w:name="X69a3aabd2c0ff0fdc4760b0e75d826549b1b16a"/>
    <w:p>
      <w:pPr>
        <w:pStyle w:val="Heading3"/>
      </w:pPr>
      <w:r>
        <w:t xml:space="preserve">5.4 The Auto-Increase Trigger — When ACRME Raises a Capacity Request</w:t>
      </w:r>
    </w:p>
    <w:p>
      <w:pPr>
        <w:pStyle w:val="FirstParagraph"/>
      </w:pPr>
      <w:r>
        <w:t xml:space="preserve">ACRME does not wait for a deficit to appear before acting. It watches utilisation in real time and</w:t>
      </w:r>
      <w:r>
        <w:t xml:space="preserve"> </w:t>
      </w:r>
      <w:r>
        <w:t xml:space="preserve">triggers a capacity increase request when utilisation hits a threshold: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Utilisation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when 20% of reserved Prod capacity is consumed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when 20% of reserved NonProd capacity is consumed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when 35% of reserved DR capacity is consumed (DR bootstrap can run leaner)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Debounce cooldown:</w:t>
      </w:r>
      <w:r>
        <w:t xml:space="preserve"> </w:t>
      </w:r>
      <w:r>
        <w:t xml:space="preserve">after any trigger fires, the engine waits 30 minutes before it can fire again</w:t>
      </w:r>
      <w:r>
        <w:t xml:space="preserve"> </w:t>
      </w:r>
      <w:r>
        <w:t xml:space="preserve">for the same region + CRG type. This prevents repeated requests from a transient spike.</w:t>
      </w:r>
    </w:p>
    <w:p>
      <w:pPr>
        <w:pStyle w:val="BodyText"/>
      </w:pPr>
      <w:r>
        <w:rPr>
          <w:bCs/>
          <w:b/>
        </w:rPr>
        <w:t xml:space="preserve">Why the DR threshold is higher (35% vs 20%):</w:t>
      </w:r>
      <w:r>
        <w:t xml:space="preserve"> </w:t>
      </w:r>
      <w:r>
        <w:t xml:space="preserve">DR reservations are intentionally sized lean — the</w:t>
      </w:r>
      <w:r>
        <w:t xml:space="preserve"> </w:t>
      </w:r>
      <w:r>
        <w:t xml:space="preserve">min-bootstrap model means DR starts small and scales on demand. A higher threshold accepts more risk</w:t>
      </w:r>
      <w:r>
        <w:t xml:space="preserve"> </w:t>
      </w:r>
      <w:r>
        <w:t xml:space="preserve">in exchange for lower cost during steady state.</w:t>
      </w:r>
    </w:p>
    <w:bookmarkEnd w:id="56"/>
    <w:bookmarkStart w:id="57" w:name="the-forecast-formula-proactive-growth"/>
    <w:p>
      <w:pPr>
        <w:pStyle w:val="Heading3"/>
      </w:pPr>
      <w:r>
        <w:t xml:space="preserve">5.5 The Forecast Formula — Proactive Growth</w:t>
      </w:r>
    </w:p>
    <w:p>
      <w:pPr>
        <w:pStyle w:val="FirstParagraph"/>
      </w:pPr>
      <w:r>
        <w:t xml:space="preserve">Alongside the continuous reconciliation floor, ACRME uses an advisory forecast for longer-horizon</w:t>
      </w:r>
      <w:r>
        <w:t xml:space="preserve"> </w:t>
      </w:r>
      <w:r>
        <w:t xml:space="preserve">sizing:</w:t>
      </w:r>
    </w:p>
    <w:p>
      <w:pPr>
        <w:pStyle w:val="SourceCode"/>
      </w:pPr>
      <w:r>
        <w:rPr>
          <w:rStyle w:val="VerbatimChar"/>
        </w:rPr>
        <w:t xml:space="preserve">Forecast_Quantity = ceil( Forecast_Peak × (1 + Growth_Buffer) + DR_Buffer 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Forecast_Peak</w:t>
      </w:r>
      <w:r>
        <w:t xml:space="preserve"> </w:t>
      </w:r>
      <w:r>
        <w:t xml:space="preserve">is the predicted peak VM demand over the chosen horizon (30, 60, or 90 days).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Growth_Buffer</w:t>
      </w:r>
      <w:r>
        <w:t xml:space="preserve"> </w:t>
      </w:r>
      <w:r>
        <w:t xml:space="preserve">is a policy percentage for forecast uncertainty.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DR_Buffer</w:t>
      </w:r>
      <w:r>
        <w:t xml:space="preserve"> </w:t>
      </w:r>
      <w:r>
        <w:t xml:space="preserve">is the extra units required by DR recovery policy.</w:t>
      </w:r>
    </w:p>
    <w:p>
      <w:pPr>
        <w:pStyle w:val="FirstParagraph"/>
      </w:pPr>
      <w:r>
        <w:t xml:space="preserve">This is advisory — recommendations from the forecast are reviewed before acting. The horizon and</w:t>
      </w:r>
      <w:r>
        <w:t xml:space="preserve"> </w:t>
      </w:r>
      <w:r>
        <w:t xml:space="preserve">buffer values are stored in PlacementPolicy, not hard-coded.</w:t>
      </w:r>
    </w:p>
    <w:p>
      <w:pPr>
        <w:pStyle w:val="BodyText"/>
      </w:pPr>
      <w:r>
        <w:rPr>
          <w:bCs/>
          <w:b/>
        </w:rPr>
        <w:t xml:space="preserve">Lead-time alerting:</w:t>
      </w:r>
      <w:r>
        <w:t xml:space="preserve"> </w:t>
      </w:r>
      <w:r>
        <w:t xml:space="preserve">when forecast demand is projected to reach 80% of the quota limit within 14</w:t>
      </w:r>
      <w:r>
        <w:t xml:space="preserve"> </w:t>
      </w:r>
      <w:r>
        <w:t xml:space="preserve">days, the engine emits</w:t>
      </w:r>
      <w:r>
        <w:t xml:space="preserve"> </w:t>
      </w:r>
      <w:r>
        <w:rPr>
          <w:rStyle w:val="VerbatimChar"/>
        </w:rPr>
        <w:t xml:space="preserve">ForecastApproachingQuotaLimit</w:t>
      </w:r>
      <w:r>
        <w:t xml:space="preserve">. This gives the platform team 14 days to</w:t>
      </w:r>
      <w:r>
        <w:t xml:space="preserve"> </w:t>
      </w:r>
      <w:r>
        <w:t xml:space="preserve">request a quota increase from Microsoft before the deployment pipeline hits a wall.</w:t>
      </w:r>
    </w:p>
    <w:bookmarkEnd w:id="57"/>
    <w:bookmarkStart w:id="58" w:name="dr-sizing-why-max-not-sum-scenario-17"/>
    <w:p>
      <w:pPr>
        <w:pStyle w:val="Heading3"/>
      </w:pPr>
      <w:r>
        <w:t xml:space="preserve">5.6 DR Sizing — Why Max, Not Sum (Scenario 17)</w:t>
      </w:r>
    </w:p>
    <w:p>
      <w:pPr>
        <w:pStyle w:val="FirstParagraph"/>
      </w:pPr>
      <w:r>
        <w:t xml:space="preserve">This is the biggest cost-driver decision in ACRME. Before v2.1, DR standby was sized as a</w:t>
      </w:r>
      <w:r>
        <w:t xml:space="preserve"> </w:t>
      </w:r>
      <w:r>
        <w:rPr>
          <w:bCs/>
          <w:b/>
        </w:rPr>
        <w:t xml:space="preserve">percentage of production capacity</w:t>
      </w:r>
      <w:r>
        <w:t xml:space="preserve"> </w:t>
      </w:r>
      <w:r>
        <w:t xml:space="preserve">(30–40%). This was found to over-provision by $1.5M–$5M/year</w:t>
      </w:r>
      <w:r>
        <w:t xml:space="preserve"> </w:t>
      </w:r>
      <w:r>
        <w:t xml:space="preserve">at platform scale.</w:t>
      </w:r>
    </w:p>
    <w:p>
      <w:pPr>
        <w:pStyle w:val="BodyText"/>
      </w:pPr>
      <w:r>
        <w:t xml:space="preserve">The replacement formula is:</w:t>
      </w:r>
    </w:p>
    <w:p>
      <w:pPr>
        <w:pStyle w:val="SourceCode"/>
      </w:pPr>
      <w:r>
        <w:rPr>
          <w:rStyle w:val="VerbatimChar"/>
        </w:rPr>
        <w:t xml:space="preserve">Destination_DR_Requirement(destination_region) =</w:t>
      </w:r>
      <w:r>
        <w:br/>
      </w:r>
      <w:r>
        <w:rPr>
          <w:rStyle w:val="VerbatimChar"/>
        </w:rPr>
        <w:t xml:space="preserve">    MAX over all source regions that send DR customers to this destination (</w:t>
      </w:r>
      <w:r>
        <w:br/>
      </w:r>
      <w:r>
        <w:rPr>
          <w:rStyle w:val="VerbatimChar"/>
        </w:rPr>
        <w:t xml:space="preserve">        the quantity of VMs/vCPUs from that source that must failover here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Why MAX and not SUM?</w:t>
      </w:r>
      <w:r>
        <w:t xml:space="preserve"> </w:t>
      </w:r>
      <w:r>
        <w:t xml:space="preserve">The design assumes</w:t>
      </w:r>
      <w:r>
        <w:t xml:space="preserve"> </w:t>
      </w:r>
      <w:r>
        <w:rPr>
          <w:bCs/>
          <w:b/>
        </w:rPr>
        <w:t xml:space="preserve">only one production region fails at a time</w:t>
      </w:r>
      <w:r>
        <w:t xml:space="preserve"> </w:t>
      </w:r>
      <w:r>
        <w:t xml:space="preserve">(the</w:t>
      </w:r>
      <w:r>
        <w:t xml:space="preserve"> </w:t>
      </w:r>
      <w:r>
        <w:t xml:space="preserve">single-failure assumption, DR-001). Because failures are mutually exclusive, the destination never</w:t>
      </w:r>
      <w:r>
        <w:t xml:space="preserve"> </w:t>
      </w:r>
      <w:r>
        <w:t xml:space="preserve">needs to host simultaneous failovers from multiple sources. It only ever absorbs the</w:t>
      </w:r>
      <w:r>
        <w:t xml:space="preserve"> </w:t>
      </w:r>
      <w:r>
        <w:rPr>
          <w:iCs/>
          <w:i/>
        </w:rPr>
        <w:t xml:space="preserve">largest</w:t>
      </w:r>
      <w:r>
        <w:t xml:space="preserve"> </w:t>
      </w:r>
      <w:r>
        <w:t xml:space="preserve">one.</w:t>
      </w:r>
    </w:p>
    <w:p>
      <w:pPr>
        <w:pStyle w:val="BodyText"/>
      </w:pPr>
      <w:r>
        <w:rPr>
          <w:bCs/>
          <w:b/>
        </w:rPr>
        <w:t xml:space="preserve">Example from Requirements Appendix D:</w:t>
      </w:r>
    </w:p>
    <w:p>
      <w:pPr>
        <w:pStyle w:val="SourceCode"/>
      </w:pPr>
      <w:r>
        <w:rPr>
          <w:rStyle w:val="VerbatimChar"/>
        </w:rPr>
        <w:t xml:space="preserve">Sweden Central hosts DR standby for:</w:t>
      </w:r>
      <w:r>
        <w:br/>
      </w:r>
      <w:r>
        <w:rPr>
          <w:rStyle w:val="VerbatimChar"/>
        </w:rPr>
        <w:t xml:space="preserve">  → Switzerland North customers: 120 cores</w:t>
      </w:r>
      <w:r>
        <w:br/>
      </w:r>
      <w:r>
        <w:rPr>
          <w:rStyle w:val="VerbatimChar"/>
        </w:rPr>
        <w:t xml:space="preserve">  → (hypothetically) a third EU region: 80 cores</w:t>
      </w:r>
      <w:r>
        <w:br/>
      </w:r>
      <w:r>
        <w:br/>
      </w:r>
      <w:r>
        <w:rPr>
          <w:rStyle w:val="VerbatimChar"/>
        </w:rPr>
        <w:t xml:space="preserve">SUM sizing (old): 120 + 80 = 200 cores required</w:t>
      </w:r>
      <w:r>
        <w:br/>
      </w:r>
      <w:r>
        <w:rPr>
          <w:rStyle w:val="VerbatimChar"/>
        </w:rPr>
        <w:t xml:space="preserve">MAX sizing (new): max(120, 80) = 120 cores required</w:t>
      </w:r>
      <w:r>
        <w:br/>
      </w:r>
      <w:r>
        <w:rPr>
          <w:rStyle w:val="VerbatimChar"/>
        </w:rPr>
        <w:t xml:space="preserve">Saving: 80 cores (40%) removed with no loss of protection</w:t>
      </w:r>
    </w:p>
    <w:p>
      <w:pPr>
        <w:pStyle w:val="FirstParagraph"/>
      </w:pPr>
      <w:r>
        <w:t xml:space="preserve">If the single-failure assumption is ever violated (two regions fail simultaneously), the standby is</w:t>
      </w:r>
      <w:r>
        <w:t xml:space="preserve"> </w:t>
      </w:r>
      <w:r>
        <w:t xml:space="preserve">overcommitted. The Overcommit_Ratio quantifies this exposure and is required input for the POC-011</w:t>
      </w:r>
      <w:r>
        <w:t xml:space="preserve"> </w:t>
      </w:r>
      <w:r>
        <w:t xml:space="preserve">risk sign-off that gates production reliance on max-not-sum.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SUM override (C-11)</w:t>
      </w:r>
      <w:r>
        <w:t xml:space="preserve"> </w:t>
      </w:r>
      <w:r>
        <w:t xml:space="preserve">is available per-scope in PlacementPolicy for customers or geographies</w:t>
      </w:r>
      <w:r>
        <w:t xml:space="preserve"> </w:t>
      </w:r>
      <w:r>
        <w:t xml:space="preserve">that contractually require protection against concurrent regional failures.</w:t>
      </w:r>
    </w:p>
    <w:bookmarkEnd w:id="58"/>
    <w:bookmarkStart w:id="59" w:name="Xb58b311a3f565675b10537ca4ba80a866e4b7c9"/>
    <w:p>
      <w:pPr>
        <w:pStyle w:val="Heading3"/>
      </w:pPr>
      <w:r>
        <w:t xml:space="preserve">5.7 Happy Path — Steady-State Capacity Management</w:t>
      </w:r>
    </w:p>
    <w:p>
      <w:pPr>
        <w:pStyle w:val="FirstParagraph"/>
      </w:pPr>
      <w:r>
        <w:t xml:space="preserve">All conditions normal for West US 3, Prod CRG, E16ads_v5:</w:t>
      </w:r>
    </w:p>
    <w:p>
      <w:pPr>
        <w:pStyle w:val="SourceCode"/>
      </w:pPr>
      <w:r>
        <w:rPr>
          <w:rStyle w:val="VerbatimChar"/>
        </w:rPr>
        <w:t xml:space="preserve">Allocated VM Count     = 3  (the 3 production VMs are running)</w:t>
      </w:r>
      <w:r>
        <w:br/>
      </w:r>
      <w:r>
        <w:rPr>
          <w:rStyle w:val="VerbatimChar"/>
        </w:rPr>
        <w:t xml:space="preserve">Configured Buffer      = 2  (policy: always keep 2 extra slots ready)</w:t>
      </w:r>
      <w:r>
        <w:br/>
      </w:r>
      <w:r>
        <w:rPr>
          <w:rStyle w:val="VerbatimChar"/>
        </w:rPr>
        <w:t xml:space="preserve">Target Reserved        = 5</w:t>
      </w:r>
      <w:r>
        <w:br/>
      </w:r>
      <w:r>
        <w:br/>
      </w:r>
      <w:r>
        <w:rPr>
          <w:rStyle w:val="VerbatimChar"/>
        </w:rPr>
        <w:t xml:space="preserve">Reserved Quantity      = 5</w:t>
      </w:r>
      <w:r>
        <w:br/>
      </w:r>
      <w:r>
        <w:rPr>
          <w:rStyle w:val="VerbatimChar"/>
        </w:rPr>
        <w:t xml:space="preserve">Reservation Headroom   = 5 − 3 = 2</w:t>
      </w:r>
      <w:r>
        <w:br/>
      </w:r>
      <w:r>
        <w:rPr>
          <w:rStyle w:val="VerbatimChar"/>
        </w:rPr>
        <w:t xml:space="preserve">Reservation Deficit    = max(0, 5 − 5) = 0</w:t>
      </w:r>
      <w:r>
        <w:br/>
      </w:r>
      <w:r>
        <w:br/>
      </w:r>
      <w:r>
        <w:rPr>
          <w:rStyle w:val="VerbatimChar"/>
        </w:rPr>
        <w:t xml:space="preserve">Utilisation = 3 / 5 = 60%</w:t>
      </w:r>
      <w:r>
        <w:br/>
      </w:r>
      <w:r>
        <w:rPr>
          <w:rStyle w:val="VerbatimChar"/>
        </w:rPr>
        <w:t xml:space="preserve">20% threshold not breached (utilisation is above threshold in the wrong direction — this</w:t>
      </w:r>
      <w:r>
        <w:br/>
      </w:r>
      <w:r>
        <w:rPr>
          <w:rStyle w:val="VerbatimChar"/>
        </w:rPr>
        <w:t xml:space="preserve">  would actually be concerning, but the threshold fires when utilisation hits the threshold</w:t>
      </w:r>
      <w:r>
        <w:br/>
      </w:r>
      <w:r>
        <w:rPr>
          <w:rStyle w:val="VerbatimChar"/>
        </w:rPr>
        <w:t xml:space="preserve">  from below, meaning the CRG is filling up)</w:t>
      </w:r>
    </w:p>
    <w:p>
      <w:pPr>
        <w:pStyle w:val="FirstParagraph"/>
      </w:pPr>
      <w:r>
        <w:t xml:space="preserve">Wait — clarifying the threshold direction: the auto-increase trigger fires when utilisation of the</w:t>
      </w:r>
      <w:r>
        <w:t xml:space="preserve"> </w:t>
      </w:r>
      <w:r>
        <w:t xml:space="preserve">CRG</w:t>
      </w:r>
      <w:r>
        <w:t xml:space="preserve"> </w:t>
      </w:r>
      <w:r>
        <w:rPr>
          <w:bCs/>
          <w:b/>
        </w:rPr>
        <w:t xml:space="preserve">exceeds</w:t>
      </w:r>
      <w:r>
        <w:t xml:space="preserve"> </w:t>
      </w:r>
      <w:r>
        <w:t xml:space="preserve">the threshold, i.e., the CRG is getting full. At 60% utilisation on a Prod CRG</w:t>
      </w:r>
      <w:r>
        <w:t xml:space="preserve"> </w:t>
      </w:r>
      <w:r>
        <w:t xml:space="preserve">(threshold 20%), the CRG is already well above threshold — the engine would have already raised a</w:t>
      </w:r>
      <w:r>
        <w:t xml:space="preserve"> </w:t>
      </w:r>
      <w:r>
        <w:t xml:space="preserve">capacity increase request earlier, when utilisation first hit 20%.</w:t>
      </w:r>
    </w:p>
    <w:p>
      <w:pPr>
        <w:pStyle w:val="BodyText"/>
      </w:pPr>
      <w:r>
        <w:t xml:space="preserve">Revised happy path:</w:t>
      </w:r>
    </w:p>
    <w:p>
      <w:pPr>
        <w:pStyle w:val="SourceCode"/>
      </w:pPr>
      <w:r>
        <w:rPr>
          <w:rStyle w:val="VerbatimChar"/>
        </w:rPr>
        <w:t xml:space="preserve">Allocated VM Count     = 1 of 5 reserved slots used (20% utilisation)</w:t>
      </w:r>
      <w:r>
        <w:br/>
      </w:r>
      <w:r>
        <w:rPr>
          <w:rStyle w:val="VerbatimChar"/>
        </w:rPr>
        <w:t xml:space="preserve">Utilisation = 1 / 5 = 20%</w:t>
      </w:r>
      <w:r>
        <w:br/>
      </w:r>
      <w:r>
        <w:rPr>
          <w:rStyle w:val="VerbatimChar"/>
        </w:rPr>
        <w:t xml:space="preserve">Threshold   = 20%  → trigger fires → CapacityIncreaseRequest raised</w:t>
      </w:r>
    </w:p>
    <w:p>
      <w:pPr>
        <w:pStyle w:val="FirstParagraph"/>
      </w:pPr>
      <w:r>
        <w:t xml:space="preserve">The request is raised, debounce cooldown starts (30 min), operator approval obtained (Phase 1),</w:t>
      </w:r>
      <w:r>
        <w:t xml:space="preserve"> </w:t>
      </w:r>
      <w:r>
        <w:t xml:space="preserve">new CRG quantity updated.</w:t>
      </w:r>
    </w:p>
    <w:bookmarkEnd w:id="59"/>
    <w:bookmarkStart w:id="60" w:name="X44d29a550540cd2ab39dc2745913c1932cf37d7"/>
    <w:p>
      <w:pPr>
        <w:pStyle w:val="Heading3"/>
      </w:pPr>
      <w:r>
        <w:t xml:space="preserve">5.8 Sad Path — Azure Cannot Supply the Requested Capacity</w:t>
      </w:r>
    </w:p>
    <w:p>
      <w:pPr>
        <w:pStyle w:val="FirstParagraph"/>
      </w:pPr>
      <w:r>
        <w:t xml:space="preserve">After ACRME raises a capacity increase request and submits it to Azure, Azure responds that it</w:t>
      </w:r>
      <w:r>
        <w:t xml:space="preserve"> </w:t>
      </w:r>
      <w:r>
        <w:t xml:space="preserve">cannot supply the requested SKU/zone at this time:</w:t>
      </w:r>
    </w:p>
    <w:p>
      <w:pPr>
        <w:pStyle w:val="SourceCode"/>
      </w:pPr>
      <w:r>
        <w:rPr>
          <w:rStyle w:val="VerbatimChar"/>
        </w:rPr>
        <w:t xml:space="preserve">Azure response: CAPACITY_UNAVAILABLE for E16ads_v5 in West US 3, Zone 2</w:t>
      </w:r>
      <w:r>
        <w:br/>
      </w:r>
      <w:r>
        <w:rPr>
          <w:rStyle w:val="VerbatimChar"/>
        </w:rPr>
        <w:t xml:space="preserve">ACRME action:</w:t>
      </w:r>
      <w:r>
        <w:br/>
      </w:r>
      <w:r>
        <w:rPr>
          <w:rStyle w:val="VerbatimChar"/>
        </w:rPr>
        <w:t xml:space="preserve">  1. Hold current CRG quantity (do not reduce below current level).</w:t>
      </w:r>
      <w:r>
        <w:br/>
      </w:r>
      <w:r>
        <w:rPr>
          <w:rStyle w:val="VerbatimChar"/>
        </w:rPr>
        <w:t xml:space="preserve">  2. Raise alert: "Capacity unavailable — reservation increase failed for West US 3 / E16ads_v5 / Zone 2".</w:t>
      </w:r>
      <w:r>
        <w:br/>
      </w:r>
      <w:r>
        <w:rPr>
          <w:rStyle w:val="VerbatimChar"/>
        </w:rPr>
        <w:t xml:space="preserve">  3. Expose buffer deficit in the observability dashboard.</w:t>
      </w:r>
      <w:r>
        <w:br/>
      </w:r>
      <w:r>
        <w:rPr>
          <w:rStyle w:val="VerbatimChar"/>
        </w:rPr>
        <w:t xml:space="preserve">  4. Do NOT delete or reduce the reservation object (CAP-009/010).</w:t>
      </w:r>
      <w:r>
        <w:br/>
      </w:r>
      <w:r>
        <w:rPr>
          <w:rStyle w:val="VerbatimChar"/>
        </w:rPr>
        <w:t xml:space="preserve">  5. Retry according to the reconciliation cadence (target 6-minute cycle).</w:t>
      </w:r>
      <w:r>
        <w:br/>
      </w:r>
      <w:r>
        <w:rPr>
          <w:rStyle w:val="VerbatimChar"/>
        </w:rPr>
        <w:t xml:space="preserve">  6. Escalate to emergency transfer tiers if the deficit is critical and a DR event is active.</w:t>
      </w:r>
    </w:p>
    <w:p>
      <w:pPr>
        <w:pStyle w:val="FirstParagraph"/>
      </w:pPr>
      <w:r>
        <w:t xml:space="preserve">The deployment readiness gate (Scenario 19) returns</w:t>
      </w:r>
      <w:r>
        <w:t xml:space="preserve"> </w:t>
      </w:r>
      <w:r>
        <w:rPr>
          <w:rStyle w:val="VerbatimChar"/>
        </w:rPr>
        <w:t xml:space="preserve">CAPACITY_UNAVAILABLE</w:t>
      </w:r>
      <w:r>
        <w:t xml:space="preserve"> </w:t>
      </w:r>
      <w:r>
        <w:t xml:space="preserve">for any new deployment</w:t>
      </w:r>
      <w:r>
        <w:t xml:space="preserve"> </w:t>
      </w:r>
      <w:r>
        <w:t xml:space="preserve">request that depends on this CRG until the situation resolves.</w:t>
      </w:r>
    </w:p>
    <w:bookmarkEnd w:id="60"/>
    <w:bookmarkStart w:id="61" w:name="standby-activation-during-dr-scenario-18"/>
    <w:p>
      <w:pPr>
        <w:pStyle w:val="Heading3"/>
      </w:pPr>
      <w:r>
        <w:t xml:space="preserve">5.9 Standby Activation During DR (Scenario 18)</w:t>
      </w:r>
    </w:p>
    <w:p>
      <w:pPr>
        <w:pStyle w:val="FirstParagraph"/>
      </w:pPr>
      <w:r>
        <w:t xml:space="preserve">When a DR event is declared and the engine enters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Standby VMs (currently</w:t>
      </w:r>
      <w:r>
        <w:t xml:space="preserve"> </w:t>
      </w:r>
      <w:r>
        <w:rPr>
          <w:rStyle w:val="VerbatimChar"/>
        </w:rPr>
        <w:t xml:space="preserve">associated</w:t>
      </w:r>
      <w:r>
        <w:t xml:space="preserve"> </w:t>
      </w:r>
      <w:r>
        <w:t xml:space="preserve">with the destination CRG but not running) transition to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 </w:t>
      </w:r>
      <w:r>
        <w:t xml:space="preserve">(active, consuming capacity).</w:t>
      </w:r>
    </w:p>
    <w:p>
      <w:pPr>
        <w:numPr>
          <w:ilvl w:val="0"/>
          <w:numId w:val="1006"/>
        </w:numPr>
        <w:pStyle w:val="Compact"/>
      </w:pPr>
      <w:r>
        <w:t xml:space="preserve">This happens in</w:t>
      </w:r>
      <w:r>
        <w:t xml:space="preserve"> </w:t>
      </w:r>
      <w:r>
        <w:rPr>
          <w:bCs/>
          <w:b/>
        </w:rPr>
        <w:t xml:space="preserve">priority waves</w:t>
      </w:r>
      <w:r>
        <w:t xml:space="preserve">: Wave 0 (platform control planes first), then Wave 1</w:t>
      </w:r>
      <w:r>
        <w:t xml:space="preserve"> </w:t>
      </w:r>
      <w:r>
        <w:t xml:space="preserve">(highest-priority customers), then subsequent waves in business-priority order.</w:t>
      </w:r>
    </w:p>
    <w:p>
      <w:pPr>
        <w:numPr>
          <w:ilvl w:val="0"/>
          <w:numId w:val="1006"/>
        </w:numPr>
        <w:pStyle w:val="Compact"/>
      </w:pPr>
      <w:r>
        <w:t xml:space="preserve">Each wave goes through up to 7 stages of capacity acquisition:</w:t>
      </w:r>
    </w:p>
    <w:p>
      <w:pPr>
        <w:numPr>
          <w:ilvl w:val="1"/>
          <w:numId w:val="1007"/>
        </w:numPr>
        <w:pStyle w:val="Compact"/>
      </w:pPr>
      <w:r>
        <w:t xml:space="preserve">Stages 1–2: use pre-staged bootstrap headroom and existing reservation — zero Azure wait time.</w:t>
      </w:r>
    </w:p>
    <w:p>
      <w:pPr>
        <w:numPr>
          <w:ilvl w:val="1"/>
          <w:numId w:val="1007"/>
        </w:numPr>
        <w:pStyle w:val="Compact"/>
      </w:pPr>
      <w:r>
        <w:t xml:space="preserve">Stage 3: shut down eligible CVAL workloads (after authorisation) to free their slots.</w:t>
      </w:r>
    </w:p>
    <w:p>
      <w:pPr>
        <w:numPr>
          <w:ilvl w:val="1"/>
          <w:numId w:val="1007"/>
        </w:numPr>
        <w:pStyle w:val="Compact"/>
      </w:pPr>
      <w:r>
        <w:t xml:space="preserve">Stages 4–6: share reservations, draw pooled quota, request additional Azure capacity.</w:t>
      </w:r>
    </w:p>
    <w:p>
      <w:pPr>
        <w:numPr>
          <w:ilvl w:val="1"/>
          <w:numId w:val="1007"/>
        </w:numPr>
        <w:pStyle w:val="Compact"/>
      </w:pPr>
      <w:r>
        <w:t xml:space="preserve">Stage 7: report unrecoverable gaps.</w:t>
      </w:r>
    </w:p>
    <w:p>
      <w:pPr>
        <w:pStyle w:val="FirstParagraph"/>
      </w:pPr>
      <w:r>
        <w:t xml:space="preserve">The design ensures P0/P-1 customers begin recovery without waiting on Azure deallocation APIs —</w:t>
      </w:r>
      <w:r>
        <w:t xml:space="preserve"> </w:t>
      </w:r>
      <w:r>
        <w:t xml:space="preserve">which are throttled during regional failure events.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scoring-weight-invariant"/>
    <w:p>
      <w:pPr>
        <w:pStyle w:val="Heading2"/>
      </w:pPr>
      <w:r>
        <w:t xml:space="preserve">6. Scoring Weight Invariant</w:t>
      </w:r>
    </w:p>
    <w:bookmarkStart w:id="63" w:name="the-rule"/>
    <w:p>
      <w:pPr>
        <w:pStyle w:val="Heading3"/>
      </w:pPr>
      <w:r>
        <w:t xml:space="preserve">6.1 The Rule</w:t>
      </w:r>
    </w:p>
    <w:p>
      <w:pPr>
        <w:pStyle w:val="FirstParagraph"/>
      </w:pPr>
      <w:r>
        <w:rPr>
          <w:bCs/>
          <w:b/>
        </w:rPr>
        <w:t xml:space="preserve">The five placement scoring weights must always sum to exactly 1.0:</w:t>
      </w:r>
    </w:p>
    <w:p>
      <w:pPr>
        <w:pStyle w:val="SourceCode"/>
      </w:pPr>
      <w:r>
        <w:rPr>
          <w:rStyle w:val="VerbatimChar"/>
        </w:rPr>
        <w:t xml:space="preserve">α + β + γ + δ + ε = 1.0</w:t>
      </w:r>
      <w:r>
        <w:br/>
      </w:r>
      <w:r>
        <w:rPr>
          <w:rStyle w:val="VerbatimChar"/>
        </w:rPr>
        <w:t xml:space="preserve">0.30 + 0.20 + 0.25 + 0.15 + 0.10 = 1.00 ✓</w:t>
      </w:r>
    </w:p>
    <w:p>
      <w:pPr>
        <w:pStyle w:val="FirstParagraph"/>
      </w:pPr>
      <w:r>
        <w:t xml:space="preserve">This is not a convention. It is a mathematical requirement for the scores to be meaningful.</w:t>
      </w:r>
    </w:p>
    <w:bookmarkEnd w:id="63"/>
    <w:bookmarkStart w:id="64" w:name="why-1.0-is-required"/>
    <w:p>
      <w:pPr>
        <w:pStyle w:val="Heading3"/>
      </w:pPr>
      <w:r>
        <w:t xml:space="preserve">6.2 Why 1.0 Is Required</w:t>
      </w:r>
    </w:p>
    <w:p>
      <w:pPr>
        <w:pStyle w:val="FirstParagraph"/>
      </w:pPr>
      <w:r>
        <w:t xml:space="preserve">Every component is clamped to [0, 1]. When weights sum to exactly 1.0: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best possible region</w:t>
      </w:r>
      <w:r>
        <w:t xml:space="preserve"> </w:t>
      </w:r>
      <w:r>
        <w:t xml:space="preserve">(all components = 1.0) scores exactly</w:t>
      </w:r>
      <w:r>
        <w:t xml:space="preserve"> </w:t>
      </w:r>
      <w:r>
        <w:rPr>
          <w:bCs/>
          <w:b/>
        </w:rPr>
        <w:t xml:space="preserve">1.0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worst possible region</w:t>
      </w:r>
      <w:r>
        <w:t xml:space="preserve"> </w:t>
      </w:r>
      <w:r>
        <w:t xml:space="preserve">(all components = 0.0) scores exactly</w:t>
      </w:r>
      <w:r>
        <w:t xml:space="preserve"> </w:t>
      </w:r>
      <w:r>
        <w:rPr>
          <w:bCs/>
          <w:b/>
        </w:rPr>
        <w:t xml:space="preserve">0.0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Every real region scores</w:t>
      </w:r>
      <w:r>
        <w:t xml:space="preserve"> </w:t>
      </w:r>
      <w:r>
        <w:rPr>
          <w:bCs/>
          <w:b/>
        </w:rPr>
        <w:t xml:space="preserve">somewhere between 0 and 1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Scores from different regions are</w:t>
      </w:r>
      <w:r>
        <w:t xml:space="preserve"> </w:t>
      </w:r>
      <w:r>
        <w:rPr>
          <w:bCs/>
          <w:b/>
        </w:rPr>
        <w:t xml:space="preserve">directly comparable</w:t>
      </w:r>
      <w:r>
        <w:t xml:space="preserve">: 0.75 is always better than 0.60, in</w:t>
      </w:r>
      <w:r>
        <w:t xml:space="preserve"> </w:t>
      </w:r>
      <w:r>
        <w:t xml:space="preserve">every run, under every policy version.</w:t>
      </w:r>
    </w:p>
    <w:bookmarkEnd w:id="64"/>
    <w:bookmarkStart w:id="65" w:name="X4e64c371e360098977ce2c86b94bd959b08a421"/>
    <w:p>
      <w:pPr>
        <w:pStyle w:val="Heading3"/>
      </w:pPr>
      <w:r>
        <w:t xml:space="preserve">6.3 What Breaks When the Weights Don’t Sum to 1.0</w:t>
      </w:r>
    </w:p>
    <w:p>
      <w:pPr>
        <w:pStyle w:val="FirstParagraph"/>
      </w:pPr>
      <w:r>
        <w:rPr>
          <w:bCs/>
          <w:b/>
        </w:rPr>
        <w:t xml:space="preserve">If weights sum to more than 1.0 (e.g., 1.10):</w:t>
      </w:r>
    </w:p>
    <w:p>
      <w:pPr>
        <w:pStyle w:val="BodyText"/>
      </w:pPr>
      <w:r>
        <w:t xml:space="preserve">The best possible score inflates above 1.0. A region with all perfect components scores 1.10 instead</w:t>
      </w:r>
      <w:r>
        <w:t xml:space="preserve"> </w:t>
      </w:r>
      <w:r>
        <w:t xml:space="preserve">of 1.0. Any downstream threshold calibrated against a [0, 1] range — for example,</w:t>
      </w:r>
      <w:r>
        <w:t xml:space="preserve"> </w:t>
      </w:r>
      <w:r>
        <w:t xml:space="preserve">“</w:t>
      </w:r>
      <w:r>
        <w:t xml:space="preserve">do not place in</w:t>
      </w:r>
      <w:r>
        <w:t xml:space="preserve"> </w:t>
      </w:r>
      <w:r>
        <w:t xml:space="preserve">any region scoring below 0.60</w:t>
      </w:r>
      <w:r>
        <w:t xml:space="preserve">”</w:t>
      </w:r>
      <w:r>
        <w:t xml:space="preserve"> </w:t>
      </w:r>
      <w:r>
        <w:t xml:space="preserve">— is now calibrated incorrectly. A mediocre region may clear the</w:t>
      </w:r>
      <w:r>
        <w:t xml:space="preserve"> </w:t>
      </w:r>
      <w:r>
        <w:t xml:space="preserve">threshold simply because scores are inflated.</w:t>
      </w:r>
    </w:p>
    <w:p>
      <w:pPr>
        <w:pStyle w:val="BodyText"/>
      </w:pPr>
      <w:r>
        <w:rPr>
          <w:bCs/>
          <w:b/>
        </w:rPr>
        <w:t xml:space="preserve">If weights sum to less than 1.0 (e.g., 0.90):</w:t>
      </w:r>
    </w:p>
    <w:p>
      <w:pPr>
        <w:pStyle w:val="BodyText"/>
      </w:pPr>
      <w:r>
        <w:t xml:space="preserve">All scores are uniformly compressed into [0, 0.90]. A region with all perfect components scores 0.90</w:t>
      </w:r>
      <w:r>
        <w:t xml:space="preserve"> </w:t>
      </w:r>
      <w:r>
        <w:t xml:space="preserve">instead of 1.0. A region that should score 0.67 now scores 0.60. Threshold gates calibrated against</w:t>
      </w:r>
      <w:r>
        <w:t xml:space="preserve"> </w:t>
      </w:r>
      <w:r>
        <w:t xml:space="preserve">[0, 1] now behave incorrectly in the other direction — some deployments are incorrectly blocked.</w:t>
      </w:r>
    </w:p>
    <w:p>
      <w:pPr>
        <w:pStyle w:val="BodyText"/>
      </w:pPr>
      <w:r>
        <w:t xml:space="preserve">Cross-policy comparisons also break: if one version had weights summing to 1.0 and the next has them</w:t>
      </w:r>
      <w:r>
        <w:t xml:space="preserve"> </w:t>
      </w:r>
      <w:r>
        <w:t xml:space="preserve">summing to 0.90, a score of 0.65 means something different under each version. Historical score</w:t>
      </w:r>
      <w:r>
        <w:t xml:space="preserve"> </w:t>
      </w:r>
      <w:r>
        <w:t xml:space="preserve">trend data becomes uninterpretable.</w:t>
      </w:r>
    </w:p>
    <w:bookmarkEnd w:id="65"/>
    <w:bookmarkStart w:id="66" w:name="tuning-the-weights-the-pie-rule"/>
    <w:p>
      <w:pPr>
        <w:pStyle w:val="Heading3"/>
      </w:pPr>
      <w:r>
        <w:t xml:space="preserve">6.4 Tuning the Weights — The Pie Rule</w:t>
      </w:r>
    </w:p>
    <w:p>
      <w:pPr>
        <w:pStyle w:val="FirstParagraph"/>
      </w:pPr>
      <w:r>
        <w:t xml:space="preserve">Think of the five weights as slices of a pie. The total pie is always exactly 100%. If one slice</w:t>
      </w:r>
      <w:r>
        <w:t xml:space="preserve"> </w:t>
      </w:r>
      <w:r>
        <w:t xml:space="preserve">grows, the others must shrink by the same total amount.</w:t>
      </w:r>
    </w:p>
    <w:p>
      <w:pPr>
        <w:pStyle w:val="BodyText"/>
      </w:pPr>
      <w:r>
        <w:rPr>
          <w:bCs/>
          <w:b/>
        </w:rPr>
        <w:t xml:space="preserve">Example — increasing headroom importance:</w:t>
      </w:r>
    </w:p>
    <w:p>
      <w:pPr>
        <w:pStyle w:val="SourceCode"/>
      </w:pPr>
      <w:r>
        <w:rPr>
          <w:rStyle w:val="VerbatimChar"/>
        </w:rPr>
        <w:t xml:space="preserve">Before: α=0.30, β=0.20, γ=0.25, δ=0.15, ε=0.10  → sum = 1.00 ✓</w:t>
      </w:r>
      <w:r>
        <w:br/>
      </w:r>
      <w:r>
        <w:rPr>
          <w:rStyle w:val="VerbatimChar"/>
        </w:rPr>
        <w:t xml:space="preserve">After:  α=0.40, β=0.15, γ=0.25, δ=0.10, ε=0.10  → sum = 1.00 ✓ (took 0.05 from β, 0.05 from δ)</w:t>
      </w:r>
      <w:r>
        <w:br/>
      </w:r>
      <w:r>
        <w:rPr>
          <w:rStyle w:val="VerbatimChar"/>
        </w:rPr>
        <w:t xml:space="preserve">Wrong:  α=0.40, β=0.20, γ=0.25, δ=0.15, ε=0.10  → sum = 1.10 ✗ (forgot to reduce)</w:t>
      </w:r>
    </w:p>
    <w:bookmarkEnd w:id="66"/>
    <w:bookmarkStart w:id="67" w:name="X3da3bddaac74590e2583a245330c6c3bc498c02"/>
    <w:p>
      <w:pPr>
        <w:pStyle w:val="Heading3"/>
      </w:pPr>
      <w:r>
        <w:t xml:space="preserve">6.5 Validation Requirement — The Policy Load Gate</w:t>
      </w:r>
    </w:p>
    <w:p>
      <w:pPr>
        <w:pStyle w:val="FirstParagraph"/>
      </w:pPr>
      <w:r>
        <w:t xml:space="preserve">The Config/Scope-File Service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validate the weight sum every time a new PlacementPolicy</w:t>
      </w:r>
      <w:r>
        <w:t xml:space="preserve"> </w:t>
      </w:r>
      <w:r>
        <w:t xml:space="preserve">version is loaded. This validation must occur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policy version is published to the</w:t>
      </w:r>
      <w:r>
        <w:t xml:space="preserve"> </w:t>
      </w:r>
      <w:r>
        <w:t xml:space="preserve">placement engine. A policy that fails this check must be rejected with a recorded configuration</w:t>
      </w:r>
      <w:r>
        <w:t xml:space="preserve"> </w:t>
      </w:r>
      <w:r>
        <w:t xml:space="preserve">error; the placement engine must never receive a policy with an invalid weight sum.</w:t>
      </w:r>
    </w:p>
    <w:p>
      <w:pPr>
        <w:pStyle w:val="BodyText"/>
      </w:pPr>
      <w:r>
        <w:t xml:space="preserve">See Section 6 of the Calculation Logic Reference and Section 8.2 of the Technical Design Document for the</w:t>
      </w:r>
      <w:r>
        <w:t xml:space="preserve"> </w:t>
      </w:r>
      <w:r>
        <w:t xml:space="preserve">formal validation rule specification.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how-the-three-domains-connect"/>
    <w:p>
      <w:pPr>
        <w:pStyle w:val="Heading2"/>
      </w:pPr>
      <w:r>
        <w:t xml:space="preserve">7. How the Three Domains Connect</w:t>
      </w:r>
    </w:p>
    <w:p>
      <w:pPr>
        <w:pStyle w:val="FirstParagraph"/>
      </w:pPr>
      <w:r>
        <w:t xml:space="preserve">The three domains are not independent. They feed into each other:</w:t>
      </w:r>
    </w:p>
    <w:p>
      <w:pPr>
        <w:pStyle w:val="SourceCode"/>
      </w:pPr>
      <w:r>
        <w:rPr>
          <w:rStyle w:val="VerbatimChar"/>
        </w:rPr>
        <w:t xml:space="preserve">Region Selection → Quota Management → Capacity Management</w:t>
      </w:r>
      <w:r>
        <w:br/>
      </w:r>
      <w:r>
        <w:rPr>
          <w:rStyle w:val="VerbatimChar"/>
        </w:rPr>
        <w:t xml:space="preserve">       ↑                  ↑                    ↑</w:t>
      </w:r>
      <w:r>
        <w:br/>
      </w:r>
      <w:r>
        <w:rPr>
          <w:rStyle w:val="VerbatimChar"/>
        </w:rPr>
        <w:t xml:space="preserve">  Uses quota scores   Uses CRG quantities   Uses placement output</w:t>
      </w:r>
      <w:r>
        <w:br/>
      </w:r>
      <w:r>
        <w:rPr>
          <w:rStyle w:val="VerbatimChar"/>
        </w:rPr>
        <w:t xml:space="preserve">  as β component      to size pool limit    to set CRG targets</w:t>
      </w:r>
    </w:p>
    <w:p>
      <w:pPr>
        <w:pStyle w:val="FirstParagraph"/>
      </w:pPr>
      <w:r>
        <w:rPr>
          <w:bCs/>
          <w:b/>
        </w:rPr>
        <w:t xml:space="preserve">Flow for a new customer deployment: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Region Selection</w:t>
      </w:r>
      <w:r>
        <w:t xml:space="preserve"> </w:t>
      </w:r>
      <w:r>
        <w:t xml:space="preserve">scores all candidate regions and picks the best Prod anchor. The quota</w:t>
      </w:r>
      <w:r>
        <w:t xml:space="preserve"> </w:t>
      </w:r>
      <w:r>
        <w:t xml:space="preserve">score (β component) uses current quota headroom from Domain 2. The capacity/headroom score</w:t>
      </w:r>
      <w:r>
        <w:t xml:space="preserve"> </w:t>
      </w:r>
      <w:r>
        <w:t xml:space="preserve">(α component) uses current CRG free slots from Domain 3.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Quota Management</w:t>
      </w:r>
      <w:r>
        <w:t xml:space="preserve"> </w:t>
      </w:r>
      <w:r>
        <w:t xml:space="preserve">checks that the subscription in the selected region has enough quota limit</w:t>
      </w:r>
      <w:r>
        <w:t xml:space="preserve"> </w:t>
      </w:r>
      <w:r>
        <w:t xml:space="preserve">to accept the new deployment (Scenario 19, gate 7). If not, the deployment is blocked with</w:t>
      </w:r>
      <w:r>
        <w:t xml:space="preserve"> </w:t>
      </w:r>
      <w:r>
        <w:rPr>
          <w:rStyle w:val="VerbatimChar"/>
        </w:rPr>
        <w:t xml:space="preserve">QUOTA_DEFICIT</w:t>
      </w:r>
      <w:r>
        <w:t xml:space="preserve"> </w:t>
      </w:r>
      <w:r>
        <w:t xml:space="preserve">until a quota increase request to Microsoft is approved.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Capacity Management</w:t>
      </w:r>
      <w:r>
        <w:t xml:space="preserve"> </w:t>
      </w:r>
      <w:r>
        <w:t xml:space="preserve">checks that a Capacity Reservation exists and has enough quantity for</w:t>
      </w:r>
      <w:r>
        <w:t xml:space="preserve"> </w:t>
      </w:r>
      <w:r>
        <w:t xml:space="preserve">the deployment (Scenario 19, gate 6). If not, the deployment is blocked with</w:t>
      </w:r>
      <w:r>
        <w:t xml:space="preserve"> </w:t>
      </w:r>
      <w:r>
        <w:rPr>
          <w:rStyle w:val="VerbatimChar"/>
        </w:rPr>
        <w:t xml:space="preserve">RESERVATION_DEFICIT</w:t>
      </w:r>
      <w:r>
        <w:t xml:space="preserve"> </w:t>
      </w:r>
      <w:r>
        <w:t xml:space="preserve">until the CRG is expanded.</w:t>
      </w:r>
    </w:p>
    <w:p>
      <w:pPr>
        <w:pStyle w:val="FirstParagraph"/>
      </w:pPr>
      <w:r>
        <w:t xml:space="preserve">Only when all three domains return green does the readiness gate emit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and allow the</w:t>
      </w:r>
      <w:r>
        <w:t xml:space="preserve"> </w:t>
      </w:r>
      <w:r>
        <w:t xml:space="preserve">deployment to proceed.</w:t>
      </w:r>
    </w:p>
    <w:p>
      <w:pPr>
        <w:pStyle w:val="BodyText"/>
      </w:pPr>
      <w:r>
        <w:rPr>
          <w:bCs/>
          <w:b/>
        </w:rPr>
        <w:t xml:space="preserve">Flow for a DR event:</w:t>
      </w:r>
    </w:p>
    <w:p>
      <w:pPr>
        <w:numPr>
          <w:ilvl w:val="0"/>
          <w:numId w:val="1010"/>
        </w:numPr>
        <w:pStyle w:val="Compact"/>
      </w:pPr>
      <w:r>
        <w:t xml:space="preserve">The engine transitions to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The DR Orchestrator consults the SourceDestinationDRIndex to identify which standby VMs need</w:t>
      </w:r>
      <w:r>
        <w:t xml:space="preserve"> </w:t>
      </w:r>
      <w:r>
        <w:t xml:space="preserve">to be activated and where.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Capacity Management</w:t>
      </w:r>
      <w:r>
        <w:t xml:space="preserve"> </w:t>
      </w:r>
      <w:r>
        <w:t xml:space="preserve">begins staged activation (Scenario 18): bootstrap headroom first, then</w:t>
      </w:r>
      <w:r>
        <w:t xml:space="preserve"> </w:t>
      </w:r>
      <w:r>
        <w:t xml:space="preserve">CRG expansion if needed, then CVAL release, then quota draw.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Quota Management</w:t>
      </w:r>
      <w:r>
        <w:t xml:space="preserve"> </w:t>
      </w:r>
      <w:r>
        <w:t xml:space="preserve">confirms the shared pool has headroom for the DR draw (single-pool model:</w:t>
      </w:r>
      <w:r>
        <w:t xml:space="preserve"> </w:t>
      </w:r>
      <w:r>
        <w:t xml:space="preserve">no cross-group transfer needed — the DR earmark is already inside the pool).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Region Selection</w:t>
      </w:r>
      <w:r>
        <w:t xml:space="preserve"> </w:t>
      </w:r>
      <w:r>
        <w:t xml:space="preserve">is not re-run — the Customer Seed Record is authoritative. Failback</w:t>
      </w:r>
      <w:r>
        <w:t xml:space="preserve"> </w:t>
      </w:r>
      <w:r>
        <w:t xml:space="preserve">restores the original seed without re-derivation.</w:t>
      </w:r>
    </w:p>
    <w:p>
      <w:r>
        <w:pict>
          <v:rect style="width:0;height:1.5pt" o:hralign="center" o:hrstd="t" o:hr="t"/>
        </w:pict>
      </w:r>
    </w:p>
    <w:bookmarkEnd w:id="69"/>
    <w:bookmarkStart w:id="70" w:name="quick-reference-key-numbers"/>
    <w:p>
      <w:pPr>
        <w:pStyle w:val="Heading2"/>
      </w:pPr>
      <w:r>
        <w:t xml:space="preserve">8. Quick Reference — Key Numbers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 (headroom/capacity 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(quota headroom 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 (distribution fairness 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(DR readiness / overflow 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 (zone diversity 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 sum (must equal)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sum validation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 growth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NonProd growth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transfer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of potential DR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Prod quota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NonProd quota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DR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 auto-increase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NonProd auto-increase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auto-increase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Auto-increase debounce 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 per region + CRG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 horizons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60 /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alert 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 at 80% of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 loop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minutes (configurable)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Standard Capacity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 · Central US · 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Standard Capacity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 · Sweden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 Standard Capacity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North · Saudi Arabia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 DR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DR_NOT_OFFERED</w:t>
            </w:r>
            <w:r>
              <w:t xml:space="preserve"> </w:t>
            </w:r>
            <w:r>
              <w:t xml:space="preserve">(DEC-001 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CVAL + DR co-location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(PLC-010) — 2-region 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 1.0 — 2 September 2026.</w:t>
      </w:r>
      <w:r>
        <w:t xml:space="preserve"> </w:t>
      </w:r>
      <w:r>
        <w:rPr>
          <w:iCs/>
          <w:i/>
        </w:rPr>
        <w:t xml:space="preserve">Source: ACRME Q&amp;A design walkthrough session, Calculation Logic Reference v2.2, Requirements</w:t>
      </w:r>
      <w:r>
        <w:rPr>
          <w:iCs/>
          <w:i/>
        </w:rPr>
        <w:t xml:space="preserve"> </w:t>
      </w:r>
      <w:r>
        <w:rPr>
          <w:iCs/>
          <w:i/>
        </w:rPr>
        <w:t xml:space="preserve">Baseline v2.2.</w:t>
      </w:r>
      <w:r>
        <w:t xml:space="preserve"> </w:t>
      </w:r>
      <w:r>
        <w:rPr>
          <w:iCs/>
          <w:i/>
        </w:rPr>
        <w:t xml:space="preserve">Next review: when Calculation Logic Reference is next revised or when POC-001/POC-011 results</w:t>
      </w:r>
      <w:r>
        <w:rPr>
          <w:iCs/>
          <w:i/>
        </w:rPr>
        <w:t xml:space="preserve"> </w:t>
      </w:r>
      <w:r>
        <w:rPr>
          <w:iCs/>
          <w:i/>
        </w:rPr>
        <w:t xml:space="preserve">are available.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2026-09-02T16:11:54Z</dcterms:created>
  <dcterms:modified xsi:type="dcterms:W3CDTF">2026-09-02T16:11:54Z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