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rme-architecture-decision-records-adrs"/>
    <w:p>
      <w:pPr>
        <w:pStyle w:val="Heading1"/>
      </w:pPr>
      <w:r>
        <w:t xml:space="preserve">ACRME Architecture Decision Records (ADRs)</w:t>
      </w:r>
    </w:p>
    <w:p>
      <w:pPr>
        <w:pStyle w:val="FirstParagraph"/>
      </w:pPr>
      <w:r>
        <w:rPr>
          <w:bCs/>
          <w:b/>
        </w:rPr>
        <w:t xml:space="preserve">Project:</w:t>
      </w:r>
      <w:r>
        <w:t xml:space="preserve"> </w:t>
      </w:r>
      <w:r>
        <w:t xml:space="preserve">Azure Capacity Reservation Management Engine (ACRME)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Principal Cloud Architect — Architecture Governance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August 2026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Accepted</w:t>
      </w:r>
    </w:p>
    <w:p>
      <w:r>
        <w:pict>
          <v:rect style="width:0;height:1.5pt" o:hralign="center" o:hrstd="t" o:hr="t"/>
        </w:pict>
      </w:r>
    </w:p>
    <w:bookmarkStart w:id="20" w:name="about-this-document"/>
    <w:p>
      <w:pPr>
        <w:pStyle w:val="Heading2"/>
      </w:pPr>
      <w:r>
        <w:t xml:space="preserve">About This Document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Cs/>
          <w:b/>
        </w:rPr>
        <w:t xml:space="preserve">Architecture Decision Record (ADR)</w:t>
      </w:r>
      <w:r>
        <w:t xml:space="preserve"> </w:t>
      </w:r>
      <w:r>
        <w:t xml:space="preserve">captures a single significant architectural decision, the context that forced the decision, the options considered, the choice made, and its consequences. ADRs are immutable once accepted — a superseding decision is recorded as a new ADR rather than editing the original.</w:t>
      </w:r>
    </w:p>
    <w:p>
      <w:pPr>
        <w:pStyle w:val="BodyText"/>
      </w:pPr>
      <w:r>
        <w:t xml:space="preserve">This document records the four foundational ACRME architecture decisions: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Supersedes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and Capacity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 during Disaster Recovery (DR)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 and Increase of Capacity and 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Evidence tags</w:t>
      </w:r>
      <w:r>
        <w:t xml:space="preserve"> </w:t>
      </w:r>
      <w:r>
        <w:t xml:space="preserve">used throughout:</w:t>
      </w:r>
      <w:r>
        <w:t xml:space="preserve"> </w:t>
      </w:r>
      <w:r>
        <w:rPr>
          <w:rStyle w:val="VerbatimChar"/>
        </w:rPr>
        <w:t xml:space="preserve">[Documented]</w:t>
      </w:r>
      <w:r>
        <w:t xml:space="preserve"> </w:t>
      </w:r>
      <w:r>
        <w:t xml:space="preserve">(Azure platform docs),</w:t>
      </w:r>
      <w:r>
        <w:t xml:space="preserve"> </w:t>
      </w:r>
      <w:r>
        <w:rPr>
          <w:rStyle w:val="VerbatimChar"/>
        </w:rPr>
        <w:t xml:space="preserve">[Decided]</w:t>
      </w:r>
      <w:r>
        <w:t xml:space="preserve"> </w:t>
      </w:r>
      <w:r>
        <w:t xml:space="preserve">(Decision Log D1–D11),</w:t>
      </w:r>
      <w:r>
        <w:t xml:space="preserve"> </w:t>
      </w:r>
      <w:r>
        <w:rPr>
          <w:rStyle w:val="VerbatimChar"/>
        </w:rPr>
        <w:t xml:space="preserve">[Derived]</w:t>
      </w:r>
      <w:r>
        <w:t xml:space="preserve"> </w:t>
      </w:r>
      <w:r>
        <w:t xml:space="preserve">(logical consequence),</w:t>
      </w:r>
      <w:r>
        <w:t xml:space="preserve"> </w:t>
      </w:r>
      <w:r>
        <w:rPr>
          <w:rStyle w:val="VerbatimChar"/>
        </w:rPr>
        <w:t xml:space="preserve">[Assumed]</w:t>
      </w:r>
      <w:r>
        <w:t xml:space="preserve"> </w:t>
      </w:r>
      <w:r>
        <w:t xml:space="preserve">(architectural judgement pending validation).</w:t>
      </w:r>
    </w:p>
    <w:p>
      <w:r>
        <w:pict>
          <v:rect style="width:0;height:1.5pt" o:hralign="center" o:hrstd="t" o:hr="t"/>
        </w:pict>
      </w:r>
    </w:p>
    <w:bookmarkEnd w:id="20"/>
    <w:bookmarkStart w:id="25" w:name="adr-001-region-selection"/>
    <w:p>
      <w:pPr>
        <w:pStyle w:val="Heading2"/>
      </w:pPr>
      <w:r>
        <w:t xml:space="preserve">ADR-001 — Region Selection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August 2026</w:t>
      </w:r>
      <w:r>
        <w:br/>
      </w:r>
      <w:r>
        <w:rPr>
          <w:bCs/>
          <w:b/>
        </w:rPr>
        <w:t xml:space="preserve">Deciders:</w:t>
      </w:r>
      <w:r>
        <w:t xml:space="preserve"> </w:t>
      </w:r>
      <w:r>
        <w:t xml:space="preserve">Principal Cloud Architect, Platform Engineering, DR Owner</w:t>
      </w:r>
      <w:r>
        <w:br/>
      </w:r>
      <w:r>
        <w:rPr>
          <w:bCs/>
          <w:b/>
        </w:rPr>
        <w:t xml:space="preserve">Related decisions:</w:t>
      </w:r>
      <w:r>
        <w:t xml:space="preserve"> </w:t>
      </w:r>
      <w:r>
        <w:t xml:space="preserve">D1, D4, D5, D8, D9; HC-1..HC-10; VR-1..VR-11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multi_region_placement_design.md</w:t>
      </w:r>
      <w:r>
        <w:t xml:space="preserve"> </w:t>
      </w:r>
      <w:r>
        <w:t xml:space="preserve">§27–28;</w:t>
      </w:r>
      <w:r>
        <w:t xml:space="preserve"> </w:t>
      </w:r>
      <w:r>
        <w:rPr>
          <w:rStyle w:val="VerbatimChar"/>
        </w:rPr>
        <w:t xml:space="preserve">acrme_production_readiness_review_and_architecture.md</w:t>
      </w:r>
      <w:r>
        <w:t xml:space="preserve"> </w:t>
      </w:r>
      <w:r>
        <w:t xml:space="preserve">§27</w:t>
      </w:r>
    </w:p>
    <w:bookmarkStart w:id="21" w:name="context"/>
    <w:p>
      <w:pPr>
        <w:pStyle w:val="Heading3"/>
      </w:pPr>
      <w:r>
        <w:t xml:space="preserve">Context</w:t>
      </w:r>
    </w:p>
    <w:p>
      <w:pPr>
        <w:pStyle w:val="FirstParagraph"/>
      </w:pPr>
      <w:r>
        <w:t xml:space="preserve">Customers request capacity by supplying either a specific Azure region or an Azure geography (e.g. </w:t>
      </w:r>
      <w:r>
        <w:t xml:space="preserve">“</w:t>
      </w:r>
      <w:r>
        <w:t xml:space="preserve">US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Europe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Middle East</w:t>
      </w:r>
      <w:r>
        <w:t xml:space="preserve">”</w:t>
      </w:r>
      <w:r>
        <w:t xml:space="preserve">). The engine must derive three environment regions —</w:t>
      </w:r>
      <w:r>
        <w:t xml:space="preserve"> </w:t>
      </w:r>
      <w:r>
        <w:rPr>
          <w:bCs/>
          <w:b/>
        </w:rPr>
        <w:t xml:space="preserve">Prod</w:t>
      </w:r>
      <w:r>
        <w:t xml:space="preserve">,</w:t>
      </w:r>
      <w:r>
        <w:t xml:space="preserve"> </w:t>
      </w:r>
      <w:r>
        <w:rPr>
          <w:bCs/>
          <w:b/>
        </w:rPr>
        <w:t xml:space="preserve">NonProd/CVAL</w:t>
      </w:r>
      <w:r>
        <w:t xml:space="preserve">, and</w:t>
      </w:r>
      <w:r>
        <w:t xml:space="preserve"> </w:t>
      </w:r>
      <w:r>
        <w:rPr>
          <w:bCs/>
          <w:b/>
        </w:rPr>
        <w:t xml:space="preserve">DR</w:t>
      </w:r>
      <w:r>
        <w:t xml:space="preserve"> </w:t>
      </w:r>
      <w:r>
        <w:t xml:space="preserve">— that satisfy isolation, resilience, capacity, quota, and data-residency requirements.</w:t>
      </w:r>
    </w:p>
    <w:p>
      <w:pPr>
        <w:pStyle w:val="BodyText"/>
      </w:pPr>
      <w:r>
        <w:t xml:space="preserve">Forces at play:</w:t>
      </w:r>
    </w:p>
    <w:p>
      <w:pPr>
        <w:numPr>
          <w:ilvl w:val="0"/>
          <w:numId w:val="1001"/>
        </w:numPr>
        <w:pStyle w:val="Compact"/>
      </w:pPr>
      <w:r>
        <w:t xml:space="preserve">Azure regions differ in SKU availability, zone count, capacity headroom, and quota posture. A naive</w:t>
      </w:r>
      <w:r>
        <w:t xml:space="preserve"> </w:t>
      </w:r>
      <w:r>
        <w:t xml:space="preserve">“</w:t>
      </w:r>
      <w:r>
        <w:t xml:space="preserve">pick the nearest region</w:t>
      </w:r>
      <w:r>
        <w:t xml:space="preserve">”</w:t>
      </w:r>
      <w:r>
        <w:t xml:space="preserve"> </w:t>
      </w:r>
      <w:r>
        <w:t xml:space="preserve">approach silently produces single-zone or capacity-starved placements.</w:t>
      </w:r>
    </w:p>
    <w:p>
      <w:pPr>
        <w:numPr>
          <w:ilvl w:val="0"/>
          <w:numId w:val="1001"/>
        </w:numPr>
        <w:pStyle w:val="Compact"/>
      </w:pPr>
      <w:r>
        <w:t xml:space="preserve">Some regions are</w:t>
      </w:r>
      <w:r>
        <w:t xml:space="preserve"> </w:t>
      </w:r>
      <w:r>
        <w:rPr>
          <w:bCs/>
          <w:b/>
        </w:rPr>
        <w:t xml:space="preserve">Restricted Capacity Regions</w:t>
      </w:r>
      <w:r>
        <w:t xml:space="preserve"> </w:t>
      </w:r>
      <w:r>
        <w:t xml:space="preserve">(sovereign clouds, limited-SKU regions) that must never be selected by automated placement.</w:t>
      </w:r>
    </w:p>
    <w:p>
      <w:pPr>
        <w:numPr>
          <w:ilvl w:val="0"/>
          <w:numId w:val="1001"/>
        </w:numPr>
        <w:pStyle w:val="Compact"/>
      </w:pPr>
      <w:r>
        <w:t xml:space="preserve">Certain geographies (notably the</w:t>
      </w:r>
      <w:r>
        <w:t xml:space="preserve"> </w:t>
      </w:r>
      <w:r>
        <w:rPr>
          <w:bCs/>
          <w:b/>
        </w:rPr>
        <w:t xml:space="preserve">Middle East</w:t>
      </w:r>
      <w:r>
        <w:t xml:space="preserve">, with only UAE North and Saudi Arabia Central) do not have enough Standard regions to satisfy a three-region model in-geo, forcing a governed cross-geo DR path.</w:t>
      </w:r>
    </w:p>
    <w:p>
      <w:pPr>
        <w:numPr>
          <w:ilvl w:val="0"/>
          <w:numId w:val="1001"/>
        </w:numPr>
        <w:pStyle w:val="Compact"/>
      </w:pPr>
      <w:r>
        <w:t xml:space="preserve">Placement decisions must be</w:t>
      </w:r>
      <w:r>
        <w:t xml:space="preserve"> </w:t>
      </w:r>
      <w:r>
        <w:rPr>
          <w:bCs/>
          <w:b/>
        </w:rPr>
        <w:t xml:space="preserve">deterministic, auditable, and replayable</w:t>
      </w:r>
      <w:r>
        <w:t xml:space="preserve"> </w:t>
      </w:r>
      <w:r>
        <w:t xml:space="preserve">— the same inputs must always produce the same output, and every decision must be reconstructable for compliance.</w:t>
      </w:r>
    </w:p>
    <w:bookmarkEnd w:id="21"/>
    <w:bookmarkStart w:id="22" w:name="decision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Adopt a</w:t>
      </w:r>
      <w:r>
        <w:t xml:space="preserve"> </w:t>
      </w:r>
      <w:r>
        <w:rPr>
          <w:bCs/>
          <w:b/>
        </w:rPr>
        <w:t xml:space="preserve">staged, constraint-then-score placement pipeline</w:t>
      </w:r>
      <w:r>
        <w:t xml:space="preserve"> </w:t>
      </w:r>
      <w:r>
        <w:t xml:space="preserve">driven by environment-type-specific scoring formulas: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Stage 1 — Eligibility pre-filtering.</w:t>
      </w:r>
      <w:r>
        <w:t xml:space="preserve"> </w:t>
      </w:r>
      <w:r>
        <w:t xml:space="preserve">Reduce all Azure regions to Standard Capacity Regions within the customer’s geography.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HC-9 STANDARD_REGION_ONLY</w:t>
      </w:r>
      <w:r>
        <w:t xml:space="preserve"> </w:t>
      </w:r>
      <w:r>
        <w:t xml:space="preserve">excludes Restricted regions before scoring.</w:t>
      </w:r>
      <w:r>
        <w:t xml:space="preserve"> </w:t>
      </w:r>
      <w:r>
        <w:rPr>
          <w:rStyle w:val="VerbatimChar"/>
        </w:rPr>
        <w:t xml:space="preserve">[Decided — D9]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HC-8 GEOGRAPHY_CONTAINMENT</w:t>
      </w:r>
      <w:r>
        <w:t xml:space="preserve"> </w:t>
      </w:r>
      <w:r>
        <w:t xml:space="preserve">confines the Prod anchor to the customer’s chosen geography.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Stage 2 — Hard-constraint gate.</w:t>
      </w:r>
      <w:r>
        <w:t xml:space="preserve"> </w:t>
      </w:r>
      <w:r>
        <w:t xml:space="preserve">Each surviving region must pass</w:t>
      </w:r>
      <w:r>
        <w:t xml:space="preserve"> </w:t>
      </w:r>
      <w:r>
        <w:rPr>
          <w:bCs/>
          <w:b/>
        </w:rPr>
        <w:t xml:space="preserve">HC-1..HC-7 and HC-10</w:t>
      </w:r>
      <w:r>
        <w:t xml:space="preserve"> </w:t>
      </w:r>
      <w:r>
        <w:t xml:space="preserve">(region separation, capacity floor, quota floor, DR separation class, zone availability, DR coverage floor, DR floor integrity, cross-geo extension approval). Any failure excludes the region from scoring entirely — hard constraints are binary gates, never scored penalties.</w:t>
      </w:r>
      <w:r>
        <w:t xml:space="preserve"> </w:t>
      </w:r>
      <w:r>
        <w:rPr>
          <w:rStyle w:val="VerbatimChar"/>
        </w:rPr>
        <w:t xml:space="preserve">[Decided — D4]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Stage 3 — Environment-type-specific scoring.</w:t>
      </w:r>
      <w:r>
        <w:t xml:space="preserve"> </w:t>
      </w:r>
      <w:r>
        <w:t xml:space="preserve">Rank survivors using three formulas sharing default weights (α=0.30, β=0.20, γ=0.25, δ=0.15, ε=0.10) but with env-type-specific semantics for α (capacity signal) and δ (DR readiness):</w:t>
      </w:r>
      <w:r>
        <w:t xml:space="preserve"> </w:t>
      </w:r>
      <w:r>
        <w:rPr>
          <w:rStyle w:val="VerbatimChar"/>
        </w:rPr>
        <w:t xml:space="preserve">[Decided — D9]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Prod:</w:t>
      </w:r>
      <w:r>
        <w:t xml:space="preserve"> </w:t>
      </w:r>
      <w:r>
        <w:rPr>
          <w:rStyle w:val="VerbatimChar"/>
        </w:rPr>
        <w:t xml:space="preserve">Prod_region = argmax(PS_Prod(r))</w:t>
      </w:r>
      <w:r>
        <w:t xml:space="preserve"> </w:t>
      </w:r>
      <w:r>
        <w:t xml:space="preserve">over eligible Standard regions in-geo.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NonProd/CVAL:</w:t>
      </w:r>
      <w:r>
        <w:t xml:space="preserve"> </w:t>
      </w:r>
      <w:r>
        <w:rPr>
          <w:rStyle w:val="VerbatimChar"/>
        </w:rPr>
        <w:t xml:space="preserve">argmax(PS_NonProd(r))</w:t>
      </w:r>
      <w:r>
        <w:t xml:space="preserve"> </w:t>
      </w:r>
      <w:r>
        <w:t xml:space="preserve">over survivors, excluding the Prod region.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DR:</w:t>
      </w:r>
      <w:r>
        <w:t xml:space="preserve"> </w:t>
      </w:r>
      <w:r>
        <w:rPr>
          <w:rStyle w:val="VerbatimChar"/>
        </w:rPr>
        <w:t xml:space="preserve">argmax(PS_DR(r))</w:t>
      </w:r>
      <w:r>
        <w:t xml:space="preserve"> </w:t>
      </w:r>
      <w:r>
        <w:t xml:space="preserve">over survivors, excluding the Prod region (but</w:t>
      </w:r>
      <w:r>
        <w:t xml:space="preserve"> </w:t>
      </w:r>
      <w:r>
        <w:rPr>
          <w:bCs/>
          <w:b/>
        </w:rPr>
        <w:t xml:space="preserve">may</w:t>
      </w:r>
      <w:r>
        <w:t xml:space="preserve"> </w:t>
      </w:r>
      <w:r>
        <w:t xml:space="preserve">share with NonProd per D8).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Selection order is sequential — Prod → NonProd → DR</w:t>
      </w:r>
      <w:r>
        <w:t xml:space="preserve"> </w:t>
      </w:r>
      <w:r>
        <w:t xml:space="preserve">— not joint optimization. With 3–4 regions the greedy sequential result equals the joint-optimal result in nearly all practical cases, while remaining transparent and auditable.</w:t>
      </w:r>
      <w:r>
        <w:t xml:space="preserve"> </w:t>
      </w:r>
      <w:r>
        <w:rPr>
          <w:rStyle w:val="VerbatimChar"/>
        </w:rPr>
        <w:t xml:space="preserve">[Decided — D1]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Middle East special handling.</w:t>
      </w:r>
      <w:r>
        <w:t xml:space="preserve"> </w:t>
      </w:r>
      <w:r>
        <w:t xml:space="preserve">Prod and NonProd are chosen in-geo via</w:t>
      </w:r>
      <w:r>
        <w:t xml:space="preserve"> </w:t>
      </w:r>
      <w:r>
        <w:rPr>
          <w:rStyle w:val="VerbatimChar"/>
        </w:rPr>
        <w:t xml:space="preserve">argmax(PS_Prod)</w:t>
      </w:r>
      <w:r>
        <w:t xml:space="preserve"> </w:t>
      </w:r>
      <w:r>
        <w:t xml:space="preserve">over {UAE North, Saudi Arabia Central}; DR is assigned to</w:t>
      </w:r>
      <w:r>
        <w:t xml:space="preserve"> </w:t>
      </w:r>
      <w:r>
        <w:rPr>
          <w:bCs/>
          <w:b/>
        </w:rPr>
        <w:t xml:space="preserve">Belgium Central</w:t>
      </w:r>
      <w:r>
        <w:t xml:space="preserve"> </w:t>
      </w:r>
      <w:r>
        <w:t xml:space="preserve">via the only approved Cross-Geo Extension paths (Saudi Arabia → Belgium Central, UAE North → Belgium Central). Belgium Central must itself pass HC-1..HC-10; if it fails, the placement is rejected with an ops alert — the engine never silently substitutes another region.</w:t>
      </w:r>
      <w:r>
        <w:t xml:space="preserve"> </w:t>
      </w:r>
      <w:r>
        <w:rPr>
          <w:rStyle w:val="VerbatimChar"/>
        </w:rPr>
        <w:t xml:space="preserve">[Decided — D8; Documented — §27]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Determinism &amp; audit.</w:t>
      </w:r>
      <w:r>
        <w:t xml:space="preserve"> </w:t>
      </w:r>
      <w:r>
        <w:t xml:space="preserve">All candidate sets, sub-scores, the winning score, and the active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version are written to the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for replay (VR-8, VR-9). Even the 3-region edge case (single eligible candidate) runs the full scoring path so the score is logged as a capacity-health signal.</w:t>
      </w:r>
      <w:r>
        <w:t xml:space="preserve"> </w:t>
      </w:r>
      <w:r>
        <w:rPr>
          <w:rStyle w:val="VerbatimChar"/>
        </w:rPr>
        <w:t xml:space="preserve">[Decided — D5]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Operating mode.</w:t>
      </w:r>
      <w:r>
        <w:t xml:space="preserve"> </w:t>
      </w:r>
      <w:r>
        <w:t xml:space="preserve">In Phase 1 the engine runs region selection in</w:t>
      </w:r>
      <w:r>
        <w:t xml:space="preserve"> </w:t>
      </w:r>
      <w:r>
        <w:rPr>
          <w:bCs/>
          <w:b/>
        </w:rPr>
        <w:t xml:space="preserve">recommendation/shadow mode</w:t>
      </w:r>
      <w:r>
        <w:t xml:space="preserve"> </w:t>
      </w:r>
      <w:r>
        <w:t xml:space="preserve">— it produces and logs the ranked recommendation but does not autonomously place. Autonomous placement is gated on POC validation of the scoring formulas.</w:t>
      </w:r>
    </w:p>
    <w:bookmarkEnd w:id="22"/>
    <w:bookmarkStart w:id="23" w:name="consequences"/>
    <w:p>
      <w:pPr>
        <w:pStyle w:val="Heading3"/>
      </w:pPr>
      <w:r>
        <w:t xml:space="preserve">Consequences</w:t>
      </w:r>
    </w:p>
    <w:p>
      <w:pPr>
        <w:pStyle w:val="FirstParagraph"/>
      </w:pPr>
      <w:r>
        <w:rPr>
          <w:bCs/>
          <w:b/>
        </w:rPr>
        <w:t xml:space="preserve">Positive:</w:t>
      </w:r>
      <w:r>
        <w:t xml:space="preserve"> </w:t>
      </w:r>
      <w:r>
        <w:t xml:space="preserve">- Deterministic, replayable placement with a complete audit trail satisfies compliance and post-incident review.</w:t>
      </w:r>
      <w:r>
        <w:t xml:space="preserve"> </w:t>
      </w:r>
      <w:r>
        <w:t xml:space="preserve">- Hard constraints guarantee no placement ever violates isolation, zone, quota, or residency rules regardless of score.</w:t>
      </w:r>
      <w:r>
        <w:t xml:space="preserve"> </w:t>
      </w:r>
      <w:r>
        <w:t xml:space="preserve">- Restricted regions are structurally impossible to select automatically; exceptions flow through a governed Scenario 2 workflow with a persisted, revocable approval ID.</w:t>
      </w:r>
      <w:r>
        <w:t xml:space="preserve"> </w:t>
      </w:r>
      <w:r>
        <w:t xml:space="preserve">- Env-type-specific formulas let Prod optimise for capacity/isolation while DR optimises for overflow readiness.</w:t>
      </w:r>
    </w:p>
    <w:p>
      <w:pPr>
        <w:pStyle w:val="BodyText"/>
      </w:pPr>
      <w:r>
        <w:rPr>
          <w:bCs/>
          <w:b/>
        </w:rPr>
        <w:t xml:space="preserve">Negative / trade-offs:</w:t>
      </w:r>
      <w:r>
        <w:t xml:space="preserve"> </w:t>
      </w:r>
      <w:r>
        <w:t xml:space="preserve">- Three formulas plus 16 per-CRG-type</w:t>
      </w:r>
      <w:r>
        <w:t xml:space="preserve"> </w:t>
      </w:r>
      <w:r>
        <w:rPr>
          <w:rStyle w:val="VerbatimChar"/>
        </w:rPr>
        <w:t xml:space="preserve">RegionalSnapshot</w:t>
      </w:r>
      <w:r>
        <w:t xml:space="preserve"> </w:t>
      </w:r>
      <w:r>
        <w:t xml:space="preserve">fields increase implementation and snapshot-maintenance cost (backlog E07-S16, E03-S10).</w:t>
      </w:r>
      <w:r>
        <w:t xml:space="preserve"> </w:t>
      </w:r>
      <w:r>
        <w:t xml:space="preserve">- Sequential selection is greedy; if the region count ever exceeds 6, joint optimization should be revisited (D1 review trigger).</w:t>
      </w:r>
      <w:r>
        <w:t xml:space="preserve"> </w:t>
      </w:r>
      <w:r>
        <w:t xml:space="preserve">- Cross-geo extension paths are a manual governance artefact — adding a path requires a PlacementPolicy update, governance approval, and a Decision Log entry.</w:t>
      </w:r>
      <w:r>
        <w:t xml:space="preserve"> </w:t>
      </w:r>
      <w:r>
        <w:t xml:space="preserve">- Worked scoring examples remain a known gap (G-7) until per-CRG-type inputs are finalised.</w:t>
      </w:r>
    </w:p>
    <w:p>
      <w:pPr>
        <w:pStyle w:val="BodyText"/>
      </w:pPr>
      <w:r>
        <w:rPr>
          <w:bCs/>
          <w:b/>
        </w:rPr>
        <w:t xml:space="preserve">Neutral:</w:t>
      </w:r>
      <w:r>
        <w:t xml:space="preserve"> </w:t>
      </w:r>
      <w:r>
        <w:t xml:space="preserve">- CRG_Score (RCW) is demoted from a primary scoring input to a monitoring-only signal (D9).</w:t>
      </w:r>
    </w:p>
    <w:bookmarkEnd w:id="23"/>
    <w:bookmarkStart w:id="24" w:name="alternatives-considered"/>
    <w:p>
      <w:pPr>
        <w:pStyle w:val="Heading3"/>
      </w:pPr>
      <w:r>
        <w:t xml:space="preserve">Alternatives Considered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Joint optimization</w:t>
            </w:r>
            <w:r>
              <w:t xml:space="preserve"> </w:t>
            </w:r>
            <w:r>
              <w:t xml:space="preserve">(select all three regions simultaneously)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combinatorial complexity; opaque and harder to audit; identical result to sequential for 3–4 regions.</w:t>
            </w:r>
            <w:r>
              <w:t xml:space="preserve"> </w:t>
            </w:r>
            <w:r>
              <w:rPr>
                <w:rStyle w:val="VerbatimChar"/>
              </w:rPr>
              <w:t xml:space="preserve">[D1]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Single generic PS(r, env_type) 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and δ have fundamentally different meanings per env type; a single formula needs so many branches it becomes three formulas anyway.</w:t>
            </w:r>
            <w:r>
              <w:t xml:space="preserve"> </w:t>
            </w:r>
            <w:r>
              <w:rPr>
                <w:rStyle w:val="VerbatimChar"/>
              </w:rPr>
              <w:t xml:space="preserve">[D9]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Geographic distance as a scored soft 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Operators already choose geographically independent region sets at design time; HC-4 as a hard constraint is sufficient and simpler.</w:t>
            </w:r>
            <w:r>
              <w:t xml:space="preserve"> </w:t>
            </w:r>
            <w:r>
              <w:rPr>
                <w:rStyle w:val="VerbatimChar"/>
              </w:rPr>
              <w:t xml:space="preserve">[D4]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Silent fallback region for failed Middle East 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Violates governance and residency guarantees; the engine must fail loudly and require an approved extension path.</w:t>
            </w:r>
            <w:r>
              <w:t xml:space="preserve"> </w:t>
            </w:r>
            <w:r>
              <w:rPr>
                <w:rStyle w:val="VerbatimChar"/>
              </w:rPr>
              <w:t xml:space="preserve">[§27]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0" w:name="adr-002-quota-and-capacity-management"/>
    <w:p>
      <w:pPr>
        <w:pStyle w:val="Heading2"/>
      </w:pPr>
      <w:r>
        <w:t xml:space="preserve">ADR-002 — Quota and Capacity Management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August 2026</w:t>
      </w:r>
      <w:r>
        <w:br/>
      </w:r>
      <w:r>
        <w:rPr>
          <w:bCs/>
          <w:b/>
        </w:rPr>
        <w:t xml:space="preserve">Deciders:</w:t>
      </w:r>
      <w:r>
        <w:t xml:space="preserve"> </w:t>
      </w:r>
      <w:r>
        <w:t xml:space="preserve">Principal Cloud Architect, Platform Engineering, FinOps</w:t>
      </w:r>
      <w:r>
        <w:br/>
      </w:r>
      <w:r>
        <w:rPr>
          <w:bCs/>
          <w:b/>
        </w:rPr>
        <w:t xml:space="preserve">Related decisions:</w:t>
      </w:r>
      <w:r>
        <w:t xml:space="preserve"> </w:t>
      </w:r>
      <w:r>
        <w:t xml:space="preserve">D6, D7, D9; HC-2, HC-3, HC-7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multi_region_placement_design.md</w:t>
      </w:r>
      <w:r>
        <w:t xml:space="preserve"> </w:t>
      </w:r>
      <w:r>
        <w:t xml:space="preserve">§Quota Groups;</w:t>
      </w:r>
      <w:r>
        <w:t xml:space="preserve"> </w:t>
      </w:r>
      <w:r>
        <w:rPr>
          <w:rStyle w:val="VerbatimChar"/>
        </w:rPr>
        <w:t xml:space="preserve">design_change_summary.md</w:t>
      </w:r>
      <w:r>
        <w:t xml:space="preserve"> </w:t>
      </w:r>
      <w:r>
        <w:t xml:space="preserve">QG-1..QG-12</w:t>
      </w:r>
    </w:p>
    <w:bookmarkStart w:id="26" w:name="context-1"/>
    <w:p>
      <w:pPr>
        <w:pStyle w:val="Heading3"/>
      </w:pPr>
      <w:r>
        <w:t xml:space="preserve">Context</w:t>
      </w:r>
    </w:p>
    <w:p>
      <w:pPr>
        <w:pStyle w:val="FirstParagraph"/>
      </w:pPr>
      <w:r>
        <w:t xml:space="preserve">Each customer needs three CRGs per region (Prod, NonProd, DR). Azure tracks compute quota per subscription per region per SKU family; quota exhaustion silently blocks CR creation and VM deployment. The engine must:</w:t>
      </w:r>
    </w:p>
    <w:p>
      <w:pPr>
        <w:numPr>
          <w:ilvl w:val="0"/>
          <w:numId w:val="1005"/>
        </w:numPr>
        <w:pStyle w:val="Compact"/>
      </w:pPr>
      <w:r>
        <w:t xml:space="preserve">Prevent a NonProd surge from consuming quota that Prod CR creation needs (isolation).</w:t>
      </w:r>
    </w:p>
    <w:p>
      <w:pPr>
        <w:numPr>
          <w:ilvl w:val="0"/>
          <w:numId w:val="1005"/>
        </w:numPr>
        <w:pStyle w:val="Compact"/>
      </w:pPr>
      <w:r>
        <w:t xml:space="preserve">Make emergency capacity transfer (ADR-003)</w:t>
      </w:r>
      <w:r>
        <w:t xml:space="preserve"> </w:t>
      </w:r>
      <w:r>
        <w:rPr>
          <w:bCs/>
          <w:b/>
        </w:rPr>
        <w:t xml:space="preserve">quota-neutral</w:t>
      </w:r>
      <w:r>
        <w:t xml:space="preserve"> </w:t>
      </w:r>
      <w:r>
        <w:t xml:space="preserve">where possible — i.e. reshuffle capacity without waiting hours for an Azure quota-increase approval during a crisis.</w:t>
      </w:r>
    </w:p>
    <w:p>
      <w:pPr>
        <w:numPr>
          <w:ilvl w:val="0"/>
          <w:numId w:val="1005"/>
        </w:numPr>
        <w:pStyle w:val="Compact"/>
      </w:pPr>
      <w:r>
        <w:t xml:space="preserve">Provide clean per-environment cost attribution for chargeback.</w:t>
      </w:r>
    </w:p>
    <w:p>
      <w:pPr>
        <w:numPr>
          <w:ilvl w:val="0"/>
          <w:numId w:val="1005"/>
        </w:numPr>
        <w:pStyle w:val="Compact"/>
      </w:pPr>
      <w:r>
        <w:t xml:space="preserve">Enforce a protected DR reservation that NonProd growth can never erode.</w:t>
      </w:r>
    </w:p>
    <w:p>
      <w:pPr>
        <w:pStyle w:val="FirstParagraph"/>
      </w:pPr>
      <w:r>
        <w:t xml:space="preserve">Azure</w:t>
      </w:r>
      <w:r>
        <w:t xml:space="preserve"> </w:t>
      </w:r>
      <w:r>
        <w:rPr>
          <w:bCs/>
          <w:b/>
        </w:rPr>
        <w:t xml:space="preserve">Quota Groups</w:t>
      </w:r>
      <w:r>
        <w:t xml:space="preserve"> </w:t>
      </w:r>
      <w:r>
        <w:t xml:space="preserve">(Preview) allow multiple subscriptions/CRGs to share a group-level quota pool, but Azure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natively support intra-group sub-reservations — so any sub-partition of a group pool must be enforced by the engine.</w:t>
      </w:r>
    </w:p>
    <w:bookmarkEnd w:id="26"/>
    <w:bookmarkStart w:id="27" w:name="decision-1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Adopt a</w:t>
      </w:r>
      <w:r>
        <w:t xml:space="preserve"> </w:t>
      </w:r>
      <w:r>
        <w:rPr>
          <w:bCs/>
          <w:b/>
        </w:rPr>
        <w:t xml:space="preserve">Two-Quota-Group-per-region model with an engine-enforced DR floor</w:t>
      </w:r>
      <w:r>
        <w:t xml:space="preserve">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Two groups per region:</w:t>
      </w:r>
      <w:r>
        <w:t xml:space="preserve"> </w:t>
      </w:r>
      <w:r>
        <w:t xml:space="preserve">one</w:t>
      </w:r>
      <w:r>
        <w:t xml:space="preserve"> </w:t>
      </w:r>
      <w:r>
        <w:rPr>
          <w:bCs/>
          <w:b/>
        </w:rPr>
        <w:t xml:space="preserve">Prod-only</w:t>
      </w:r>
      <w:r>
        <w:t xml:space="preserve"> </w:t>
      </w:r>
      <w:r>
        <w:t xml:space="preserve">group and one</w:t>
      </w:r>
      <w:r>
        <w:t xml:space="preserve"> </w:t>
      </w:r>
      <w:r>
        <w:rPr>
          <w:bCs/>
          <w:b/>
        </w:rPr>
        <w:t xml:space="preserve">shared NonProd+DR</w:t>
      </w:r>
      <w:r>
        <w:t xml:space="preserve"> </w:t>
      </w:r>
      <w:r>
        <w:t xml:space="preserve">group.</w:t>
      </w:r>
      <w:r>
        <w:t xml:space="preserve"> </w:t>
      </w:r>
      <w:r>
        <w:rPr>
          <w:rStyle w:val="VerbatimChar"/>
        </w:rPr>
        <w:t xml:space="preserve">[Decided — D6]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Prod_Group_Limit(R)        = base_subscription_quota_limit × (1 + emergency_transfer_headroom_vcpu / base_limit)</w:t>
      </w:r>
      <w:r>
        <w:br/>
      </w:r>
      <w:r>
        <w:rPr>
          <w:rStyle w:val="VerbatimChar"/>
        </w:rPr>
        <w:t xml:space="preserve">NonProd_DR_Group_Limit(R)  = base_subscription_quota_limit × (1 + emergency_transfer_headroom_vcpu / base_limit)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Engine-enforced DR floor</w:t>
      </w:r>
      <w:r>
        <w:t xml:space="preserve"> </w:t>
      </w:r>
      <w:r>
        <w:t xml:space="preserve">inside the NonProd+DR group (Azure has no native sub-reservation):</w:t>
      </w:r>
      <w:r>
        <w:t xml:space="preserve"> </w:t>
      </w:r>
      <w:r>
        <w:rPr>
          <w:rStyle w:val="VerbatimChar"/>
        </w:rPr>
        <w:t xml:space="preserve">[Decided — D7]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DR_Floor_vCPU(R)               = potential_dr_demand(R) × vCPU_per_instance × dr_ratio_max</w:t>
      </w:r>
      <w:r>
        <w:br/>
      </w:r>
      <w:r>
        <w:rPr>
          <w:rStyle w:val="VerbatimChar"/>
        </w:rPr>
        <w:t xml:space="preserve">Effective_NonProd_Ceiling(R)   = NonProd_DR_Group_Limit(R) − DR_Floor_vCPU(R)</w:t>
      </w:r>
    </w:p>
    <w:p>
      <w:pPr>
        <w:numPr>
          <w:ilvl w:val="0"/>
          <w:numId w:val="1000"/>
        </w:numPr>
      </w:pPr>
      <w:r>
        <w:t xml:space="preserve">The floor is always sized at</w:t>
      </w:r>
      <w:r>
        <w:t xml:space="preserve"> </w:t>
      </w:r>
      <w:r>
        <w:rPr>
          <w:rStyle w:val="VerbatimChar"/>
          <w:bCs/>
          <w:b/>
        </w:rPr>
        <w:t xml:space="preserve">dr_ratio_max</w:t>
      </w:r>
      <w:r>
        <w:rPr>
          <w:bCs/>
          <w:b/>
        </w:rPr>
        <w:t xml:space="preserve"> </w:t>
      </w:r>
      <w:r>
        <w:rPr>
          <w:bCs/>
          <w:b/>
        </w:rPr>
        <w:t xml:space="preserve">(0.40)</w:t>
      </w:r>
      <w:r>
        <w:t xml:space="preserve"> </w:t>
      </w:r>
      <w:r>
        <w:t xml:space="preserve">— the upper bound of the DR ratio range — so it never needs to grow if the operating ratio is later raised (0.30 → 0.40). Only actual Prod demand growth expands the floor.</w:t>
      </w:r>
      <w:r>
        <w:t xml:space="preserve"> </w:t>
      </w:r>
      <w:r>
        <w:rPr>
          <w:rStyle w:val="VerbatimChar"/>
        </w:rPr>
        <w:t xml:space="preserve">[Decided — D7]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Hard-constraint enforcement at placement: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HC-2 CAPACITY_FLOOR</w:t>
      </w:r>
      <w:r>
        <w:t xml:space="preserve"> </w:t>
      </w:r>
      <w:r>
        <w:t xml:space="preserve">— CR headroom ≥</w:t>
      </w:r>
      <w:r>
        <w:t xml:space="preserve"> </w:t>
      </w:r>
      <w:r>
        <w:rPr>
          <w:rStyle w:val="VerbatimChar"/>
        </w:rPr>
        <w:t xml:space="preserve">2 × requested_vm_count × SKU_vCPU</w:t>
      </w:r>
      <w:r>
        <w:t xml:space="preserve">.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HC-3 QUOTA_FLOOR</w:t>
      </w:r>
      <w:r>
        <w:t xml:space="preserve"> </w:t>
      </w:r>
      <w:r>
        <w:t xml:space="preserve">— env-type-aware group headroom check (Prod group / effective NonProd ceiling / DR headroom). Reads from the</w:t>
      </w:r>
      <w:r>
        <w:t xml:space="preserve"> </w:t>
      </w:r>
      <w:r>
        <w:rPr>
          <w:rStyle w:val="VerbatimChar"/>
        </w:rPr>
        <w:t xml:space="preserve">QuotaGroup</w:t>
      </w:r>
      <w:r>
        <w:t xml:space="preserve"> </w:t>
      </w:r>
      <w:r>
        <w:t xml:space="preserve">entity, not legacy per-subscription</w:t>
      </w:r>
      <w:r>
        <w:t xml:space="preserve"> </w:t>
      </w:r>
      <w:r>
        <w:rPr>
          <w:rStyle w:val="VerbatimChar"/>
        </w:rPr>
        <w:t xml:space="preserve">QuotaRecord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 — D9]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HC-7 DR_FLOOR_INTEGRITY</w:t>
      </w:r>
      <w:r>
        <w:t xml:space="preserve"> </w:t>
      </w:r>
      <w:r>
        <w:t xml:space="preserve">— rejects NonProd placement that would push</w:t>
      </w:r>
      <w:r>
        <w:t xml:space="preserve"> </w:t>
      </w:r>
      <w:r>
        <w:rPr>
          <w:rStyle w:val="VerbatimChar"/>
        </w:rPr>
        <w:t xml:space="preserve">nonprod_quota_used</w:t>
      </w:r>
      <w:r>
        <w:t xml:space="preserve"> </w:t>
      </w:r>
      <w:r>
        <w:t xml:space="preserve">above the effective ceiling, evaluated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HC-3.</w:t>
      </w:r>
      <w:r>
        <w:t xml:space="preserve"> </w:t>
      </w:r>
      <w:r>
        <w:rPr>
          <w:rStyle w:val="VerbatimChar"/>
        </w:rPr>
        <w:t xml:space="preserve">[Decided — D7]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Legacy per-subscription quota tracking is retained for monitoring/audit only</w:t>
      </w:r>
      <w:r>
        <w:t xml:space="preserve"> </w:t>
      </w:r>
      <w:r>
        <w:t xml:space="preserve">and superseded for all placement and scoring checks by group-level fields.</w:t>
      </w:r>
      <w:r>
        <w:t xml:space="preserve"> </w:t>
      </w:r>
      <w:r>
        <w:rPr>
          <w:rStyle w:val="VerbatimChar"/>
        </w:rPr>
        <w:t xml:space="preserve">[Decided — D6]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Continuous protection:</w:t>
      </w:r>
      <w:r>
        <w:t xml:space="preserve"> </w:t>
      </w:r>
      <w:r>
        <w:t xml:space="preserve">the reconciliation loop watches for floor violations and emits</w:t>
      </w:r>
      <w:r>
        <w:t xml:space="preserve"> </w:t>
      </w:r>
      <w:r>
        <w:rPr>
          <w:rStyle w:val="VerbatimChar"/>
        </w:rPr>
        <w:t xml:space="preserve">DRFloorViolationDetected</w:t>
      </w:r>
      <w:r>
        <w:t xml:space="preserve">; NonProd CRG scale operations that approach the ceiling are operator-gated.</w:t>
      </w:r>
    </w:p>
    <w:p>
      <w:pPr>
        <w:pStyle w:val="FirstParagraph"/>
      </w:pPr>
      <w:r>
        <w:rPr>
          <w:bCs/>
          <w:b/>
        </w:rPr>
        <w:t xml:space="preserve">Worked POC topology (GP-06):</w:t>
      </w:r>
      <w:r>
        <w:t xml:space="preserve"> </w:t>
      </w:r>
      <w:r>
        <w:t xml:space="preserve">Prod group 128 vCPU; NonProd+DR group 80 vCPU; DR floor 32 vCPU → effective NonProd ceiling 48 vCPU.</w:t>
      </w:r>
    </w:p>
    <w:bookmarkEnd w:id="27"/>
    <w:bookmarkStart w:id="28" w:name="consequences-1"/>
    <w:p>
      <w:pPr>
        <w:pStyle w:val="Heading3"/>
      </w:pPr>
      <w:r>
        <w:t xml:space="preserve">Consequences</w:t>
      </w:r>
    </w:p>
    <w:p>
      <w:pPr>
        <w:pStyle w:val="FirstParagraph"/>
      </w:pPr>
      <w:r>
        <w:rPr>
          <w:bCs/>
          <w:b/>
        </w:rPr>
        <w:t xml:space="preserve">Positive:</w:t>
      </w:r>
      <w:r>
        <w:t xml:space="preserve"> </w:t>
      </w:r>
      <w:r>
        <w:t xml:space="preserve">- Prod isolation is enforced at the Azure control-plane level — a NonProd surge cannot starve Prod.</w:t>
      </w:r>
      <w:r>
        <w:t xml:space="preserve"> </w:t>
      </w:r>
      <w:r>
        <w:t xml:space="preserve">- Tier 2 Emergency Capacity Transfer becomes</w:t>
      </w:r>
      <w:r>
        <w:t xml:space="preserve"> </w:t>
      </w:r>
      <w:r>
        <w:rPr>
          <w:bCs/>
          <w:b/>
        </w:rPr>
        <w:t xml:space="preserve">truly quota-neutral</w:t>
      </w:r>
      <w:r>
        <w:t xml:space="preserve"> </w:t>
      </w:r>
      <w:r>
        <w:t xml:space="preserve">(ARM operations only, no Azure approval gate) because NonProd and DR draw from the same group pool (see ADR-003).</w:t>
      </w:r>
      <w:r>
        <w:t xml:space="preserve"> </w:t>
      </w:r>
      <w:r>
        <w:t xml:space="preserve">- Clean chargeback: one Azure billing record per group per region.</w:t>
      </w:r>
      <w:r>
        <w:t xml:space="preserve"> </w:t>
      </w:r>
      <w:r>
        <w:t xml:space="preserve">- The DR floor guarantees a protected reservation NonProd can never erode.</w:t>
      </w:r>
    </w:p>
    <w:p>
      <w:pPr>
        <w:pStyle w:val="BodyText"/>
      </w:pPr>
      <w:r>
        <w:rPr>
          <w:bCs/>
          <w:b/>
        </w:rPr>
        <w:t xml:space="preserve">Negative / trade-offs:</w:t>
      </w:r>
      <w:r>
        <w:t xml:space="preserve"> </w:t>
      </w:r>
      <w:r>
        <w:t xml:space="preserve">- The DR floor is a</w:t>
      </w:r>
      <w:r>
        <w:t xml:space="preserve"> </w:t>
      </w:r>
      <w:r>
        <w:rPr>
          <w:bCs/>
          <w:b/>
        </w:rPr>
        <w:t xml:space="preserve">soft ceiling the engine must maintain continuously</w:t>
      </w:r>
      <w:r>
        <w:t xml:space="preserve"> </w:t>
      </w:r>
      <w:r>
        <w:t xml:space="preserve">— Azure won’t enforce it. A bug could allow NonProd to breach the floor; mitigated by</w:t>
      </w:r>
      <w:r>
        <w:t xml:space="preserve"> </w:t>
      </w:r>
      <w:r>
        <w:rPr>
          <w:rStyle w:val="VerbatimChar"/>
        </w:rPr>
        <w:t xml:space="preserve">DRFloorViolationDetected</w:t>
      </w:r>
      <w:r>
        <w:t xml:space="preserve"> </w:t>
      </w:r>
      <w:r>
        <w:t xml:space="preserve">alerting and operator gates.</w:t>
      </w:r>
      <w:r>
        <w:t xml:space="preserve"> </w:t>
      </w:r>
      <w:r>
        <w:rPr>
          <w:rStyle w:val="VerbatimChar"/>
        </w:rPr>
        <w:t xml:space="preserve">[D6]</w:t>
      </w:r>
      <w:r>
        <w:t xml:space="preserve"> </w:t>
      </w:r>
      <w:r>
        <w:t xml:space="preserve">- Sizing the floor at</w:t>
      </w:r>
      <w:r>
        <w:t xml:space="preserve"> </w:t>
      </w:r>
      <w:r>
        <w:rPr>
          <w:rStyle w:val="VerbatimChar"/>
        </w:rPr>
        <w:t xml:space="preserve">dr_ratio_max</w:t>
      </w:r>
      <w:r>
        <w:t xml:space="preserve"> </w:t>
      </w:r>
      <w:r>
        <w:t xml:space="preserve">over-reserves quota slightly at lower operating ratios — a deliberate reliability-over-cost trade, reviewed quarterly.</w:t>
      </w:r>
      <w:r>
        <w:t xml:space="preserve"> </w:t>
      </w:r>
      <w:r>
        <w:rPr>
          <w:rStyle w:val="VerbatimChar"/>
        </w:rPr>
        <w:t xml:space="preserve">[D7]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Quota_Score</w:t>
      </w:r>
      <w:r>
        <w:t xml:space="preserve"> </w:t>
      </w:r>
      <w:r>
        <w:t xml:space="preserve">and HC-3 must be environment-type-aware (three code paths).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Hard dependency on Azure Quota Groups GA</w:t>
      </w:r>
      <w:r>
        <w:t xml:space="preserve"> </w:t>
      </w:r>
      <w:r>
        <w:t xml:space="preserve">— Blocker B-1 (POC-30); if</w:t>
      </w:r>
      <w:r>
        <w:t xml:space="preserve"> </w:t>
      </w:r>
      <w:r>
        <w:rPr>
          <w:rStyle w:val="VerbatimChar"/>
        </w:rPr>
        <w:t xml:space="preserve">groupQuotas</w:t>
      </w:r>
      <w:r>
        <w:t xml:space="preserve"> </w:t>
      </w:r>
      <w:r>
        <w:t xml:space="preserve">returns 404 in the target tenant/region, escalate to Azure Support.</w:t>
      </w:r>
    </w:p>
    <w:bookmarkEnd w:id="28"/>
    <w:bookmarkStart w:id="29" w:name="alternatives-considered-1"/>
    <w:p>
      <w:pPr>
        <w:pStyle w:val="Heading3"/>
      </w:pPr>
      <w:r>
        <w:t xml:space="preserve">Alternatives Considered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Single shared quota pool</w:t>
            </w:r>
            <w:r>
              <w:t xml:space="preserve"> </w:t>
            </w:r>
            <w:r>
              <w:t xml:space="preserve">(all three CRGs)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Breaks Prod isolation — a NonProd surge can consume Prod’s quota.</w:t>
            </w:r>
            <w:r>
              <w:t xml:space="preserve"> </w:t>
            </w:r>
            <w:r>
              <w:rPr>
                <w:rStyle w:val="VerbatimChar"/>
              </w:rPr>
              <w:t xml:space="preserve">[D6]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Three separate groups</w:t>
            </w:r>
            <w:r>
              <w:t xml:space="preserve"> </w:t>
            </w:r>
            <w:r>
              <w:t xml:space="preserve">(one per CRG)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isolation but makes Tier 3 transfer non-atomic — releasing NonProd quota lands in the wrong group, forcing an Azure quota request mid-crisis (hours of RTO impact).</w:t>
            </w:r>
            <w:r>
              <w:t xml:space="preserve"> </w:t>
            </w:r>
            <w:r>
              <w:rPr>
                <w:rStyle w:val="VerbatimChar"/>
              </w:rPr>
              <w:t xml:space="preserve">[D6]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Per-subscription quota only</w:t>
            </w:r>
            <w:r>
              <w:t xml:space="preserve"> </w:t>
            </w:r>
            <w:r>
              <w:t xml:space="preserve">(legacy)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make emergency transfer quota-neutral without risky cross-subscription coordination.</w:t>
            </w:r>
            <w:r>
              <w:t xml:space="preserve"> </w:t>
            </w:r>
            <w:r>
              <w:rPr>
                <w:rStyle w:val="VerbatimChar"/>
              </w:rPr>
              <w:t xml:space="preserve">[D6]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 floor sized at current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Undersizes the floor if the ratio is later increased, blocking DR expansion.</w:t>
            </w:r>
            <w:r>
              <w:t xml:space="preserve"> </w:t>
            </w:r>
            <w:r>
              <w:rPr>
                <w:rStyle w:val="VerbatimChar"/>
              </w:rPr>
              <w:t xml:space="preserve">[D7]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5" w:name="Xb03910cb3c9a0c0ecb9b813c5fa342521392efc"/>
    <w:p>
      <w:pPr>
        <w:pStyle w:val="Heading2"/>
      </w:pPr>
      <w:r>
        <w:t xml:space="preserve">ADR-003 — Capacity Management during Disaster Recovery (DR)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August 2026</w:t>
      </w:r>
      <w:r>
        <w:br/>
      </w:r>
      <w:r>
        <w:rPr>
          <w:bCs/>
          <w:b/>
        </w:rPr>
        <w:t xml:space="preserve">Deciders:</w:t>
      </w:r>
      <w:r>
        <w:t xml:space="preserve"> </w:t>
      </w:r>
      <w:r>
        <w:t xml:space="preserve">Principal Cloud Architect, DR Owner, Platform Engineering, Security</w:t>
      </w:r>
      <w:r>
        <w:br/>
      </w:r>
      <w:r>
        <w:rPr>
          <w:bCs/>
          <w:b/>
        </w:rPr>
        <w:t xml:space="preserve">Related decisions:</w:t>
      </w:r>
      <w:r>
        <w:t xml:space="preserve"> </w:t>
      </w:r>
      <w:r>
        <w:t xml:space="preserve">D8, D10, D11; HC-1, HC-4, HC-6; G-14, G-15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multi_region_placement_design.md</w:t>
      </w:r>
      <w:r>
        <w:t xml:space="preserve"> </w:t>
      </w:r>
      <w:r>
        <w:t xml:space="preserve">§Emergency Capacity Transfer;</w:t>
      </w:r>
      <w:r>
        <w:t xml:space="preserve"> </w:t>
      </w:r>
      <w:r>
        <w:rPr>
          <w:rStyle w:val="VerbatimChar"/>
        </w:rPr>
        <w:t xml:space="preserve">acrme_production_readiness_review_and_architecture.md</w:t>
      </w:r>
      <w:r>
        <w:t xml:space="preserve"> </w:t>
      </w:r>
      <w:r>
        <w:t xml:space="preserve">§29</w:t>
      </w:r>
    </w:p>
    <w:bookmarkStart w:id="31" w:name="context-2"/>
    <w:p>
      <w:pPr>
        <w:pStyle w:val="Heading3"/>
      </w:pPr>
      <w:r>
        <w:t xml:space="preserve">Context</w:t>
      </w:r>
    </w:p>
    <w:p>
      <w:pPr>
        <w:pStyle w:val="FirstParagraph"/>
      </w:pPr>
      <w:r>
        <w:t xml:space="preserve">When a primary region fails, customers must recover in their DR region within a committed RTO. Pre-positioning a full 1:1 DR reserve is prohibitively expensive, yet under-provisioning risks a failed failover. During a crisis, waiting on Azure quota-increase approvals (hours) is unacceptable. The engine must also strictly separate</w:t>
      </w:r>
      <w:r>
        <w:t xml:space="preserve"> </w:t>
      </w:r>
      <w:r>
        <w:rPr>
          <w:bCs/>
          <w:b/>
        </w:rPr>
        <w:t xml:space="preserve">routine growth</w:t>
      </w:r>
      <w:r>
        <w:t xml:space="preserve"> </w:t>
      </w:r>
      <w:r>
        <w:t xml:space="preserve">from</w:t>
      </w:r>
      <w:r>
        <w:t xml:space="preserve"> </w:t>
      </w:r>
      <w:r>
        <w:rPr>
          <w:bCs/>
          <w:b/>
        </w:rPr>
        <w:t xml:space="preserve">destructive crisis operations</w:t>
      </w:r>
      <w:r>
        <w:t xml:space="preserve"> </w:t>
      </w:r>
      <w:r>
        <w:t xml:space="preserve">so that reconciliation can never accidentally trigger VM disruption.</w:t>
      </w:r>
    </w:p>
    <w:p>
      <w:pPr>
        <w:pStyle w:val="BodyText"/>
      </w:pPr>
      <w:r>
        <w:t xml:space="preserve">Two capabilities are needed:</w:t>
      </w:r>
      <w:r>
        <w:t xml:space="preserve"> </w:t>
      </w:r>
      <w:r>
        <w:t xml:space="preserve">- A way to reuse otherwise-idle NonProd capacity as DR overflow.</w:t>
      </w:r>
      <w:r>
        <w:t xml:space="preserve"> </w:t>
      </w:r>
      <w:r>
        <w:t xml:space="preserve">- A safe, tiered escalation model for expanding DR capacity during a declared event.</w:t>
      </w:r>
    </w:p>
    <w:bookmarkEnd w:id="31"/>
    <w:bookmarkStart w:id="32" w:name="decision-2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Adopt</w:t>
      </w:r>
      <w:r>
        <w:t xml:space="preserve"> </w:t>
      </w:r>
      <w:r>
        <w:rPr>
          <w:bCs/>
          <w:b/>
        </w:rPr>
        <w:t xml:space="preserve">NonProd/DR co-location with a coverage floor</w:t>
      </w:r>
      <w:r>
        <w:t xml:space="preserve">, a</w:t>
      </w:r>
      <w:r>
        <w:t xml:space="preserve"> </w:t>
      </w:r>
      <w:r>
        <w:rPr>
          <w:bCs/>
          <w:b/>
        </w:rPr>
        <w:t xml:space="preserve">formal two-mode engine state</w:t>
      </w:r>
      <w:r>
        <w:t xml:space="preserve">, and a</w:t>
      </w:r>
      <w:r>
        <w:t xml:space="preserve"> </w:t>
      </w:r>
      <w:r>
        <w:rPr>
          <w:bCs/>
          <w:b/>
        </w:rPr>
        <w:t xml:space="preserve">three-tier emergency transfer model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NonProd and DR may share a region (HC-1 constraint removed).</w:t>
      </w:r>
      <w:r>
        <w:t xml:space="preserve"> </w:t>
      </w:r>
      <w:r>
        <w:t xml:space="preserve">This lets the NonProd CRG’s</w:t>
      </w:r>
      <w:r>
        <w:t xml:space="preserve"> </w:t>
      </w:r>
      <w:r>
        <w:rPr>
          <w:rStyle w:val="VerbatimChar"/>
        </w:rPr>
        <w:t xml:space="preserve">effective_free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dr_overflow_reserve</w:t>
      </w:r>
      <w:r>
        <w:t xml:space="preserve">) count as DR overflow headroom.</w:t>
      </w:r>
      <w:r>
        <w:t xml:space="preserve"> </w:t>
      </w:r>
      <w:r>
        <w:rPr>
          <w:rStyle w:val="VerbatimChar"/>
        </w:rPr>
        <w:t xml:space="preserve">[Decided — D8]</w:t>
      </w:r>
    </w:p>
    <w:p>
      <w:pPr>
        <w:numPr>
          <w:ilvl w:val="1"/>
          <w:numId w:val="1009"/>
        </w:numPr>
      </w:pPr>
      <w:r>
        <w:rPr>
          <w:bCs/>
          <w:b/>
        </w:rPr>
        <w:t xml:space="preserve">HC-6 DR_COVERAGE_FLOOR</w:t>
      </w:r>
      <w:r>
        <w:t xml:space="preserve"> </w:t>
      </w:r>
      <w:r>
        <w:t xml:space="preserve">guarantees the combined pool can absorb demand before DR placement is accepted:</w:t>
      </w:r>
    </w:p>
    <w:p>
      <w:pPr>
        <w:numPr>
          <w:ilvl w:val="1"/>
          <w:numId w:val="1000"/>
        </w:numPr>
        <w:pStyle w:val="SourceCode"/>
      </w:pPr>
      <w:r>
        <w:rPr>
          <w:rStyle w:val="VerbatimChar"/>
        </w:rPr>
        <w:t xml:space="preserve">dr_crg_free_slots(R) + nonprod_crg_effective_free(R) ≥ prod_vm_count × dr_ratio_max</w:t>
      </w:r>
    </w:p>
    <w:p>
      <w:pPr>
        <w:numPr>
          <w:ilvl w:val="1"/>
          <w:numId w:val="1009"/>
        </w:numPr>
      </w:pPr>
      <w:r>
        <w:rPr>
          <w:bCs/>
          <w:b/>
        </w:rPr>
        <w:t xml:space="preserve">HC-4 DR_SEPARATION_CLASS</w:t>
      </w:r>
      <w:r>
        <w:t xml:space="preserve"> </w:t>
      </w:r>
      <w:r>
        <w:t xml:space="preserve">still guarantees Prod and DR sit in non-correlated failure domains (HIGH separation for non-paired regions).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Two separate operating systems gated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engine_mode</w:t>
      </w:r>
      <w:r>
        <w:rPr>
          <w:bCs/>
          <w:b/>
        </w:rPr>
        <w:t xml:space="preserve">:</w:t>
      </w:r>
      <w:r>
        <w:t xml:space="preserve"> </w:t>
      </w:r>
      <w:r>
        <w:rPr>
          <w:rStyle w:val="VerbatimChar"/>
        </w:rPr>
        <w:t xml:space="preserve">[Decided — D10]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  <w:bCs/>
          <w:b/>
        </w:rPr>
        <w:t xml:space="preserve">STEADY_STATE</w:t>
      </w:r>
      <w:r>
        <w:t xml:space="preserve"> </w:t>
      </w:r>
      <w:r>
        <w:t xml:space="preserve">— organic growth via the reconciliation loop and</w:t>
      </w:r>
      <w:r>
        <w:t xml:space="preserve"> </w:t>
      </w:r>
      <w:r>
        <w:rPr>
          <w:rStyle w:val="VerbatimChar"/>
        </w:rPr>
        <w:t xml:space="preserve">CapacityIncreaseRequest</w:t>
      </w:r>
      <w:r>
        <w:t xml:space="preserve"> </w:t>
      </w:r>
      <w:r>
        <w:t xml:space="preserve">(ADR-004). Emergency Transfer is</w:t>
      </w:r>
      <w:r>
        <w:t xml:space="preserve"> </w:t>
      </w:r>
      <w:r>
        <w:rPr>
          <w:bCs/>
          <w:b/>
        </w:rPr>
        <w:t xml:space="preserve">rejected</w:t>
      </w:r>
      <w:r>
        <w:t xml:space="preserve"> </w:t>
      </w:r>
      <w:r>
        <w:t xml:space="preserve">in this mode.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  <w:bCs/>
          <w:b/>
        </w:rPr>
        <w:t xml:space="preserve">DR_EVENT_ACTIVE</w:t>
      </w:r>
      <w:r>
        <w:t xml:space="preserve"> </w:t>
      </w:r>
      <w:r>
        <w:t xml:space="preserve">— crisis operations only. The auto-increase trigger is</w:t>
      </w:r>
      <w:r>
        <w:t xml:space="preserve"> </w:t>
      </w:r>
      <w:r>
        <w:rPr>
          <w:bCs/>
          <w:b/>
        </w:rPr>
        <w:t xml:space="preserve">suppressed</w:t>
      </w:r>
      <w:r>
        <w:t xml:space="preserve"> </w:t>
      </w:r>
      <w:r>
        <w:t xml:space="preserve">in this mode. Mode transitions are operator-gated with dual approval (state machine</w:t>
      </w:r>
      <w:r>
        <w:t xml:space="preserve"> </w:t>
      </w:r>
      <w:r>
        <w:rPr>
          <w:rStyle w:val="VerbatimChar"/>
        </w:rPr>
        <w:t xml:space="preserve">EngineModeState</w:t>
      </w:r>
      <w:r>
        <w:t xml:space="preserve">, PRR §29), never automatic.</w:t>
      </w:r>
      <w:r>
        <w:t xml:space="preserve"> </w:t>
      </w:r>
      <w:r>
        <w:rPr>
          <w:rStyle w:val="VerbatimChar"/>
        </w:rPr>
        <w:t xml:space="preserve">[Decided — D10]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Three-tier Emergency Capacity Transfer escalation:</w:t>
      </w:r>
      <w:r>
        <w:t xml:space="preserve"> </w:t>
      </w:r>
      <w:r>
        <w:rPr>
          <w:rStyle w:val="VerbatimChar"/>
        </w:rPr>
        <w:t xml:space="preserve">[Decided — D11]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Tier 1 — DirectExpansion (automated):</w:t>
      </w:r>
      <w:r>
        <w:t xml:space="preserve"> </w:t>
      </w:r>
      <w:r>
        <w:t xml:space="preserve">expand DR CR quantity using free headroom in the DR group. No approval beyond DR-event declaration.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Tier 2 — QuotaNeutralTransfer (policy-gated):</w:t>
      </w:r>
      <w:r>
        <w:t xml:space="preserve"> </w:t>
      </w:r>
      <w:r>
        <w:t xml:space="preserve">reduce a NonProd CR (releasing quota to the shared NonProd+DR group pool) and expand the DR CR from that same pool. Net group headroom change ≈ 0 —</w:t>
      </w:r>
      <w:r>
        <w:t xml:space="preserve"> </w:t>
      </w:r>
      <w:r>
        <w:rPr>
          <w:bCs/>
          <w:b/>
        </w:rPr>
        <w:t xml:space="preserve">quota-neutral, no VM execution-state change</w:t>
      </w:r>
      <w:r>
        <w:t xml:space="preserve"> </w:t>
      </w:r>
      <w:r>
        <w:t xml:space="preserve">(only NonProd SLA is removed). This is possible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because of the two-group model (ADR-002).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Tier 3 — DestructiveTransfer (dual approval + elevated RBAC):</w:t>
      </w:r>
      <w:r>
        <w:t xml:space="preserve"> </w:t>
      </w:r>
      <w:r>
        <w:t xml:space="preserve">the only tier that modifies VM-to-CRG associations. The operator supplies an explicit</w:t>
      </w:r>
      <w:r>
        <w:t xml:space="preserve"> </w:t>
      </w:r>
      <w:r>
        <w:rPr>
          <w:rStyle w:val="VerbatimChar"/>
        </w:rPr>
        <w:t xml:space="preserve">vm_disassociation_list</w:t>
      </w:r>
      <w:r>
        <w:t xml:space="preserve"> </w:t>
      </w:r>
      <w:r>
        <w:t xml:space="preserve">(no automated VM selection in Phase 1); executed via 6-step Path B with Path A fallback per VM. VMSS entries are rejected in Phase 1.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Quota-neutral math (Tier 2):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NonProd CR reduction  → releases quota to shared NonProd+DR GROUP pool</w:t>
      </w:r>
      <w:r>
        <w:br/>
      </w:r>
      <w:r>
        <w:rPr>
          <w:rStyle w:val="VerbatimChar"/>
        </w:rPr>
        <w:t xml:space="preserve">DR CR expansion       → consumes from the SAME pool</w:t>
      </w:r>
      <w:r>
        <w:br/>
      </w:r>
      <w:r>
        <w:rPr>
          <w:rStyle w:val="VerbatimChar"/>
        </w:rPr>
        <w:t xml:space="preserve">⇒ net group headroom change ≈ 0  (ARM operations only; no Azure quota approval)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DR reserve sizing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30–40%</w:t>
      </w:r>
      <w:r>
        <w:t xml:space="preserve"> </w:t>
      </w:r>
      <w:r>
        <w:t xml:space="preserve">of Prod (</w:t>
      </w:r>
      <w:r>
        <w:rPr>
          <w:rStyle w:val="VerbatimChar"/>
        </w:rPr>
        <w:t xml:space="preserve">dr_ratio_min=0.30</w:t>
      </w:r>
      <w:r>
        <w:t xml:space="preserve">,</w:t>
      </w:r>
      <w:r>
        <w:t xml:space="preserve"> </w:t>
      </w:r>
      <w:r>
        <w:rPr>
          <w:rStyle w:val="VerbatimChar"/>
        </w:rPr>
        <w:t xml:space="preserve">dr_ratio_max=0.40</w:t>
      </w:r>
      <w:r>
        <w:t xml:space="preserve">,</w:t>
      </w:r>
      <w:r>
        <w:t xml:space="preserve"> </w:t>
      </w:r>
      <w:r>
        <w:rPr>
          <w:rStyle w:val="VerbatimChar"/>
        </w:rPr>
        <w:t xml:space="preserve">dr_ratio_target=0.35</w:t>
      </w:r>
      <w:r>
        <w:t xml:space="preserve">); the protected floor uses</w:t>
      </w:r>
      <w:r>
        <w:t xml:space="preserve"> </w:t>
      </w:r>
      <w:r>
        <w:rPr>
          <w:rStyle w:val="VerbatimChar"/>
        </w:rPr>
        <w:t xml:space="preserve">dr_ratio_max</w:t>
      </w:r>
      <w:r>
        <w:t xml:space="preserve"> </w:t>
      </w:r>
      <w:r>
        <w:t xml:space="preserve">(ADR-002/D7).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Phase-1 safety posture:</w:t>
      </w:r>
      <w:r>
        <w:t xml:space="preserve"> </w:t>
      </w:r>
      <w:r>
        <w:t xml:space="preserve">Tier 2 is approval-gated;</w:t>
      </w:r>
      <w:r>
        <w:t xml:space="preserve"> </w:t>
      </w:r>
      <w:r>
        <w:rPr>
          <w:bCs/>
          <w:b/>
        </w:rPr>
        <w:t xml:space="preserve">Tier 3 is blocked</w:t>
      </w:r>
      <w:r>
        <w:t xml:space="preserve"> </w:t>
      </w:r>
      <w:r>
        <w:t xml:space="preserve">pending the G-14 consumer-credential model and G-15 engine-mode state machine. No invented SLA — propagation/approval times are measured and reported as unknown until observed.</w:t>
      </w:r>
    </w:p>
    <w:bookmarkEnd w:id="32"/>
    <w:bookmarkStart w:id="33" w:name="consequences-2"/>
    <w:p>
      <w:pPr>
        <w:pStyle w:val="Heading3"/>
      </w:pPr>
      <w:r>
        <w:t xml:space="preserve">Consequences</w:t>
      </w:r>
    </w:p>
    <w:p>
      <w:pPr>
        <w:pStyle w:val="FirstParagraph"/>
      </w:pPr>
      <w:r>
        <w:rPr>
          <w:bCs/>
          <w:b/>
        </w:rPr>
        <w:t xml:space="preserve">Positive:</w:t>
      </w:r>
      <w:r>
        <w:t xml:space="preserve"> </w:t>
      </w:r>
      <w:r>
        <w:t xml:space="preserve">- Idle NonProd capacity doubles as DR overflow, cutting the cost of pre-positioned DR reserve while HC-6 guarantees sufficiency.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engine_mode</w:t>
      </w:r>
      <w:r>
        <w:t xml:space="preserve"> </w:t>
      </w:r>
      <w:r>
        <w:t xml:space="preserve">gate makes it structurally impossible for routine reconciliation to trigger destructive VM operations.</w:t>
      </w:r>
      <w:r>
        <w:t xml:space="preserve"> </w:t>
      </w:r>
      <w:r>
        <w:t xml:space="preserve">- Tier 2 delivers meaningful crisis capacity</w:t>
      </w:r>
      <w:r>
        <w:t xml:space="preserve"> </w:t>
      </w:r>
      <w:r>
        <w:rPr>
          <w:bCs/>
          <w:b/>
        </w:rPr>
        <w:t xml:space="preserve">with zero VM disruption and zero Azure quota wait</w:t>
      </w:r>
      <w:r>
        <w:t xml:space="preserve"> </w:t>
      </w:r>
      <w:r>
        <w:t xml:space="preserve">— the common escalation path avoids Tier 3 entirely.</w:t>
      </w:r>
      <w:r>
        <w:t xml:space="preserve"> </w:t>
      </w:r>
      <w:r>
        <w:t xml:space="preserve">- Every operation is tagged with its operating mode for a clean audit trail.</w:t>
      </w:r>
    </w:p>
    <w:p>
      <w:pPr>
        <w:pStyle w:val="BodyText"/>
      </w:pPr>
      <w:r>
        <w:rPr>
          <w:bCs/>
          <w:b/>
        </w:rPr>
        <w:t xml:space="preserve">Negative / trade-offs:</w:t>
      </w:r>
      <w:r>
        <w:t xml:space="preserve"> </w:t>
      </w:r>
      <w:r>
        <w:t xml:space="preserve">- Co-location adds risk that NonProd over-consumption erodes DR overflow; mitigated by HC-6,</w:t>
      </w:r>
      <w:r>
        <w:t xml:space="preserve"> </w:t>
      </w:r>
      <w:r>
        <w:rPr>
          <w:rStyle w:val="VerbatimChar"/>
        </w:rPr>
        <w:t xml:space="preserve">dr_overflow_reserve</w:t>
      </w:r>
      <w:r>
        <w:t xml:space="preserve">, and floor alerting.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engine_mode</w:t>
      </w:r>
      <w:r>
        <w:t xml:space="preserve"> </w:t>
      </w:r>
      <w:r>
        <w:t xml:space="preserve">must be a formal Cosmos DB state propagated to every reconciliation cycle, with operator-gated, dual-approval transitions.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Tier 3 is blocked</w:t>
      </w:r>
      <w:r>
        <w:t xml:space="preserve"> </w:t>
      </w:r>
      <w:r>
        <w:t xml:space="preserve">until G-14 (Managed Identity vs cross-tenant SP credential model) and G-15 (state machine) are resolved — a known Phase-1 limitation.</w:t>
      </w:r>
      <w:r>
        <w:t xml:space="preserve"> </w:t>
      </w:r>
      <w:r>
        <w:t xml:space="preserve">- Tier 3 requires a rare, audited break-glass role (</w:t>
      </w:r>
      <w:r>
        <w:rPr>
          <w:rStyle w:val="VerbatimChar"/>
        </w:rPr>
        <w:t xml:space="preserve">ACRME.SuperAdmin</w:t>
      </w:r>
      <w:r>
        <w:t xml:space="preserve">) for single-approver override.</w:t>
      </w:r>
      <w:r>
        <w:t xml:space="preserve"> </w:t>
      </w:r>
      <w:r>
        <w:t xml:space="preserve">- Requires per-CRG-type</w:t>
      </w:r>
      <w:r>
        <w:t xml:space="preserve"> </w:t>
      </w:r>
      <w:r>
        <w:rPr>
          <w:rStyle w:val="VerbatimChar"/>
        </w:rPr>
        <w:t xml:space="preserve">RegionalSnapshot</w:t>
      </w:r>
      <w:r>
        <w:t xml:space="preserve"> </w:t>
      </w:r>
      <w:r>
        <w:t xml:space="preserve">fields to evaluate HC-6.</w:t>
      </w:r>
    </w:p>
    <w:bookmarkEnd w:id="33"/>
    <w:bookmarkStart w:id="34" w:name="alternatives-considered-2"/>
    <w:p>
      <w:pPr>
        <w:pStyle w:val="Heading3"/>
      </w:pPr>
      <w:r>
        <w:t xml:space="preserve">Alternatives Considered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DR_region ≠ NonProd_region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Prevents using NonProd as DR overflow — the whole point of co-location.</w:t>
            </w:r>
            <w:r>
              <w:t xml:space="preserve"> </w:t>
            </w:r>
            <w:r>
              <w:rPr>
                <w:rStyle w:val="VerbatimChar"/>
              </w:rPr>
              <w:t xml:space="preserve">[D8]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Remove separation with no compensating HC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Risks NonProd over-consumption leaving no DR headroom.</w:t>
            </w:r>
            <w:r>
              <w:t xml:space="preserve"> </w:t>
            </w:r>
            <w:r>
              <w:rPr>
                <w:rStyle w:val="VerbatimChar"/>
              </w:rPr>
              <w:t xml:space="preserve">[D8]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Unified capacity engine with mode 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flags create complex conditionals and risk triggering VM disassociation during routine reconciliation.</w:t>
            </w:r>
            <w:r>
              <w:t xml:space="preserve"> </w:t>
            </w:r>
            <w:r>
              <w:rPr>
                <w:rStyle w:val="VerbatimChar"/>
              </w:rPr>
              <w:t xml:space="preserve">[D10]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Emergency transfer as an extension of auto-increase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Conflates policy-driven growth with operator-gated crisis response; could run destructive ops without a DR declaration.</w:t>
            </w:r>
            <w:r>
              <w:t xml:space="preserve"> </w:t>
            </w:r>
            <w:r>
              <w:rPr>
                <w:rStyle w:val="VerbatimChar"/>
              </w:rPr>
              <w:t xml:space="preserve">[D10]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Two tiers only (automated + destructive)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Loses the quota-neutral Tier 2 — the critical low-risk intermediate that avoids Tier 3 in most crises.</w:t>
            </w:r>
            <w:r>
              <w:t xml:space="preserve"> </w:t>
            </w:r>
            <w:r>
              <w:rPr>
                <w:rStyle w:val="VerbatimChar"/>
              </w:rPr>
              <w:t xml:space="preserve">[D11]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Four tiers (separate VMSS tier)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VMSS disassociation deferred as a Phase-1 limitation rather than a distinct tier.</w:t>
            </w:r>
            <w:r>
              <w:t xml:space="preserve"> </w:t>
            </w:r>
            <w:r>
              <w:rPr>
                <w:rStyle w:val="VerbatimChar"/>
              </w:rPr>
              <w:t xml:space="preserve">[D11]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40" w:name="X26bb2dd1e6ed50cfaa8bfd7d8d9521ec21700a3"/>
    <w:p>
      <w:pPr>
        <w:pStyle w:val="Heading2"/>
      </w:pPr>
      <w:r>
        <w:t xml:space="preserve">ADR-004 — Forecast and Increase of Capacity and Quota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August 2026</w:t>
      </w:r>
      <w:r>
        <w:br/>
      </w:r>
      <w:r>
        <w:rPr>
          <w:bCs/>
          <w:b/>
        </w:rPr>
        <w:t xml:space="preserve">Deciders:</w:t>
      </w:r>
      <w:r>
        <w:t xml:space="preserve"> </w:t>
      </w:r>
      <w:r>
        <w:t xml:space="preserve">Principal Cloud Architect, Platform Engineering, FinOps, Capacity Planning</w:t>
      </w:r>
      <w:r>
        <w:br/>
      </w:r>
      <w:r>
        <w:rPr>
          <w:bCs/>
          <w:b/>
        </w:rPr>
        <w:t xml:space="preserve">Related decisions:</w:t>
      </w:r>
      <w:r>
        <w:t xml:space="preserve"> </w:t>
      </w:r>
      <w:r>
        <w:t xml:space="preserve">D10; FR-7, FR-4.4; G-24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azure_cr_management_engine_design.md</w:t>
      </w:r>
      <w:r>
        <w:t xml:space="preserve"> </w:t>
      </w:r>
      <w:r>
        <w:t xml:space="preserve">FR-7;</w:t>
      </w:r>
      <w:r>
        <w:t xml:space="preserve"> </w:t>
      </w:r>
      <w:r>
        <w:rPr>
          <w:rStyle w:val="VerbatimChar"/>
        </w:rPr>
        <w:t xml:space="preserve">acrme_production_readiness_review_and_architecture.md</w:t>
      </w:r>
      <w:r>
        <w:t xml:space="preserve"> </w:t>
      </w:r>
      <w:r>
        <w:t xml:space="preserve">§Forecast/§30</w:t>
      </w:r>
    </w:p>
    <w:bookmarkStart w:id="36" w:name="context-3"/>
    <w:p>
      <w:pPr>
        <w:pStyle w:val="Heading3"/>
      </w:pPr>
      <w:r>
        <w:t xml:space="preserve">Context</w:t>
      </w:r>
    </w:p>
    <w:p>
      <w:pPr>
        <w:pStyle w:val="FirstParagraph"/>
      </w:pPr>
      <w:r>
        <w:t xml:space="preserve">Reserved capacity must grow ahead of demand — but Azure quota increases take time to approve, and over-reservation wastes money. The engine needs to forecast demand, recommend right-sized capacity, and drive quota/CR increases with enough lead time,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t xml:space="preserve">ever autonomously performing material or destructive changes in Phase 1. This growth path must be architecturally distinct from crisis operations (ADR-003).</w:t>
      </w:r>
    </w:p>
    <w:bookmarkEnd w:id="36"/>
    <w:bookmarkStart w:id="37" w:name="decision-3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Adopt</w:t>
      </w:r>
      <w:r>
        <w:t xml:space="preserve"> </w:t>
      </w:r>
      <w:r>
        <w:rPr>
          <w:bCs/>
          <w:b/>
        </w:rPr>
        <w:t xml:space="preserve">forecast-driven, approval-gated capacity growth</w:t>
      </w:r>
      <w:r>
        <w:t xml:space="preserve"> </w:t>
      </w:r>
      <w:r>
        <w:t xml:space="preserve">operating exclusively in</w:t>
      </w:r>
      <w:r>
        <w:t xml:space="preserve"> </w:t>
      </w:r>
      <w:r>
        <w:rPr>
          <w:rStyle w:val="VerbatimChar"/>
        </w:rPr>
        <w:t xml:space="preserve">STEADY_STATE</w:t>
      </w:r>
      <w:r>
        <w:t xml:space="preserve">: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Forecasting</w:t>
      </w:r>
      <w:r>
        <w:t xml:space="preserve"> </w:t>
      </w:r>
      <w:r>
        <w:t xml:space="preserve">analyses historical CR allocation and projects demand over a configurable window (default 30/60/90 days), exposing raw time series and derived recommendations via API.</w:t>
      </w:r>
      <w:r>
        <w:t xml:space="preserve"> </w:t>
      </w:r>
      <w:r>
        <w:rPr>
          <w:rStyle w:val="VerbatimChar"/>
        </w:rPr>
        <w:t xml:space="preserve">[Documented — FR-7.1/7.6]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Capacity sizing formula:</w:t>
      </w:r>
      <w:r>
        <w:t xml:space="preserve"> </w:t>
      </w:r>
      <w:r>
        <w:rPr>
          <w:rStyle w:val="VerbatimChar"/>
        </w:rPr>
        <w:t xml:space="preserve">[Documented — FR-7.3]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Forecast_Quantity = ceil(Forecast_Peak × (1 + Growth_Buffer) + DR_Buffer)</w:t>
      </w:r>
    </w:p>
    <w:p>
      <w:pPr>
        <w:numPr>
          <w:ilvl w:val="0"/>
          <w:numId w:val="1000"/>
        </w:numPr>
      </w:pPr>
      <w:r>
        <w:t xml:space="preserve">Increase when forecast demand exceeds current reserved quantity within the window; right-size down when demand is consistently below current, honouring a configurable buffer.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Lead-time alerting:</w:t>
      </w:r>
      <w:r>
        <w:t xml:space="preserve"> </w:t>
      </w:r>
      <w:r>
        <w:t xml:space="preserve">when forecast demand approaches a quota limit (default</w:t>
      </w:r>
      <w:r>
        <w:t xml:space="preserve"> </w:t>
      </w:r>
      <w:r>
        <w:rPr>
          <w:bCs/>
          <w:b/>
        </w:rPr>
        <w:t xml:space="preserve">80%</w:t>
      </w:r>
      <w:r>
        <w:t xml:space="preserve">), emit</w:t>
      </w:r>
      <w:r>
        <w:t xml:space="preserve"> </w:t>
      </w:r>
      <w:r>
        <w:rPr>
          <w:rStyle w:val="VerbatimChar"/>
        </w:rPr>
        <w:t xml:space="preserve">ForecastApproachingQuotaLimit</w:t>
      </w:r>
      <w:r>
        <w:t xml:space="preserve"> </w:t>
      </w:r>
      <w:r>
        <w:t xml:space="preserve">with a</w:t>
      </w:r>
      <w:r>
        <w:t xml:space="preserve"> </w:t>
      </w:r>
      <w:r>
        <w:rPr>
          <w:bCs/>
          <w:b/>
        </w:rPr>
        <w:t xml:space="preserve">14-day lead time</w:t>
      </w:r>
      <w:r>
        <w:t xml:space="preserve"> </w:t>
      </w:r>
      <w:r>
        <w:t xml:space="preserve">— enough for quota-increase processing.</w:t>
      </w:r>
      <w:r>
        <w:t xml:space="preserve"> </w:t>
      </w:r>
      <w:r>
        <w:rPr>
          <w:rStyle w:val="VerbatimChar"/>
        </w:rPr>
        <w:t xml:space="preserve">[Documented — FR-7.4]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Auto-increase is approval-gated in Phase 1.</w:t>
      </w:r>
      <w:r>
        <w:t xml:space="preserve"> </w:t>
      </w:r>
      <w:r>
        <w:t xml:space="preserve">The trigger uses utilisation thresholds with</w:t>
      </w:r>
      <w:r>
        <w:t xml:space="preserve"> </w:t>
      </w:r>
      <w:r>
        <w:rPr>
          <w:bCs/>
          <w:b/>
        </w:rPr>
        <w:t xml:space="preserve">debounce/cooldown</w:t>
      </w:r>
      <w:r>
        <w:t xml:space="preserve"> </w:t>
      </w:r>
      <w:r>
        <w:t xml:space="preserve">to avoid thrashing; a</w:t>
      </w:r>
      <w:r>
        <w:t xml:space="preserve"> </w:t>
      </w:r>
      <w:r>
        <w:rPr>
          <w:rStyle w:val="VerbatimChar"/>
        </w:rPr>
        <w:t xml:space="preserve">CapacityIncreaseRequest</w:t>
      </w:r>
      <w:r>
        <w:t xml:space="preserve"> </w:t>
      </w:r>
      <w:r>
        <w:t xml:space="preserve">entity carries the full lifecycle (create → approve → execute → retry → cancel), and Phase 1 requires</w:t>
      </w:r>
      <w:r>
        <w:t xml:space="preserve"> </w:t>
      </w:r>
      <w:r>
        <w:rPr>
          <w:bCs/>
          <w:b/>
        </w:rPr>
        <w:t xml:space="preserve">operator approval</w:t>
      </w:r>
      <w:r>
        <w:t xml:space="preserve"> </w:t>
      </w:r>
      <w:r>
        <w:t xml:space="preserve">before execution.</w:t>
      </w:r>
      <w:r>
        <w:t xml:space="preserve"> </w:t>
      </w:r>
      <w:r>
        <w:rPr>
          <w:rStyle w:val="VerbatimChar"/>
        </w:rPr>
        <w:t xml:space="preserve">[Decided — D10; Derived — §30, G-24]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Quota increases</w:t>
      </w:r>
      <w:r>
        <w:t xml:space="preserve"> </w:t>
      </w:r>
      <w:r>
        <w:t xml:space="preserve">are initiated via the Azure Support REST API (</w:t>
      </w:r>
      <w:r>
        <w:rPr>
          <w:rStyle w:val="VerbatimChar"/>
        </w:rPr>
        <w:t xml:space="preserve">Microsoft.Capacity/.../serviceLimits</w:t>
      </w:r>
      <w:r>
        <w:t xml:space="preserve">) — at group level where Quota Groups apply (ADR-002) — subject to the same operator-approval gate.</w:t>
      </w:r>
      <w:r>
        <w:t xml:space="preserve"> </w:t>
      </w:r>
      <w:r>
        <w:rPr>
          <w:rStyle w:val="VerbatimChar"/>
        </w:rPr>
        <w:t xml:space="preserve">[Documented — FR-4.4]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Mode isolation.</w:t>
      </w:r>
      <w:r>
        <w:t xml:space="preserve"> </w:t>
      </w:r>
      <w:r>
        <w:t xml:space="preserve">Auto-increase runs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STEADY_STATE</w:t>
      </w:r>
      <w:r>
        <w:t xml:space="preserve"> </w:t>
      </w:r>
      <w:r>
        <w:t xml:space="preserve">and is</w:t>
      </w:r>
      <w:r>
        <w:t xml:space="preserve"> </w:t>
      </w:r>
      <w:r>
        <w:rPr>
          <w:bCs/>
          <w:b/>
        </w:rPr>
        <w:t xml:space="preserve">suppressed during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DR_EVENT_ACTIVE</w:t>
      </w:r>
      <w:r>
        <w:t xml:space="preserve">, keeping organic growth strictly separate from crisis transfer (ADR-003).</w:t>
      </w:r>
      <w:r>
        <w:t xml:space="preserve"> </w:t>
      </w:r>
      <w:r>
        <w:rPr>
          <w:rStyle w:val="VerbatimChar"/>
        </w:rPr>
        <w:t xml:space="preserve">[Decided — D10]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Non-destructive guarantee.</w:t>
      </w:r>
      <w:r>
        <w:t xml:space="preserve"> </w:t>
      </w:r>
      <w:r>
        <w:t xml:space="preserve">Increases only ever raise CR quantity or request more quota; guarded reduction (right-sizing) never drops a CR below its allocated count (platform floor, FR-1.6) and is itself approval-gated.</w:t>
      </w:r>
    </w:p>
    <w:bookmarkEnd w:id="37"/>
    <w:bookmarkStart w:id="38" w:name="consequences-3"/>
    <w:p>
      <w:pPr>
        <w:pStyle w:val="Heading3"/>
      </w:pPr>
      <w:r>
        <w:t xml:space="preserve">Consequences</w:t>
      </w:r>
    </w:p>
    <w:p>
      <w:pPr>
        <w:pStyle w:val="FirstParagraph"/>
      </w:pPr>
      <w:r>
        <w:rPr>
          <w:bCs/>
          <w:b/>
        </w:rPr>
        <w:t xml:space="preserve">Positive:</w:t>
      </w:r>
      <w:r>
        <w:t xml:space="preserve"> </w:t>
      </w:r>
      <w:r>
        <w:t xml:space="preserve">- Capacity grows ahead of demand with sufficient lead time for quota approvals — reducing capacity-exhaustion incidents.</w:t>
      </w:r>
      <w:r>
        <w:t xml:space="preserve"> </w:t>
      </w:r>
      <w:r>
        <w:t xml:space="preserve">- The debounce/cooldown and approval gate prevent runaway or thrashing increases.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CapacityIncreaseRequest</w:t>
      </w:r>
      <w:r>
        <w:t xml:space="preserve"> </w:t>
      </w:r>
      <w:r>
        <w:t xml:space="preserve">gives a fully auditable, retryable, cancellable growth workflow.</w:t>
      </w:r>
      <w:r>
        <w:t xml:space="preserve"> </w:t>
      </w:r>
      <w:r>
        <w:t xml:space="preserve">- Right-sizing recovers cost from over-reserved CRs without risking allocated VMs.</w:t>
      </w:r>
    </w:p>
    <w:p>
      <w:pPr>
        <w:pStyle w:val="BodyText"/>
      </w:pPr>
      <w:r>
        <w:rPr>
          <w:bCs/>
          <w:b/>
        </w:rPr>
        <w:t xml:space="preserve">Negative / trade-offs:</w:t>
      </w:r>
      <w:r>
        <w:t xml:space="preserve"> </w:t>
      </w:r>
      <w:r>
        <w:t xml:space="preserve">- Approval-gated in Phase 1 means growth is not instantaneous — acceptable because Emergency Transfer (ADR-003) covers crisis speed.</w:t>
      </w:r>
      <w:r>
        <w:t xml:space="preserve"> </w:t>
      </w:r>
      <w:r>
        <w:t xml:space="preserve">- Forecast accuracy depends on history; workload-tagged per-workload forecasts (FR-7.5) are only partially covered (gap G-16).</w:t>
      </w:r>
      <w:r>
        <w:t xml:space="preserve"> </w:t>
      </w:r>
      <w:r>
        <w:t xml:space="preserve">- Threshold, buffer, and cooldown values are empirical and require tuning during the pilot; SLA/propagation times are measured, not invented.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CapacityIncreaseRequest</w:t>
      </w:r>
      <w:r>
        <w:t xml:space="preserve"> </w:t>
      </w:r>
      <w:r>
        <w:t xml:space="preserve">lifecycle (entity, approval, retry, cancellation) is still a backlog item (G-24) requiring an end-to-end approved-increase test.</w:t>
      </w:r>
    </w:p>
    <w:bookmarkEnd w:id="38"/>
    <w:bookmarkStart w:id="39" w:name="alternatives-considered-3"/>
    <w:p>
      <w:pPr>
        <w:pStyle w:val="Heading3"/>
      </w:pPr>
      <w:r>
        <w:t xml:space="preserve">Alternatives Considered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Fully autonomous auto-increase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human control over material cost/quota changes; unacceptable in Phase 1.</w:t>
            </w:r>
            <w:r>
              <w:t xml:space="preserve"> </w:t>
            </w:r>
            <w:r>
              <w:rPr>
                <w:rStyle w:val="VerbatimChar"/>
              </w:rPr>
              <w:t xml:space="preserve">[§30]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Auto-increase escalating into emergency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Conflates growth with crisis response; could run emergency ops without a DR declaration.</w:t>
            </w:r>
            <w:r>
              <w:t xml:space="preserve"> </w:t>
            </w:r>
            <w:r>
              <w:rPr>
                <w:rStyle w:val="VerbatimChar"/>
              </w:rPr>
              <w:t xml:space="preserve">[D10]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Fixed-timer cooldown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Less adaptive than recovering the budget incrementally using observed success rates.</w:t>
            </w:r>
            <w:r>
              <w:t xml:space="preserve"> </w:t>
            </w:r>
            <w:r>
              <w:rPr>
                <w:rStyle w:val="VerbatimChar"/>
              </w:rPr>
              <w:t xml:space="preserve">[PRR §—]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lead-time alerting (react on exhaustion)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approvals take too long; reacting at exhaustion guarantees deployment failures.</w:t>
            </w:r>
            <w:r>
              <w:t xml:space="preserve"> </w:t>
            </w:r>
            <w:r>
              <w:rPr>
                <w:rStyle w:val="VerbatimChar"/>
              </w:rPr>
              <w:t xml:space="preserve">[FR-7.4]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Sizing without a DR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Under-reserves relative to DR obligations; the formula includes an explicit</w:t>
            </w:r>
            <w:r>
              <w:t xml:space="preserve"> </w:t>
            </w:r>
            <w:r>
              <w:rPr>
                <w:rStyle w:val="VerbatimChar"/>
              </w:rPr>
              <w:t xml:space="preserve">DR_Buffer</w:t>
            </w:r>
            <w:r>
              <w:t xml:space="preserve"> </w:t>
            </w:r>
            <w:r>
              <w:t xml:space="preserve">term.</w:t>
            </w:r>
            <w:r>
              <w:t xml:space="preserve"> </w:t>
            </w:r>
            <w:r>
              <w:rPr>
                <w:rStyle w:val="VerbatimChar"/>
              </w:rPr>
              <w:t xml:space="preserve">[FR-7.3]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appendix-a-decision-log-cross-reference"/>
    <w:p>
      <w:pPr>
        <w:pStyle w:val="Heading2"/>
      </w:pPr>
      <w:r>
        <w:t xml:space="preserve">Appendix A — Decision Log Cross-Reference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Gaps/Blockers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ADR-001 Region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D1, D4, D5, D8, D9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HC-1, HC-4, HC-5, HC-8, HC-9, HC-10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G-7 (worked examples)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ADR-002 Quota &amp;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D6, D7, D9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HC-2, HC-3, HC-7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B-1 (Quota Groups GA, POC-30)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ADR-003 Capacity during 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D8, D10, D11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HC-1, HC-4, HC-6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G-14 (credential), G-15 (engine mode), B-2 (POC-31)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ADR-004 Forecast &amp; Increase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(uses HC-3 at execution)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G-16 (workload tags), G-24 (increase entity)</w:t>
            </w:r>
          </w:p>
        </w:tc>
      </w:tr>
    </w:tbl>
    <w:bookmarkEnd w:id="41"/>
    <w:bookmarkStart w:id="42" w:name="appendix-b-status-legend"/>
    <w:p>
      <w:pPr>
        <w:pStyle w:val="Heading2"/>
      </w:pPr>
      <w:r>
        <w:t xml:space="preserve">Appendix B — Status Legend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Proposed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discussion; not yet ratified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Ratified and in force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Deprecated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longer recommended but not yet replaced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Replaced by a later ADR (referenced explicitly)</w:t>
            </w:r>
          </w:p>
        </w:tc>
      </w:tr>
    </w:tbl>
    <w:bookmarkEnd w:id="42"/>
    <w:bookmarkStart w:id="43" w:name="appendix-c-evidence-tag-taxonomy"/>
    <w:p>
      <w:pPr>
        <w:pStyle w:val="Heading2"/>
      </w:pPr>
      <w:r>
        <w:t xml:space="preserve">Appendix C — Evidence Tag Taxonomy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[Documented]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Traceable to Azure platform documentation or a formal FR/NFR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 design choice in the Decision Log (D1–D11)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[Derived]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Logical consequence of a documented constraint or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[Assumed]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Architectural judgement pending POC validation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Next Review:</w:t>
      </w:r>
      <w:r>
        <w:t xml:space="preserve"> </w:t>
      </w:r>
      <w:r>
        <w:t xml:space="preserve">After POC-30 (Quota Groups GA) and POC-31 (quota release latency), and on resolution of G-14 / G-15.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2026-08-27T06:02:20Z</dcterms:created>
  <dcterms:modified xsi:type="dcterms:W3CDTF">2026-08-27T06:02:20Z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