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2.3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7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 - supersedes ADR-001 v2.2 region-selection content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v2.3.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v2.3 ADR updates the accepted region-selection decision to match the consolidated requirements baseline — notably the five-geography region model with per-geography distribution models and mandatory two-region CVAL/DR co-location (PLC-010a).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X679e14fc38cf659b9d9ce9d18b2f41af0b5ffa1"/>
    <w:p>
      <w:pPr>
        <w:pStyle w:val="Heading1"/>
      </w:pPr>
      <w:r>
        <w:t xml:space="preserve">ADR-001 - Region Selection and Customer Placement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DR Owner, Product Platform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REG-001..REG-005, PLC-001..PLC-010, RDY-001..RDY-004, DR-014, DR-016..DR-019, DAT-002, DAT-005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ENV-003, CAP-011, CAP-012, QUA-012, NFR-002, NFR-010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Requirements v2.1 changes the placement model from repeated geography-driven selection to a seeded, production-region-first model. Customers and product teams must know the exact Azure production region up front because a broad geography selection creates contract churn, data-residency ambiguity, and inconsistent product placement for the same customer.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BodyText"/>
      </w:pPr>
      <w:r>
        <w:t xml:space="preserve">ACRME must still calculate CVAL and DR placement using current capacity, reservation, quota, zone, sharing, restriction, and DR-readiness state. The first valid decision becomes an authoritative seed that future products reuse.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Key forces:</w:t>
      </w:r>
    </w:p>
    <w:p>
      <w:pPr>
        <w:numPr>
          <w:ilvl w:val="0"/>
          <w:numId w:val="1001"/>
        </w:numPr>
        <w:pStyle w:val="Compact"/>
      </w:pPr>
      <w:r>
        <w:t xml:space="preserve">Production protection is the primary objective.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Region, zone, quota, and capacity are hard isolation boundaries; capacity is never counted across regions or zones.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  <w:pStyle w:val="Compact"/>
      </w:pPr>
      <w:r>
        <w:t xml:space="preserve">Region strategy is configuration-driven and spans</w:t>
      </w:r>
      <w:r>
        <w:t xml:space="preserve"> </w:t>
      </w:r>
      <w:r>
        <w:rPr>
          <w:bCs/>
          <w:b/>
        </w:rPr>
        <w:t xml:space="preserve">five supported geographies</w:t>
      </w:r>
      <w:r>
        <w:t xml:space="preserve"> </w:t>
      </w:r>
      <w:r>
        <w:t xml:space="preserve">(US, EU, Australia, Asia Pacific, Middle East), each catalogued with an explicit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 </w:t>
      </w:r>
      <w:r>
        <w:t xml:space="preserve">(baseline Section 6, REG-001). The US is the only three-region geography; EU, Australia, Asia Pacific and the Middle East are two-region geographies. New regions (e.g. Japan East, pending) are policy data added by config, not automatic rollout commitments.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Middle East DR is currently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(DR-014, DEC-001 — under legal review).</w:t>
      </w:r>
      <w:r>
        <w:t xml:space="preserve"> </w:t>
      </w:r>
      <w:r>
        <w:t xml:space="preserve">As it stands, DR is</w:t>
      </w:r>
      <w:r>
        <w:t xml:space="preserve"> </w:t>
      </w:r>
      <w:r>
        <w:rPr>
          <w:bCs/>
          <w:b/>
        </w:rPr>
        <w:t xml:space="preserve">not offered</w:t>
      </w:r>
      <w:r>
        <w:t xml:space="preserve"> </w:t>
      </w:r>
      <w:r>
        <w:t xml:space="preserve">in the Middle East: Legal owns the programme and data-sovereignty/residency laws (a largely government/medical customer base) mean cross-border DR cannot meet residency requirements (baseline Section 2, Section 5.2, Section 6). Middle East placement therefore defaults to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; production may still be placed in-geo without DR. Switzerland North is a</w:t>
      </w:r>
      <w:r>
        <w:t xml:space="preserve"> </w:t>
      </w:r>
      <w:r>
        <w:rPr>
          <w:bCs/>
          <w:b/>
        </w:rPr>
        <w:t xml:space="preserve">pre-configured, conditional</w:t>
      </w:r>
      <w:r>
        <w:t xml:space="preserve"> </w:t>
      </w:r>
      <w:r>
        <w:t xml:space="preserve">cross-geo extension that activates</w:t>
      </w:r>
      <w:r>
        <w:t xml:space="preserve"> </w:t>
      </w:r>
      <w:r>
        <w:rPr>
          <w:bCs/>
          <w:b/>
        </w:rPr>
        <w:t xml:space="preserve">only if</w:t>
      </w:r>
      <w:r>
        <w:t xml:space="preserve"> </w:t>
      </w:r>
      <w:r>
        <w:t xml:space="preserve">Legal clears DEC-001.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  <w:pStyle w:val="Compact"/>
      </w:pPr>
      <w:r>
        <w:t xml:space="preserve">Placement must return a fresh, machine-readable readiness state to AEP/provisioning and must fail safely on stale or incomplete state.</w:t>
      </w:r>
      <w:r>
        <w:t xml:space="preserve"> </w:t>
      </w:r>
      <w:r>
        <w:rPr>
          <w:rStyle w:val="VerbatimChar"/>
        </w:rPr>
        <w:t xml:space="preserve">[Decided]</w:t>
      </w:r>
    </w:p>
    <w:bookmarkEnd w:id="20"/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production-region-first, seeded placement architecture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Exact production region is the default input.</w:t>
      </w:r>
      <w:r>
        <w:t xml:space="preserve"> </w:t>
      </w:r>
      <w:r>
        <w:t xml:space="preserve">The default onboarding path requires the customer or platform workflow to provide the exact Azure production region. ACRME validates it rather than deriving it from a broad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Geography-only selection is an exception path.</w:t>
      </w:r>
      <w:r>
        <w:t xml:space="preserve"> </w:t>
      </w:r>
      <w:r>
        <w:t xml:space="preserve">Geography input is retained only with explicit exception approval and customer acknowledgement that the selected production region becomes fixed until an approved migration changes the seed.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Customer seed record is authoritative.</w:t>
      </w:r>
      <w:r>
        <w:t xml:space="preserve"> </w:t>
      </w:r>
      <w:r>
        <w:t xml:space="preserve">The first placement decision writes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; subsequent products/environments for the same customer and geography reuse it instead of re-running production selection.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CVAL and DR are selected after production is fixed.</w:t>
      </w:r>
      <w:r>
        <w:t xml:space="preserve"> </w:t>
      </w:r>
      <w:r>
        <w:t xml:space="preserve">Once the production region is validated, ACRME selects or validates CVAL and DR using current readiness, environment separation, restriction flags, workload distribution, quota/capacity state, and state freshness.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Placement creates readiness output, not just a region tuple.</w:t>
      </w:r>
      <w:r>
        <w:t xml:space="preserve"> </w:t>
      </w:r>
      <w:r>
        <w:t xml:space="preserve">Every evaluation returns a</w:t>
      </w:r>
      <w:r>
        <w:t xml:space="preserve"> </w:t>
      </w:r>
      <w:r>
        <w:rPr>
          <w:rStyle w:val="VerbatimChar"/>
        </w:rPr>
        <w:t xml:space="preserve">DeploymentReadinessResult</w:t>
      </w:r>
      <w:r>
        <w:t xml:space="preserve"> </w:t>
      </w:r>
      <w:r>
        <w:t xml:space="preserve">state: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Atomic holds prevent double-commit.</w:t>
      </w:r>
      <w:r>
        <w:t xml:space="preserve"> </w:t>
      </w:r>
      <w:r>
        <w:t xml:space="preserve">Committed placement creates a hold keyed by customer, region, zone, SKU/family, environment, policy version, and snapshot version. Conditional writes reject concurrent requests that attempt to consume the same headroom.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 placement contributes to the DR index.</w:t>
      </w:r>
      <w:r>
        <w:t xml:space="preserve"> </w:t>
      </w:r>
      <w:r>
        <w:t xml:space="preserve">The seed drives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maintained by ADR-003 so a declared source-region failure activates only that source’s mapped standby set.</w:t>
      </w:r>
      <w:r>
        <w:t xml:space="preserve"> </w:t>
      </w:r>
      <w:r>
        <w:rPr>
          <w:rStyle w:val="VerbatimChar"/>
        </w:rPr>
        <w:t xml:space="preserve">[Derived]</w:t>
      </w:r>
    </w:p>
    <w:bookmarkEnd w:id="21"/>
    <w:bookmarkStart w:id="22" w:name="region-classification-and-policy"/>
    <w:p>
      <w:pPr>
        <w:pStyle w:val="Heading2"/>
      </w:pPr>
      <w:r>
        <w:t xml:space="preserve">Region Classification and Policy</w:t>
      </w:r>
    </w:p>
    <w:p>
      <w:pPr>
        <w:pStyle w:val="FirstParagraph"/>
      </w:pPr>
      <w:r>
        <w:rPr>
          <w:rStyle w:val="VerbatimChar"/>
        </w:rPr>
        <w:t xml:space="preserve">PlacementPolicy</w:t>
      </w:r>
      <w:r>
        <w:t xml:space="preserve"> </w:t>
      </w:r>
      <w:r>
        <w:t xml:space="preserve">is the authoritative, versioned region catalogue. It includes region classification, supported geographies,</w:t>
      </w:r>
      <w:r>
        <w:t xml:space="preserve"> </w:t>
      </w:r>
      <w:r>
        <w:rPr>
          <w:bCs/>
          <w:b/>
        </w:rPr>
        <w:t xml:space="preserve">per-geography distribution model</w:t>
      </w:r>
      <w:r>
        <w:t xml:space="preserve"> </w:t>
      </w:r>
      <w:r>
        <w:t xml:space="preserve">(three-region vs two-region), zone support, SKU/family eligibility, separation class, approved cross-geo extension paths,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flags, stale-state thresholds, weights, and exception metadata.</w:t>
      </w:r>
      <w:r>
        <w:t xml:space="preserve"> </w:t>
      </w:r>
      <w:r>
        <w:rPr>
          <w:rStyle w:val="VerbatimChar"/>
        </w:rPr>
        <w:t xml:space="preserve">[Decided]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automated placement and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recommended, scored, or auto-selected; usable only for explicit production-region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Cross-geo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only when explicitly approved for the source geography. For the</w:t>
            </w:r>
            <w:r>
              <w:t xml:space="preserve"> </w:t>
            </w:r>
            <w:r>
              <w:rPr>
                <w:bCs/>
                <w:b/>
              </w:rPr>
              <w:t xml:space="preserve">Middle East</w:t>
            </w:r>
            <w:r>
              <w:t xml:space="preserve">, the Switzerland North extension is pre-configured but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 </w:t>
            </w:r>
            <w:r>
              <w:t xml:space="preserve">until DEC-001 legal approval clears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seed value</w:t>
            </w:r>
            <w:r>
              <w:t xml:space="preserve"> </w:t>
            </w:r>
            <w:r>
              <w:rPr>
                <w:rStyle w:val="VerbatimChar"/>
              </w:rPr>
              <w:t xml:space="preserve">DR region = NOT_OFFERED</w:t>
            </w:r>
            <w:r>
              <w:t xml:space="preserve">; ACRME must not silently substitute another geography.</w:t>
            </w:r>
            <w:r>
              <w:t xml:space="preserve"> </w:t>
            </w:r>
            <w:r>
              <w:rPr>
                <w:bCs/>
                <w:b/>
              </w:rPr>
              <w:t xml:space="preserve">Default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true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the Middle East</w:t>
            </w:r>
            <w:r>
              <w:t xml:space="preserve"> </w:t>
            </w:r>
            <w:r>
              <w:t xml:space="preserve">(DR-014, current legal position pending DEC-001) — evaluated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any cross-geo extension so an inactive extension is never auto-applied.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change increments version and is recorded with approver, reason, effective date, and replay/audit metadata.</w:t>
            </w:r>
          </w:p>
        </w:tc>
      </w:tr>
    </w:tbl>
    <w:p>
      <w:pPr>
        <w:pStyle w:val="BodyText"/>
      </w:pPr>
      <w:r>
        <w:t xml:space="preserve">The number of regions per geography is set by the catalogue’s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, not a universal minimum. The</w:t>
      </w:r>
      <w:r>
        <w:t xml:space="preserve"> </w:t>
      </w:r>
      <w:r>
        <w:rPr>
          <w:bCs/>
          <w:b/>
        </w:rPr>
        <w:t xml:space="preserve">US is a three-region geography</w:t>
      </w:r>
      <w:r>
        <w:t xml:space="preserve"> </w:t>
      </w:r>
      <w:r>
        <w:t xml:space="preserve">— production, CVAL and DR each sit in a distinct region.</w:t>
      </w:r>
      <w:r>
        <w:t xml:space="preserve"> </w:t>
      </w:r>
      <w:r>
        <w:rPr>
          <w:bCs/>
          <w:b/>
        </w:rPr>
        <w:t xml:space="preserve">EU, Australia, Asia Pacific and the Middle East are two-region geographies</w:t>
      </w:r>
      <w:r>
        <w:t xml:space="preserve">: production is placed in one region and</w:t>
      </w:r>
      <w:r>
        <w:t xml:space="preserve"> </w:t>
      </w:r>
      <w:r>
        <w:rPr>
          <w:bCs/>
          <w:b/>
        </w:rPr>
        <w:t xml:space="preserve">CVAL and DR are co-located in the other region</w:t>
      </w:r>
      <w:r>
        <w:t xml:space="preserve"> </w:t>
      </w:r>
      <w:r>
        <w:t xml:space="preserve">(mandatory rule</w:t>
      </w:r>
      <w:r>
        <w:t xml:space="preserve"> </w:t>
      </w:r>
      <w:r>
        <w:rPr>
          <w:bCs/>
          <w:b/>
        </w:rPr>
        <w:t xml:space="preserve">PLC-010a</w:t>
      </w:r>
      <w:r>
        <w:t xml:space="preserve">, via environment separation ENV-003). A two-region geography therefore delivers in-geo Prod + CVAL + DR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any cross-geo path — co-location is the standard model, not a fallback. The</w:t>
      </w:r>
      <w:r>
        <w:t xml:space="preserve"> </w:t>
      </w:r>
      <w:r>
        <w:rPr>
          <w:bCs/>
          <w:b/>
        </w:rPr>
        <w:t xml:space="preserve">Middle East is the single exception</w:t>
      </w:r>
      <w:r>
        <w:t xml:space="preserve">: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(DR-014, DEC-001), so its second region hosts CVAL only and production may exist without DR. Cross-geo extension (Switzerland North) applies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to the Middle East and only if Legal clears DEC-001.</w:t>
      </w:r>
      <w:r>
        <w:t xml:space="preserve"> </w:t>
      </w:r>
      <w:r>
        <w:rPr>
          <w:rStyle w:val="VerbatimChar"/>
        </w:rPr>
        <w:t xml:space="preserve">[Derived]</w:t>
      </w:r>
    </w:p>
    <w:bookmarkEnd w:id="22"/>
    <w:bookmarkStart w:id="23" w:name="placement-flow"/>
    <w:p>
      <w:pPr>
        <w:pStyle w:val="Heading2"/>
      </w:pPr>
      <w:r>
        <w:t xml:space="preserve">Placement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Request[Placement request] --&gt; ExistingSeed{Seed exists?}</w:t>
      </w:r>
      <w:r>
        <w:br/>
      </w:r>
      <w:r>
        <w:rPr>
          <w:rStyle w:val="VerbatimChar"/>
        </w:rPr>
        <w:t xml:space="preserve">    ExistingSeed -- Yes --&gt; Reuse[Reuse CustomerSeedRecord]</w:t>
      </w:r>
      <w:r>
        <w:br/>
      </w:r>
      <w:r>
        <w:rPr>
          <w:rStyle w:val="VerbatimChar"/>
        </w:rPr>
        <w:t xml:space="preserve">    ExistingSeed -- No --&gt; Input{Input mode}</w:t>
      </w:r>
      <w:r>
        <w:br/>
      </w:r>
      <w:r>
        <w:rPr>
          <w:rStyle w:val="VerbatimChar"/>
        </w:rPr>
        <w:t xml:space="preserve">    Input -- Exact production region --&gt; ValidateProd[Validate production region]</w:t>
      </w:r>
      <w:r>
        <w:br/>
      </w:r>
      <w:r>
        <w:rPr>
          <w:rStyle w:val="VerbatimChar"/>
        </w:rPr>
        <w:t xml:space="preserve">    Input -- Geography exception --&gt; GeoApproval{Exception approved and acknowledged?}</w:t>
      </w:r>
      <w:r>
        <w:br/>
      </w:r>
      <w:r>
        <w:rPr>
          <w:rStyle w:val="VerbatimChar"/>
        </w:rPr>
        <w:t xml:space="preserve">    GeoApproval -- No --&gt; PolicyBlocked[POLICY_BLOCKED]</w:t>
      </w:r>
      <w:r>
        <w:br/>
      </w:r>
      <w:r>
        <w:rPr>
          <w:rStyle w:val="VerbatimChar"/>
        </w:rPr>
        <w:t xml:space="preserve">    GeoApproval -- Yes --&gt; DeriveProd[Derive production from Standard regions]</w:t>
      </w:r>
      <w:r>
        <w:br/>
      </w:r>
      <w:r>
        <w:rPr>
          <w:rStyle w:val="VerbatimChar"/>
        </w:rPr>
        <w:t xml:space="preserve">    ValidateProd --&gt; ProdOk{Region valid, fresh, supported?}</w:t>
      </w:r>
      <w:r>
        <w:br/>
      </w:r>
      <w:r>
        <w:rPr>
          <w:rStyle w:val="VerbatimChar"/>
        </w:rPr>
        <w:t xml:space="preserve">    DeriveProd --&gt; ProdOk</w:t>
      </w:r>
      <w:r>
        <w:br/>
      </w:r>
      <w:r>
        <w:rPr>
          <w:rStyle w:val="VerbatimChar"/>
        </w:rPr>
        <w:t xml:space="preserve">    ProdOk -- No --&gt; NotReady[Readiness reason]</w:t>
      </w:r>
      <w:r>
        <w:br/>
      </w:r>
      <w:r>
        <w:rPr>
          <w:rStyle w:val="VerbatimChar"/>
        </w:rPr>
        <w:t xml:space="preserve">    ProdOk -- Yes --&gt; SelectCVAL[Select or validate CVAL]</w:t>
      </w:r>
      <w:r>
        <w:br/>
      </w:r>
      <w:r>
        <w:rPr>
          <w:rStyle w:val="VerbatimChar"/>
        </w:rPr>
        <w:t xml:space="preserve">    SelectCVAL --&gt; SelectDR[Select DR or NOT_OFFERED]</w:t>
      </w:r>
      <w:r>
        <w:br/>
      </w:r>
      <w:r>
        <w:rPr>
          <w:rStyle w:val="VerbatimChar"/>
        </w:rPr>
        <w:t xml:space="preserve">    SelectDR --&gt; Fresh{State fresh?}</w:t>
      </w:r>
      <w:r>
        <w:br/>
      </w:r>
      <w:r>
        <w:rPr>
          <w:rStyle w:val="VerbatimChar"/>
        </w:rPr>
        <w:t xml:space="preserve">    Fresh -- No --&gt; Stale[STALE_STATE]</w:t>
      </w:r>
      <w:r>
        <w:br/>
      </w:r>
      <w:r>
        <w:rPr>
          <w:rStyle w:val="VerbatimChar"/>
        </w:rPr>
        <w:t xml:space="preserve">    Fresh -- Yes --&gt; Hold[Create atomic placement hold]</w:t>
      </w:r>
      <w:r>
        <w:br/>
      </w:r>
      <w:r>
        <w:rPr>
          <w:rStyle w:val="VerbatimChar"/>
        </w:rPr>
        <w:t xml:space="preserve">    Hold --&gt; Seed[Write CustomerSeedRecord]</w:t>
      </w:r>
      <w:r>
        <w:br/>
      </w:r>
      <w:r>
        <w:rPr>
          <w:rStyle w:val="VerbatimChar"/>
        </w:rPr>
        <w:t xml:space="preserve">    Reuse --&gt; Readiness[Return DeploymentReadinessResult]</w:t>
      </w:r>
      <w:r>
        <w:br/>
      </w:r>
      <w:r>
        <w:rPr>
          <w:rStyle w:val="VerbatimChar"/>
        </w:rPr>
        <w:t xml:space="preserve">    Seed --&gt; Readiness</w:t>
      </w:r>
    </w:p>
    <w:bookmarkEnd w:id="23"/>
    <w:bookmarkStart w:id="24" w:name="customerseedrecord"/>
    <w:p>
      <w:pPr>
        <w:pStyle w:val="Heading2"/>
      </w:pPr>
      <w:r>
        <w:t xml:space="preserve">CustomerSeedRecord</w:t>
      </w:r>
    </w:p>
    <w:p>
      <w:pPr>
        <w:pStyle w:val="FirstParagraph"/>
      </w:pPr>
      <w:r>
        <w:rPr>
          <w:rStyle w:val="VerbatimChar"/>
        </w:rPr>
        <w:t xml:space="preserve">CustomerSeedRecord</w:t>
      </w:r>
      <w:r>
        <w:t xml:space="preserve"> </w:t>
      </w:r>
      <w:r>
        <w:t xml:space="preserve">must include:</w:t>
      </w:r>
    </w:p>
    <w:p>
      <w:pPr>
        <w:numPr>
          <w:ilvl w:val="0"/>
          <w:numId w:val="1003"/>
        </w:numPr>
        <w:pStyle w:val="Compact"/>
      </w:pPr>
      <w:r>
        <w:t xml:space="preserve">seed ID and customer/realm identifier;</w:t>
      </w:r>
    </w:p>
    <w:p>
      <w:pPr>
        <w:numPr>
          <w:ilvl w:val="0"/>
          <w:numId w:val="1003"/>
        </w:numPr>
        <w:pStyle w:val="Compact"/>
      </w:pPr>
      <w:r>
        <w:t xml:space="preserve">geography;</w:t>
      </w:r>
    </w:p>
    <w:p>
      <w:pPr>
        <w:numPr>
          <w:ilvl w:val="0"/>
          <w:numId w:val="1003"/>
        </w:numPr>
        <w:pStyle w:val="Compact"/>
      </w:pPr>
      <w:r>
        <w:t xml:space="preserve">production region;</w:t>
      </w:r>
    </w:p>
    <w:p>
      <w:pPr>
        <w:numPr>
          <w:ilvl w:val="0"/>
          <w:numId w:val="1003"/>
        </w:numPr>
        <w:pStyle w:val="Compact"/>
      </w:pPr>
      <w:r>
        <w:t xml:space="preserve">CVAL region;</w:t>
      </w:r>
    </w:p>
    <w:p>
      <w:pPr>
        <w:numPr>
          <w:ilvl w:val="0"/>
          <w:numId w:val="1003"/>
        </w:numPr>
        <w:pStyle w:val="Compact"/>
      </w:pPr>
      <w:r>
        <w:t xml:space="preserve">DR region 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products covered;</w:t>
      </w:r>
    </w:p>
    <w:p>
      <w:pPr>
        <w:numPr>
          <w:ilvl w:val="0"/>
          <w:numId w:val="1003"/>
        </w:numPr>
        <w:pStyle w:val="Compact"/>
      </w:pPr>
      <w:r>
        <w:t xml:space="preserve">region/zone/SKU-family policy context;</w:t>
      </w:r>
    </w:p>
    <w:p>
      <w:pPr>
        <w:numPr>
          <w:ilvl w:val="0"/>
          <w:numId w:val="1003"/>
        </w:numPr>
        <w:pStyle w:val="Compact"/>
      </w:pPr>
      <w:r>
        <w:t xml:space="preserve">decision timestamp;</w:t>
      </w:r>
    </w:p>
    <w:p>
      <w:pPr>
        <w:numPr>
          <w:ilvl w:val="0"/>
          <w:numId w:val="1003"/>
        </w:numPr>
        <w:pStyle w:val="Compact"/>
      </w:pPr>
      <w:r>
        <w:t xml:space="preserve">policy version and engine version;</w:t>
      </w:r>
    </w:p>
    <w:p>
      <w:pPr>
        <w:numPr>
          <w:ilvl w:val="0"/>
          <w:numId w:val="1003"/>
        </w:numPr>
        <w:pStyle w:val="Compact"/>
      </w:pPr>
      <w:r>
        <w:t xml:space="preserve">capacity/quota snapshot references and freshness;</w:t>
      </w:r>
    </w:p>
    <w:p>
      <w:pPr>
        <w:numPr>
          <w:ilvl w:val="0"/>
          <w:numId w:val="1003"/>
        </w:numPr>
        <w:pStyle w:val="Compact"/>
      </w:pPr>
      <w:r>
        <w:t xml:space="preserve">exception approval reference and customer acknowledgement, where applicable;</w:t>
      </w:r>
    </w:p>
    <w:p>
      <w:pPr>
        <w:numPr>
          <w:ilvl w:val="0"/>
          <w:numId w:val="1003"/>
        </w:numPr>
        <w:pStyle w:val="Compact"/>
      </w:pPr>
      <w:r>
        <w:t xml:space="preserve">active hold IDs;</w:t>
      </w:r>
    </w:p>
    <w:p>
      <w:pPr>
        <w:numPr>
          <w:ilvl w:val="0"/>
          <w:numId w:val="1003"/>
        </w:numPr>
        <w:pStyle w:val="Compact"/>
      </w:pPr>
      <w:r>
        <w:t xml:space="preserve">migration status and audit metadata.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Seeds are not regenerated on upgrades, rebuilds, or routine deployments. Changes require an approved migration/exception workflow with impact analysis.</w:t>
      </w:r>
      <w:r>
        <w:t xml:space="preserve"> </w:t>
      </w:r>
      <w:r>
        <w:rPr>
          <w:rStyle w:val="VerbatimChar"/>
        </w:rPr>
        <w:t xml:space="preserve">[Decided]</w:t>
      </w:r>
    </w:p>
    <w:bookmarkEnd w:id="24"/>
    <w:bookmarkStart w:id="25" w:name="validation-rules"/>
    <w:p>
      <w:pPr>
        <w:pStyle w:val="Heading2"/>
      </w:pPr>
      <w:r>
        <w:t xml:space="preserve">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Prod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includes a specific production region unless an exception is approved.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is present in active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automated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selection uses Standard regions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region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require explicit production-only request and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Geography/country flagged as no-DR writes</w:t>
            </w:r>
            <w:r>
              <w:t xml:space="preserve"> </w:t>
            </w:r>
            <w:r>
              <w:rPr>
                <w:rStyle w:val="VerbatimChar"/>
              </w:rPr>
              <w:t xml:space="preserve">NOT_OFFERED</w:t>
            </w:r>
            <w:r>
              <w:t xml:space="preserve"> </w:t>
            </w:r>
            <w:r>
              <w:t xml:space="preserve">and blocks cross-geo substitution.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READY_WITH_RISK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POLICY_BLOCKED</w:t>
            </w:r>
            <w:r>
              <w:t xml:space="preserve"> </w:t>
            </w: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Three-region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must provide Prod, CVAL, and DR separation or approved cross-geo/no-DR path.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age &lt;= configured maximum or synchronous refresh succeeds.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reserved capacity exists or over-allocation is approved.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RESERVATION_DEFICIT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CAPACITY_UNAVAILABLE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Consumer/deploying subscription has required quota.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QUOTA_DEFICIT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hold commit succeeds.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VALIDATION_REQUIRED</w:t>
            </w:r>
          </w:p>
        </w:tc>
      </w:tr>
    </w:tbl>
    <w:bookmarkEnd w:id="25"/>
    <w:bookmarkStart w:id="26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</w:t>
      </w:r>
    </w:p>
    <w:p>
      <w:pPr>
        <w:numPr>
          <w:ilvl w:val="0"/>
          <w:numId w:val="1004"/>
        </w:numPr>
        <w:pStyle w:val="Compact"/>
      </w:pPr>
      <w:r>
        <w:t xml:space="preserve">Avoids production-region ambiguity and customer contract churn.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4"/>
        </w:numPr>
        <w:pStyle w:val="Compact"/>
      </w:pPr>
      <w:r>
        <w:t xml:space="preserve">Produces stable placement across products for the same customer/geography.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t xml:space="preserve">Makes CVAL/DR decisions replayable from seed, policy version, and snapshot references.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t xml:space="preserve">Gives AEP/provisioning an explicit readiness contract instead of implicit success/failure.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Negative / trade-offs</w:t>
      </w:r>
    </w:p>
    <w:p>
      <w:pPr>
        <w:numPr>
          <w:ilvl w:val="0"/>
          <w:numId w:val="1005"/>
        </w:numPr>
        <w:pStyle w:val="Compact"/>
      </w:pPr>
      <w:r>
        <w:t xml:space="preserve">Geography-only onboarding now needs exception governance and customer acknowledgement.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Seed migration becomes a governed workflow, not a simple re-run of scoring.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DR_NOT_OFFERED</w:t>
      </w:r>
      <w:r>
        <w:t xml:space="preserve"> </w:t>
      </w:r>
      <w:r>
        <w:t xml:space="preserve">can create a readiness-with-risk outcome that must be handled commercially and operationally.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5"/>
        </w:numPr>
        <w:pStyle w:val="Compact"/>
      </w:pPr>
      <w:r>
        <w:t xml:space="preserve">Atomic holds add state-management complexity but are required to prevent double-committed capacity/quota.</w:t>
      </w:r>
      <w:r>
        <w:t xml:space="preserve"> </w:t>
      </w:r>
      <w:r>
        <w:rPr>
          <w:rStyle w:val="VerbatimChar"/>
        </w:rPr>
        <w:t xml:space="preserve">[Decided]</w:t>
      </w:r>
    </w:p>
    <w:bookmarkEnd w:id="26"/>
    <w:bookmarkStart w:id="27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 or constrained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selection as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Caused ambiguous customer intent and inconsistent product placement.</w:t>
            </w:r>
            <w:r>
              <w:t xml:space="preserve"> </w:t>
            </w:r>
            <w:r>
              <w:rPr>
                <w:rStyle w:val="VerbatimChar"/>
              </w:rPr>
              <w:t xml:space="preserve">[Derived]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Re-run placement per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 drift across products for the same customer/geography.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stale daily/weekly snapshots for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deploy into capacity/quota that is no longer available.</w:t>
            </w:r>
            <w:r>
              <w:t xml:space="preserve"> </w:t>
            </w:r>
            <w:r>
              <w:rPr>
                <w:rStyle w:val="VerbatimChar"/>
              </w:rPr>
              <w:t xml:space="preserve">[Derived]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Auto-select cross-geo DR for two-region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Rejected. Two-region geographies co-locate CVAL and DR in-geo (PLC-010a); cross-geo substitution is never silent. Where in-geo DR is legally impossible (Middle East), the seed is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, and any cross-geo path (Switzerland North) is explicit and approval-gated.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ppendix---adr-summary"/>
    <w:p>
      <w:pPr>
        <w:pStyle w:val="Heading2"/>
      </w:pPr>
      <w:r>
        <w:t xml:space="preserve">Appendix -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Region Selection and Customer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REG-001..005, PLC-001..010a, RDY-001..004, DR-014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DEC-001 Middle East/no-DR policy; DEC-003 geography exception approver; production stale-state threshold</w:t>
            </w:r>
          </w:p>
        </w:tc>
      </w:tr>
    </w:tbl>
    <w:bookmarkEnd w:id="28"/>
    <w:bookmarkStart w:id="29" w:name="appendix---status-legend"/>
    <w:p>
      <w:pPr>
        <w:pStyle w:val="Heading2"/>
      </w:pPr>
      <w:r>
        <w:t xml:space="preserve">Appendix -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29"/>
    <w:bookmarkStart w:id="30" w:name="appendix---evidence-tag-taxonomy"/>
    <w:p>
      <w:pPr>
        <w:pStyle w:val="Heading2"/>
      </w:pPr>
      <w:r>
        <w:t xml:space="preserve">Appendix -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0"/>
    <w:bookmarkStart w:id="31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ADR-002 - Quota and Capacity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acrme_adr_002_quota_and_capacity_management.md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ADR-003 - Capacity Management during Disaster Recovery (DR)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acrme_adr_003_capacity_management_during_dr.md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ADR-004 - Forecast, Reconciliation, and Increase of Capacity and 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acrme_adr_004_forecast_and_increase_of_capacity_and_quota.md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DEC-001/DEC-003 decisions, readiness API contract review, and first seed-record implementation test.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2026-09-07T08:37:15Z</dcterms:created>
  <dcterms:modified xsi:type="dcterms:W3CDTF">2026-09-07T08:37:15Z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