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acrme-functional-design-document-fdd"/>
    <w:p>
      <w:pPr>
        <w:pStyle w:val="Heading1"/>
      </w:pPr>
      <w:r>
        <w:t xml:space="preserve">ACRME — Functional Design Document (FDD)</w:t>
      </w:r>
    </w:p>
    <w:tbl>
      <w:tblPr>
        <w:tblStyle w:val="Table"/>
        <w:tblW w:type="pct" w:w="500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Capacity Reservation Management Engine (ACRME) — Functional Design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(net-new)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September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for review — supersedes the Executive Design Document as the functional design of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Capacity &amp; Quota Management — Consolidated Requirements Baseline</w:t>
            </w:r>
            <w:r>
              <w:t xml:space="preserve"> </w:t>
            </w:r>
            <w:r>
              <w:rPr>
                <w:bCs/>
                <w:b/>
              </w:rPr>
              <w:t xml:space="preserve">v2.3</w:t>
            </w:r>
            <w:r>
              <w:t xml:space="preserve"> </w:t>
            </w:r>
            <w:r>
              <w:t xml:space="preserve">(7 Sep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Vishnuvardhan Reddy · Principal Cloud Architect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Business, architecture, operations, audit, onboarding, FinOps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Design Document (</w:t>
            </w:r>
            <w:r>
              <w:rPr>
                <w:rStyle w:val="VerbatimChar"/>
              </w:rPr>
              <w:t xml:space="preserve">acrme_technical_design_document.md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bCs/>
          <w:b/>
        </w:rPr>
        <w:t xml:space="preserve">Purpose.</w:t>
      </w:r>
      <w:r>
        <w:t xml:space="preserve"> </w:t>
      </w:r>
      <w:r>
        <w:t xml:space="preserve">This FDD describes</w:t>
      </w:r>
      <w:r>
        <w:t xml:space="preserve"> </w:t>
      </w:r>
      <w:r>
        <w:rPr>
          <w:bCs/>
          <w:b/>
        </w:rPr>
        <w:t xml:space="preserve">what</w:t>
      </w:r>
      <w:r>
        <w:t xml:space="preserve"> </w:t>
      </w:r>
      <w:r>
        <w:t xml:space="preserve">ACRME does — its functional behaviour, flows, states, and rules — traceable to every requirement in Baseline v2.3. It is implementation-neutral; the</w:t>
      </w:r>
      <w:r>
        <w:t xml:space="preserve"> </w:t>
      </w:r>
      <w:r>
        <w:rPr>
          <w:bCs/>
          <w:b/>
        </w:rPr>
        <w:t xml:space="preserve">how</w:t>
      </w:r>
      <w:r>
        <w:t xml:space="preserve"> </w:t>
      </w:r>
      <w:r>
        <w:t xml:space="preserve">(components, data, algorithms, interfaces, security, NFRs) is in the companion TDD. This document is</w:t>
      </w:r>
      <w:r>
        <w:t xml:space="preserve"> </w:t>
      </w:r>
      <w:r>
        <w:rPr>
          <w:bCs/>
          <w:b/>
        </w:rPr>
        <w:t xml:space="preserve">self-contained</w:t>
      </w:r>
      <w:r>
        <w:t xml:space="preserve">: all normative detail (readiness states, engine modes, formulas, classification tables, validation rules) is inlined, not referenced externally.</w:t>
      </w:r>
    </w:p>
    <w:p>
      <w:pPr>
        <w:pStyle w:val="BlockText"/>
      </w:pPr>
      <w:r>
        <w:rPr>
          <w:bCs/>
          <w:b/>
        </w:rPr>
        <w:t xml:space="preserve">Reconciliation note (v2.3).</w:t>
      </w:r>
      <w:r>
        <w:t xml:space="preserve"> </w:t>
      </w:r>
      <w:r>
        <w:t xml:space="preserve">This document reflects the confirmed v2.3 design decisions:</w:t>
      </w:r>
      <w:r>
        <w:t xml:space="preserve"> </w:t>
      </w:r>
      <w:r>
        <w:rPr>
          <w:bCs/>
          <w:b/>
        </w:rPr>
        <w:t xml:space="preserve">single governed quota pool</w:t>
      </w:r>
      <w:r>
        <w:t xml:space="preserve"> </w:t>
      </w:r>
      <w:r>
        <w:t xml:space="preserve">as the primary model (QUA-004);</w:t>
      </w:r>
      <w:r>
        <w:t xml:space="preserve"> </w:t>
      </w:r>
      <w:r>
        <w:rPr>
          <w:bCs/>
          <w:b/>
        </w:rPr>
        <w:t xml:space="preserve">max-not-sum</w:t>
      </w:r>
      <w:r>
        <w:t xml:space="preserve"> </w:t>
      </w:r>
      <w:r>
        <w:t xml:space="preserve">DR destination sizing (DR-017);</w:t>
      </w:r>
      <w:r>
        <w:t xml:space="preserve"> </w:t>
      </w:r>
      <w:r>
        <w:rPr>
          <w:bCs/>
          <w:b/>
        </w:rPr>
        <w:t xml:space="preserve">exact-production-region-first</w:t>
      </w:r>
      <w:r>
        <w:t xml:space="preserve"> </w:t>
      </w:r>
      <w:r>
        <w:t xml:space="preserve">onboarding with a governed</w:t>
      </w:r>
      <w:r>
        <w:t xml:space="preserve"> </w:t>
      </w:r>
      <w:r>
        <w:rPr>
          <w:bCs/>
          <w:b/>
        </w:rPr>
        <w:t xml:space="preserve">seed record</w:t>
      </w:r>
      <w:r>
        <w:t xml:space="preserve"> </w:t>
      </w:r>
      <w:r>
        <w:t xml:space="preserve">(PLC-001..005); distributed, reciprocal DR with a</w:t>
      </w:r>
      <w:r>
        <w:t xml:space="preserve"> </w:t>
      </w:r>
      <w:r>
        <w:rPr>
          <w:bCs/>
          <w:b/>
        </w:rPr>
        <w:t xml:space="preserve">source→destination DR index</w:t>
      </w:r>
      <w:r>
        <w:t xml:space="preserve"> </w:t>
      </w:r>
      <w:r>
        <w:t xml:space="preserve">(DR-016/018) and</w:t>
      </w:r>
      <w:r>
        <w:t xml:space="preserve"> </w:t>
      </w:r>
      <w:r>
        <w:rPr>
          <w:bCs/>
          <w:b/>
        </w:rPr>
        <w:t xml:space="preserve">standby activation waves</w:t>
      </w:r>
      <w:r>
        <w:t xml:space="preserve"> </w:t>
      </w:r>
      <w:r>
        <w:t xml:space="preserve">(DR-019); and</w:t>
      </w:r>
      <w:r>
        <w:t xml:space="preserve"> </w:t>
      </w:r>
      <w:r>
        <w:rPr>
          <w:bCs/>
          <w:b/>
        </w:rPr>
        <w:t xml:space="preserve">Switzerland North</w:t>
      </w:r>
      <w:r>
        <w:t xml:space="preserve"> </w:t>
      </w:r>
      <w:r>
        <w:t xml:space="preserve">as the pre-configured EU cross-geo DR extension for the Middle East (REG-002) —</w:t>
      </w:r>
      <w:r>
        <w:t xml:space="preserve"> </w:t>
      </w:r>
      <w:r>
        <w:rPr>
          <w:bCs/>
          <w:b/>
        </w:rPr>
        <w:t xml:space="preserve">conditional and currently inactive</w:t>
      </w:r>
      <w:r>
        <w:t xml:space="preserve"> </w:t>
      </w:r>
      <w:r>
        <w:t xml:space="preserve">because Middle East DR is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pending legal review (DR-014, DEC-001; see Section 4.4/Section 8 below).</w:t>
      </w:r>
    </w:p>
    <w:p>
      <w:pPr>
        <w:pStyle w:val="BlockText"/>
      </w:pPr>
      <w:r>
        <w:rPr>
          <w:bCs/>
          <w:b/>
        </w:rPr>
        <w:t xml:space="preserve">Region model update (v2.3, baseline Section 6).</w:t>
      </w:r>
      <w:r>
        <w:t xml:space="preserve"> </w:t>
      </w:r>
      <w:r>
        <w:t xml:space="preserve">The supported footprint is now</w:t>
      </w:r>
      <w:r>
        <w:t xml:space="preserve"> </w:t>
      </w:r>
      <w:r>
        <w:rPr>
          <w:bCs/>
          <w:b/>
        </w:rPr>
        <w:t xml:space="preserve">five geographies</w:t>
      </w:r>
      <w:r>
        <w:t xml:space="preserve"> </w:t>
      </w:r>
      <w:r>
        <w:t xml:space="preserve">with an explicit per-geography</w:t>
      </w:r>
      <w:r>
        <w:t xml:space="preserve"> </w:t>
      </w:r>
      <w:r>
        <w:rPr>
          <w:bCs/>
          <w:b/>
        </w:rPr>
        <w:t xml:space="preserve">distribution model</w:t>
      </w:r>
      <w:r>
        <w:t xml:space="preserve">: the</w:t>
      </w:r>
      <w:r>
        <w:t xml:space="preserve"> </w:t>
      </w:r>
      <w:r>
        <w:rPr>
          <w:bCs/>
          <w:b/>
        </w:rPr>
        <w:t xml:space="preserve">US is the only three-region geography</w:t>
      </w:r>
      <w:r>
        <w:t xml:space="preserve"> </w:t>
      </w:r>
      <w:r>
        <w:t xml:space="preserve">(West US 3, Central US, Canada Central; East US 2 Restricted), while</w:t>
      </w:r>
      <w:r>
        <w:t xml:space="preserve"> </w:t>
      </w:r>
      <w:r>
        <w:rPr>
          <w:bCs/>
          <w:b/>
        </w:rPr>
        <w:t xml:space="preserve">EU, Australia, Asia Pacific and the Middle East are two-region geographies</w:t>
      </w:r>
      <w:r>
        <w:t xml:space="preserve">. In every two-region geography,</w:t>
      </w:r>
      <w:r>
        <w:t xml:space="preserve"> </w:t>
      </w:r>
      <w:r>
        <w:rPr>
          <w:bCs/>
          <w:b/>
        </w:rPr>
        <w:t xml:space="preserve">CVAL and DR are co-located</w:t>
      </w:r>
      <w:r>
        <w:t xml:space="preserve"> </w:t>
      </w:r>
      <w:r>
        <w:t xml:space="preserve">in the non-production region — a mandatory rule captured as</w:t>
      </w:r>
      <w:r>
        <w:t xml:space="preserve"> </w:t>
      </w:r>
      <w:r>
        <w:rPr>
          <w:bCs/>
          <w:b/>
        </w:rPr>
        <w:t xml:space="preserve">PLC-010a</w:t>
      </w:r>
      <w:r>
        <w:t xml:space="preserve"> </w:t>
      </w:r>
      <w:r>
        <w:t xml:space="preserve">— with the Middle East being the single exception where DR is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(DEC-001) so its second region hosts CVAL only. The region catalogue remains versioned and configuration-driven (REG-001); Japan East is a</w:t>
      </w:r>
      <w:r>
        <w:t xml:space="preserve"> </w:t>
      </w:r>
      <w:r>
        <w:rPr>
          <w:bCs/>
          <w:b/>
        </w:rPr>
        <w:t xml:space="preserve">pending</w:t>
      </w:r>
      <w:r>
        <w:t xml:space="preserve"> </w:t>
      </w:r>
      <w:r>
        <w:t xml:space="preserve">Asia Pacific addition awaiting confirmation.</w:t>
      </w:r>
    </w:p>
    <w:p>
      <w:pPr>
        <w:pStyle w:val="BlockText"/>
      </w:pPr>
      <w:r>
        <w:rPr>
          <w:bCs/>
          <w:b/>
        </w:rPr>
        <w:t xml:space="preserve">⚠️ Middle East DR (DR-014, DEC-001) — currently NOT offered.</w:t>
      </w:r>
      <w:r>
        <w:t xml:space="preserve"> </w:t>
      </w:r>
      <w:r>
        <w:t xml:space="preserve">As it stands, DR is</w:t>
      </w:r>
      <w:r>
        <w:t xml:space="preserve"> </w:t>
      </w:r>
      <w:r>
        <w:rPr>
          <w:bCs/>
          <w:b/>
        </w:rPr>
        <w:t xml:space="preserve">not offered</w:t>
      </w:r>
      <w:r>
        <w:t xml:space="preserve"> </w:t>
      </w:r>
      <w:r>
        <w:t xml:space="preserve">in the Middle East. Legal owns the Middle East programme and data-sovereignty/residency laws (a largely government/medical customer base) mean cross-border DR cannot meet residency requirements (baseline Section 2, Section 5.2, Section 6). Middle East placement defaults to</w:t>
      </w:r>
      <w:r>
        <w:t xml:space="preserve"> </w:t>
      </w:r>
      <w:r>
        <w:rPr>
          <w:rStyle w:val="VerbatimChar"/>
        </w:rPr>
        <w:t xml:space="preserve">dr_region = NOT_OFFERED</w:t>
      </w:r>
      <w:r>
        <w:t xml:space="preserve">;</w:t>
      </w:r>
      <w:r>
        <w:t xml:space="preserve"> </w:t>
      </w:r>
      <w:r>
        <w:rPr>
          <w:bCs/>
          <w:b/>
        </w:rPr>
        <w:t xml:space="preserve">production may still exist without DR</w:t>
      </w:r>
      <w:r>
        <w:t xml:space="preserve">. Switzerland North is a pre-configured cross-geo extension that becomes usable</w:t>
      </w:r>
      <w:r>
        <w:t xml:space="preserve"> </w:t>
      </w:r>
      <w:r>
        <w:rPr>
          <w:bCs/>
          <w:b/>
        </w:rPr>
        <w:t xml:space="preserve">only if/when Legal approves DEC-001</w:t>
      </w:r>
      <w:r>
        <w:t xml:space="preserve">. This is a pending decision and a major architectural risk (baseline Section 25).</w:t>
      </w:r>
    </w:p>
    <w:p>
      <w:r>
        <w:pict>
          <v:rect style="width:0;height:1.5pt" o:hralign="center" o:hrstd="t" o:hr="t"/>
        </w:pict>
      </w:r>
    </w:p>
    <w:bookmarkStart w:id="23" w:name="introduction"/>
    <w:p>
      <w:pPr>
        <w:pStyle w:val="Heading2"/>
      </w:pPr>
      <w:r>
        <w:t xml:space="preserve">1. Introduction</w:t>
      </w:r>
    </w:p>
    <w:bookmarkStart w:id="20" w:name="purpose-and-scope"/>
    <w:p>
      <w:pPr>
        <w:pStyle w:val="Heading3"/>
      </w:pPr>
      <w:r>
        <w:t xml:space="preserve">1.1 Purpose and scope</w:t>
      </w:r>
    </w:p>
    <w:p>
      <w:pPr>
        <w:pStyle w:val="FirstParagraph"/>
      </w:pPr>
      <w:r>
        <w:t xml:space="preserve">ACRME governs Azure capacity reservations and VM-family quota across a managed fleet so that every managed deployment has</w:t>
      </w:r>
      <w:r>
        <w:t xml:space="preserve"> </w:t>
      </w:r>
      <w:r>
        <w:rPr>
          <w:bCs/>
          <w:b/>
        </w:rPr>
        <w:t xml:space="preserve">both</w:t>
      </w:r>
      <w:r>
        <w:t xml:space="preserve"> </w:t>
      </w:r>
      <w:r>
        <w:t xml:space="preserve">reserved physical capacity and deployable quota, in the right region/zone/SKU, before it is allowed to proceed — while keeping idle cost low through lean DR and dynamic reconciliation.</w:t>
      </w:r>
    </w:p>
    <w:p>
      <w:pPr>
        <w:pStyle w:val="BodyText"/>
      </w:pPr>
      <w:r>
        <w:rPr>
          <w:bCs/>
          <w:b/>
        </w:rPr>
        <w:t xml:space="preserve">In scope (baseline Section 5):</w:t>
      </w:r>
      <w:r>
        <w:t xml:space="preserve"> </w:t>
      </w:r>
      <w:r>
        <w:t xml:space="preserve">capacity reservation lifecycle (CAP), quota governance and pooling (QUA), combined deployment readiness (RDY), region selection and customer placement (PLC/REG), disaster recovery (DR), cost/FinOps signals (FIN), AEP/provisioning integration (INT), data/state (DAT), observability (OBS), governance (GOV), operations (OPS), and non-functional behaviour (NFR).</w:t>
      </w:r>
    </w:p>
    <w:p>
      <w:pPr>
        <w:pStyle w:val="BodyText"/>
      </w:pPr>
      <w:r>
        <w:rPr>
          <w:bCs/>
          <w:b/>
        </w:rPr>
        <w:t xml:space="preserve">Out of scope:</w:t>
      </w:r>
      <w:r>
        <w:t xml:space="preserve"> </w:t>
      </w:r>
      <w:r>
        <w:t xml:space="preserve">the actual provisioning of customer workloads (owned by AEP), Azure control-plane implementation, and any automation not gated by policy in Phase 1 (destructive VM-association changes remain blocked — see Section 4.5).</w:t>
      </w:r>
    </w:p>
    <w:bookmarkEnd w:id="20"/>
    <w:bookmarkStart w:id="21" w:name="definitions"/>
    <w:p>
      <w:pPr>
        <w:pStyle w:val="Heading3"/>
      </w:pPr>
      <w:r>
        <w:t xml:space="preserve">1.2 Definitions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Reservation Group — Azure construct holding reserved capacity per region/zone/SKU.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validation environment; its capacity may contribute to DR readiness under earmark.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Azure/Application Enablement Platform — the provisioning consumer of ACRME readiness.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Seed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customer record holding production, CVAL, and DR regional placement (PLC-003).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Single governed quota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governed quota group per region/quota family covering Prod + NonProd/CVAL + DR (QUA-004).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 bootstrap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reserved standby capacity to initiate recovery, not a fixed % of production (DR-007).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max-not-sum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DR sizing = largest single non-concurrent protected source portion (DR-017).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Source→destination DR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Reverse-of-seed mapping driving source-specific standby activation (DR-018).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Readiness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Machine-readable deployment-readiness verdict returned to AEP (RDY-002).</w:t>
            </w:r>
          </w:p>
        </w:tc>
      </w:tr>
    </w:tbl>
    <w:bookmarkEnd w:id="21"/>
    <w:bookmarkStart w:id="22" w:name="traceability-approach"/>
    <w:p>
      <w:pPr>
        <w:pStyle w:val="Heading3"/>
      </w:pPr>
      <w:r>
        <w:t xml:space="preserve">1.3 Traceability approach</w:t>
      </w:r>
    </w:p>
    <w:p>
      <w:pPr>
        <w:pStyle w:val="FirstParagraph"/>
      </w:pPr>
      <w:r>
        <w:t xml:space="preserve">Every functional capability in Section 4 cites the requirement IDs it satisfies. Section 9 is a full matrix mapping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Baseline v2.3 ID (REG/ENV/CAP/QUA/RDY/PLC/DR/FIN/INT/DAT/OBS/GOV/NFR/OPS + POC/DEC/DEP dependencies) to an FDD section.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solution-overview"/>
    <w:p>
      <w:pPr>
        <w:pStyle w:val="Heading2"/>
      </w:pPr>
      <w:r>
        <w:t xml:space="preserve">2. Solution Overview</w:t>
      </w:r>
    </w:p>
    <w:p>
      <w:pPr>
        <w:pStyle w:val="FirstParagraph"/>
      </w:pPr>
      <w:r>
        <w:t xml:space="preserve">ACRME is a policy-driven control engine sitting between the customer/onboarding intent and Azure’s capacity and quota control planes. It continuously reconciles desired vs actual state and answers a single question for every managed deployment:</w:t>
      </w:r>
      <w:r>
        <w:t xml:space="preserve"> </w:t>
      </w:r>
      <w:r>
        <w:rPr>
          <w:iCs/>
          <w:i/>
        </w:rPr>
        <w:t xml:space="preserve">is this deployment ready, and if not, exactly why?</w:t>
      </w:r>
    </w:p>
    <w:p>
      <w:pPr>
        <w:pStyle w:val="BodyText"/>
      </w:pPr>
      <w:r>
        <w:rPr>
          <w:bCs/>
          <w:b/>
        </w:rPr>
        <w:t xml:space="preserve">Capability map → requirement groups: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FDD 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 reservation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 governance &amp; single-pool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Combined deployment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selection &amp; customer placement (seed)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PLC, 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Disaster recovery (distributed, max-not-sum)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DR, 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 &amp; FinOps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Provisioning &amp; AEP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 &amp; governance &amp;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OBS, GOV,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&amp; state (functional 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Non-functional 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 (each), Section 6</w:t>
            </w:r>
          </w:p>
        </w:tc>
      </w:tr>
    </w:tbl>
    <w:bookmarkStart w:id="24" w:name="f1-system-context"/>
    <w:p>
      <w:pPr>
        <w:pStyle w:val="Heading3"/>
      </w:pPr>
      <w:r>
        <w:t xml:space="preserve">F1 — System context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Onboard[Onboarding / Product teams] --&gt;|exact prod region, customer intent| ACRME</w:t>
      </w:r>
      <w:r>
        <w:br/>
      </w:r>
      <w:r>
        <w:rPr>
          <w:rStyle w:val="VerbatimChar"/>
        </w:rPr>
        <w:t xml:space="preserve">    AEP[AEP / Provisioning] --&gt;|readiness query| ACRME</w:t>
      </w:r>
      <w:r>
        <w:br/>
      </w:r>
      <w:r>
        <w:rPr>
          <w:rStyle w:val="VerbatimChar"/>
        </w:rPr>
        <w:t xml:space="preserve">    ACRME --&gt;|DeploymentReadinessResult| AEP</w:t>
      </w:r>
      <w:r>
        <w:br/>
      </w:r>
      <w:r>
        <w:rPr>
          <w:rStyle w:val="VerbatimChar"/>
        </w:rPr>
        <w:t xml:space="preserve">    Ops[Platform operators / DR coordinator] --&gt;|approvals, overrides, DR declaration| ACRME</w:t>
      </w:r>
      <w:r>
        <w:br/>
      </w:r>
      <w:r>
        <w:rPr>
          <w:rStyle w:val="VerbatimChar"/>
        </w:rPr>
        <w:t xml:space="preserve">    FinOps[FinOps] --&gt;|cost policy, buffer policy| ACRME</w:t>
      </w:r>
      <w:r>
        <w:br/>
      </w:r>
      <w:r>
        <w:rPr>
          <w:rStyle w:val="VerbatimChar"/>
        </w:rPr>
        <w:t xml:space="preserve">    Audit[Auditors] --&gt;|read audit trail| ACRME</w:t>
      </w:r>
      <w:r>
        <w:br/>
      </w:r>
      <w:r>
        <w:rPr>
          <w:rStyle w:val="VerbatimChar"/>
        </w:rPr>
        <w:t xml:space="preserve">    ACRME --&gt;|reservations, CRGs| AzCap[Azure Capacity Control Plane]</w:t>
      </w:r>
      <w:r>
        <w:br/>
      </w:r>
      <w:r>
        <w:rPr>
          <w:rStyle w:val="VerbatimChar"/>
        </w:rPr>
        <w:t xml:space="preserve">    ACRME --&gt;|quota pool ops| AzQuota[Azure Quota / groupQuotas]</w:t>
      </w:r>
      <w:r>
        <w:br/>
      </w:r>
      <w:r>
        <w:rPr>
          <w:rStyle w:val="VerbatimChar"/>
        </w:rPr>
        <w:t xml:space="preserve">    ACRME --&gt;|metrics, alerts| Obs[Observability platform]</w:t>
      </w:r>
      <w:r>
        <w:br/>
      </w:r>
      <w:r>
        <w:rPr>
          <w:rStyle w:val="VerbatimChar"/>
        </w:rPr>
        <w:t xml:space="preserve">    AzCap --&gt; ACRME</w:t>
      </w:r>
      <w:r>
        <w:br/>
      </w:r>
      <w:r>
        <w:rPr>
          <w:rStyle w:val="VerbatimChar"/>
        </w:rPr>
        <w:t xml:space="preserve">    AzQuota --&gt; ACRME</w:t>
      </w:r>
    </w:p>
    <w:bookmarkEnd w:id="24"/>
    <w:bookmarkStart w:id="25" w:name="f2-capability-map"/>
    <w:p>
      <w:pPr>
        <w:pStyle w:val="Heading3"/>
      </w:pPr>
      <w:r>
        <w:t xml:space="preserve">F2 — Capability map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ACRME((ACRME Engine))</w:t>
      </w:r>
      <w:r>
        <w:br/>
      </w:r>
      <w:r>
        <w:rPr>
          <w:rStyle w:val="VerbatimChar"/>
        </w:rPr>
        <w:t xml:space="preserve">    ACRME --&gt; C1[Capacity mgmt&lt;br/&gt;CAP]</w:t>
      </w:r>
      <w:r>
        <w:br/>
      </w:r>
      <w:r>
        <w:rPr>
          <w:rStyle w:val="VerbatimChar"/>
        </w:rPr>
        <w:t xml:space="preserve">    ACRME --&gt; C2[Quota single pool&lt;br/&gt;QUA]</w:t>
      </w:r>
      <w:r>
        <w:br/>
      </w:r>
      <w:r>
        <w:rPr>
          <w:rStyle w:val="VerbatimChar"/>
        </w:rPr>
        <w:t xml:space="preserve">    ACRME --&gt; C3[Readiness&lt;br/&gt;RDY]</w:t>
      </w:r>
      <w:r>
        <w:br/>
      </w:r>
      <w:r>
        <w:rPr>
          <w:rStyle w:val="VerbatimChar"/>
        </w:rPr>
        <w:t xml:space="preserve">    ACRME --&gt; C4[Placement + Seed&lt;br/&gt;PLC / REG]</w:t>
      </w:r>
      <w:r>
        <w:br/>
      </w:r>
      <w:r>
        <w:rPr>
          <w:rStyle w:val="VerbatimChar"/>
        </w:rPr>
        <w:t xml:space="preserve">    ACRME --&gt; C5[Disaster recovery&lt;br/&gt;DR / ENV]</w:t>
      </w:r>
      <w:r>
        <w:br/>
      </w:r>
      <w:r>
        <w:rPr>
          <w:rStyle w:val="VerbatimChar"/>
        </w:rPr>
        <w:t xml:space="preserve">    ACRME --&gt; C6[Cost / FinOps&lt;br/&gt;FIN]</w:t>
      </w:r>
      <w:r>
        <w:br/>
      </w:r>
      <w:r>
        <w:rPr>
          <w:rStyle w:val="VerbatimChar"/>
        </w:rPr>
        <w:t xml:space="preserve">    ACRME --&gt; C7[AEP integration&lt;br/&gt;INT]</w:t>
      </w:r>
      <w:r>
        <w:br/>
      </w:r>
      <w:r>
        <w:rPr>
          <w:rStyle w:val="VerbatimChar"/>
        </w:rPr>
        <w:t xml:space="preserve">    ACRME --&gt; C8[Observability / Governance / Ops&lt;br/&gt;OBS / GOV / OPS]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actors-and-stakeholders"/>
    <w:p>
      <w:pPr>
        <w:pStyle w:val="Heading2"/>
      </w:pPr>
      <w:r>
        <w:t xml:space="preserve">3. Actors and Stakeholders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in ACRME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 / product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Supplies exact production region and customer intent; requests placement.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PLC-001, PLC-002, REG-001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AEP / provisioning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Queries readiness before deploying; consumes readiness contract.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INT-001..007, RDY-001..004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operator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Approves increases/overrides, runs reconciliation, manages scope files.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GOV-001..009, OPS-001..005, CAP-006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Declares DR events, orders priority waves, authorises CVAL release, drives failback.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DR-004..013, DR-019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cost/buffer policy; monitors idle cost and overcommit.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FIN-001..008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immutable audit trail of all decisions and mutations.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GOV-004..009, DAT-005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Microsoft/Azure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&amp; quota provider and feature-maturity dependency.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DEP-001, POC-001..011</w:t>
            </w:r>
          </w:p>
        </w:tc>
      </w:tr>
    </w:tbl>
    <w:bookmarkStart w:id="27" w:name="f3-actor-use-case-overview"/>
    <w:p>
      <w:pPr>
        <w:pStyle w:val="Heading3"/>
      </w:pPr>
      <w:r>
        <w:t xml:space="preserve">F3 — Actor / use-case overview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subgraph Actors</w:t>
      </w:r>
      <w:r>
        <w:br/>
      </w:r>
      <w:r>
        <w:rPr>
          <w:rStyle w:val="VerbatimChar"/>
        </w:rPr>
        <w:t xml:space="preserve">        O[Onboarding]</w:t>
      </w:r>
      <w:r>
        <w:br/>
      </w:r>
      <w:r>
        <w:rPr>
          <w:rStyle w:val="VerbatimChar"/>
        </w:rPr>
        <w:t xml:space="preserve">        A[AEP]</w:t>
      </w:r>
      <w:r>
        <w:br/>
      </w:r>
      <w:r>
        <w:rPr>
          <w:rStyle w:val="VerbatimChar"/>
        </w:rPr>
        <w:t xml:space="preserve">        Op[Operator]</w:t>
      </w:r>
      <w:r>
        <w:br/>
      </w:r>
      <w:r>
        <w:rPr>
          <w:rStyle w:val="VerbatimChar"/>
        </w:rPr>
        <w:t xml:space="preserve">        DR[DR coordinator]</w:t>
      </w:r>
      <w:r>
        <w:br/>
      </w:r>
      <w:r>
        <w:rPr>
          <w:rStyle w:val="VerbatimChar"/>
        </w:rPr>
        <w:t xml:space="preserve">        F[FinOps]</w:t>
      </w:r>
      <w:r>
        <w:br/>
      </w:r>
      <w:r>
        <w:rPr>
          <w:rStyle w:val="VerbatimChar"/>
        </w:rPr>
        <w:t xml:space="preserve">        Au[Auditor]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O --&gt; UC1((Onboard + place customer))</w:t>
      </w:r>
      <w:r>
        <w:br/>
      </w:r>
      <w:r>
        <w:rPr>
          <w:rStyle w:val="VerbatimChar"/>
        </w:rPr>
        <w:t xml:space="preserve">    A --&gt; UC2((Query deployment readiness))</w:t>
      </w:r>
      <w:r>
        <w:br/>
      </w:r>
      <w:r>
        <w:rPr>
          <w:rStyle w:val="VerbatimChar"/>
        </w:rPr>
        <w:t xml:space="preserve">    Op --&gt; UC3((Reconcile capacity/quota))</w:t>
      </w:r>
      <w:r>
        <w:br/>
      </w:r>
      <w:r>
        <w:rPr>
          <w:rStyle w:val="VerbatimChar"/>
        </w:rPr>
        <w:t xml:space="preserve">    Op --&gt; UC4((Approve increase / override))</w:t>
      </w:r>
      <w:r>
        <w:br/>
      </w:r>
      <w:r>
        <w:rPr>
          <w:rStyle w:val="VerbatimChar"/>
        </w:rPr>
        <w:t xml:space="preserve">    DR --&gt; UC5((Declare DR + activate standby))</w:t>
      </w:r>
      <w:r>
        <w:br/>
      </w:r>
      <w:r>
        <w:rPr>
          <w:rStyle w:val="VerbatimChar"/>
        </w:rPr>
        <w:t xml:space="preserve">    DR --&gt; UC6((Run DR drill / failback))</w:t>
      </w:r>
      <w:r>
        <w:br/>
      </w:r>
      <w:r>
        <w:rPr>
          <w:rStyle w:val="VerbatimChar"/>
        </w:rPr>
        <w:t xml:space="preserve">    F --&gt; UC7((Set cost/buffer policy))</w:t>
      </w:r>
      <w:r>
        <w:br/>
      </w:r>
      <w:r>
        <w:rPr>
          <w:rStyle w:val="VerbatimChar"/>
        </w:rPr>
        <w:t xml:space="preserve">    Au --&gt; UC8((Audit decisions))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1" w:name="functional-capabilities"/>
    <w:p>
      <w:pPr>
        <w:pStyle w:val="Heading2"/>
      </w:pPr>
      <w:r>
        <w:t xml:space="preserve">4. Functional Capabilities</w:t>
      </w:r>
    </w:p>
    <w:bookmarkStart w:id="29" w:name="X9eca0a36453d16f207aa7cc644158f26a54f230"/>
    <w:p>
      <w:pPr>
        <w:pStyle w:val="Heading3"/>
      </w:pPr>
      <w:r>
        <w:t xml:space="preserve">4.1 Capacity reservation management (CAP-001..019)</w:t>
      </w:r>
    </w:p>
    <w:p>
      <w:pPr>
        <w:numPr>
          <w:ilvl w:val="0"/>
          <w:numId w:val="1001"/>
        </w:numPr>
        <w:pStyle w:val="Compact"/>
      </w:pPr>
      <w:r>
        <w:t xml:space="preserve">ACRME maintains reservation state per subscription/region/zone/SKU-family/environment/product and correlates it with quota state (CAP-001, CAP-002).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Steady-state reservation floor</w:t>
      </w:r>
      <w:r>
        <w:t xml:space="preserve"> </w:t>
      </w:r>
      <w:r>
        <w:t xml:space="preserve">is normative:</w:t>
      </w:r>
      <w:r>
        <w:t xml:space="preserve"> </w:t>
      </w:r>
      <w:r>
        <w:rPr>
          <w:rStyle w:val="VerbatimChar"/>
        </w:rPr>
        <w:t xml:space="preserve">Target Reserved Capacity = Allocated VM Count + Configured Buffer</w:t>
      </w:r>
      <w:r>
        <w:t xml:space="preserve"> </w:t>
      </w:r>
      <w:r>
        <w:t xml:space="preserve">(CAP-003). Associated-but-deallocated VMs are reported separately and do not automatically preserve paid reservation (CAP-004, CAP-013).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1"/>
        </w:numPr>
        <w:pStyle w:val="Compact"/>
      </w:pPr>
      <w:r>
        <w:t xml:space="preserve">Azure resource creation precedes config activation: create/validate the CRG/reservation first, then activate the deployment config that references it (CAP-007, CAP-008).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Zero-capacity, not deletion:</w:t>
      </w:r>
      <w:r>
        <w:t xml:space="preserve"> </w:t>
      </w:r>
      <w:r>
        <w:t xml:space="preserve">an unused managed reservation is reduced to zero where Azure permits; deletion is a separate approved decommissioning workflow (CAP-009, CAP-010).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1"/>
        </w:numPr>
        <w:pStyle w:val="Compact"/>
      </w:pPr>
      <w:r>
        <w:t xml:space="preserve">Over-allocation (reserved &lt; associated demand) is explicit and policy-approved, never silent (CAP-011, CAP-012). Capacity sharing across subscriptions is validated for SKU/region/zone/authorisation (CAP-014..019).</w:t>
      </w:r>
      <w:r>
        <w:t xml:space="preserve"> </w:t>
      </w:r>
      <w:r>
        <w:rPr>
          <w:rStyle w:val="VerbatimChar"/>
        </w:rPr>
        <w:t xml:space="preserve">[Decided]</w:t>
      </w:r>
    </w:p>
    <w:bookmarkEnd w:id="29"/>
    <w:bookmarkStart w:id="30" w:name="X772f6edffb11c05be1347f03e03970782405024"/>
    <w:p>
      <w:pPr>
        <w:pStyle w:val="Heading3"/>
      </w:pPr>
      <w:r>
        <w:t xml:space="preserve">4.2 Quota management — single governed pool (QUA-001..014)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Primary model (QUA-004): one governed quota pool per region and quota family</w:t>
      </w:r>
      <w:r>
        <w:t xml:space="preserve">, covering Prod, NonProd/CVAL, and DR together. All eligible default per-region quota is hoarded into the pool (QUA-003) and allocated on demand to whichever environment needs it — maximising flexibility, improving utilisation, and</w:t>
      </w:r>
      <w:r>
        <w:t xml:space="preserve"> </w:t>
      </w:r>
      <w:r>
        <w:rPr>
          <w:bCs/>
          <w:b/>
        </w:rPr>
        <w:t xml:space="preserve">cutting quota-increase requests to Microsoft</w:t>
      </w:r>
      <w:r>
        <w:t xml:space="preserve">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Prod protection inside the shared pool</w:t>
      </w:r>
      <w:r>
        <w:t xml:space="preserve"> </w:t>
      </w:r>
      <w:r>
        <w:t xml:space="preserve">is by logical earmark, not physical separation:</w:t>
      </w:r>
      <w:r>
        <w:t xml:space="preserve"> </w:t>
      </w:r>
      <w:r>
        <w:rPr>
          <w:rStyle w:val="VerbatimChar"/>
        </w:rPr>
        <w:t xml:space="preserve">Prod_Reserved_Floor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DR_Earmark_vCPU</w:t>
      </w:r>
      <w:r>
        <w:t xml:space="preserve"> </w:t>
      </w:r>
      <w:r>
        <w:t xml:space="preserve">are never allocatable to NonProd; NonProd allocation fail-safes at</w:t>
      </w:r>
      <w:r>
        <w:t xml:space="preserve"> </w:t>
      </w:r>
      <w:r>
        <w:rPr>
          <w:rStyle w:val="VerbatimChar"/>
        </w:rPr>
        <w:t xml:space="preserve">Allocatable_NonProd = 0</w:t>
      </w:r>
      <w:r>
        <w:t xml:space="preserve"> </w:t>
      </w:r>
      <w:r>
        <w:t xml:space="preserve">(QUA-006..009).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Quota-as-governor (QUA-005):</w:t>
      </w:r>
      <w:r>
        <w:t xml:space="preserve"> </w:t>
      </w:r>
      <w:r>
        <w:t xml:space="preserve">quota caps deployable capacity per product/env/subscription/region/family; every increase is justified and recorded — unallocated pooled quota is not auto-distributed.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Exception topology (QUA-004 clause):</w:t>
      </w:r>
      <w:r>
        <w:t xml:space="preserve"> </w:t>
      </w:r>
      <w:r>
        <w:t xml:space="preserve">a two-group/multi-group model is used only when Azure Quota Group limits or a mandatory Prod-isolation governance boundary make one pool impossible; each such case is recorded in the Decision Log and reverts to one pool when the constraint lifts.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2"/>
        </w:numPr>
        <w:pStyle w:val="Compact"/>
      </w:pPr>
      <w:r>
        <w:t xml:space="preserve">Reclamation never drops a subscription below current usage, committed demand, Prod buffer, or approved DR need (QUA-010..014).</w:t>
      </w:r>
      <w:r>
        <w:t xml:space="preserve"> </w:t>
      </w:r>
      <w:r>
        <w:rPr>
          <w:rStyle w:val="VerbatimChar"/>
        </w:rPr>
        <w:t xml:space="preserve">[Decided]</w:t>
      </w:r>
    </w:p>
    <w:bookmarkEnd w:id="30"/>
    <w:bookmarkStart w:id="31" w:name="combined-readiness-rdy-001..004"/>
    <w:p>
      <w:pPr>
        <w:pStyle w:val="Heading3"/>
      </w:pPr>
      <w:r>
        <w:t xml:space="preserve">4.3 Combined readiness (RDY-001..004)</w:t>
      </w:r>
    </w:p>
    <w:p>
      <w:pPr>
        <w:pStyle w:val="FirstParagraph"/>
      </w:pPr>
      <w:r>
        <w:t xml:space="preserve">ACRME returns a single machine-readable</w:t>
      </w:r>
      <w:r>
        <w:t xml:space="preserve"> </w:t>
      </w:r>
      <w:r>
        <w:rPr>
          <w:bCs/>
          <w:b/>
        </w:rPr>
        <w:t xml:space="preserve">deployment readiness state</w:t>
      </w:r>
      <w:r>
        <w:t xml:space="preserve"> </w:t>
      </w:r>
      <w:r>
        <w:t xml:space="preserve">to AEP (RDY-001, RDY-002). The enumerated states are normative:</w:t>
      </w:r>
    </w:p>
    <w:p>
      <w:pPr>
        <w:pStyle w:val="SourceCode"/>
      </w:pPr>
      <w:r>
        <w:rPr>
          <w:rStyle w:val="VerbatimChar"/>
        </w:rPr>
        <w:t xml:space="preserve">READY | READY_WITH_RISK | QUOTA_DEFICIT | RESERVATION_DEFICIT |</w:t>
      </w:r>
      <w:r>
        <w:br/>
      </w:r>
      <w:r>
        <w:rPr>
          <w:rStyle w:val="VerbatimChar"/>
        </w:rPr>
        <w:t xml:space="preserve">CAPACITY_UNAVAILABLE | STALE_STATE | POLICY_BLOCKED | VALIDATION_REQUIRED</w:t>
      </w:r>
    </w:p>
    <w:p>
      <w:pPr>
        <w:pStyle w:val="FirstParagraph"/>
      </w:pPr>
      <w:r>
        <w:t xml:space="preserve">Readiness combines capacity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quota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freshness: a reservation without deployable quota is</w:t>
      </w:r>
      <w:r>
        <w:t xml:space="preserve"> </w:t>
      </w:r>
      <w:r>
        <w:rPr>
          <w:rStyle w:val="VerbatimChar"/>
        </w:rPr>
        <w:t xml:space="preserve">READY_WITH_RISK</w:t>
      </w:r>
      <w:r>
        <w:t xml:space="preserve">/</w:t>
      </w:r>
      <w:r>
        <w:rPr>
          <w:rStyle w:val="VerbatimChar"/>
        </w:rPr>
        <w:t xml:space="preserve">QUOTA_DEFICIT</w:t>
      </w:r>
      <w:r>
        <w:t xml:space="preserve">, never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 </w:t>
      </w:r>
      <w:r>
        <w:t xml:space="preserve">(RDY-003). State older than the configured maximum, when synchronous refresh fails, is</w:t>
      </w:r>
      <w:r>
        <w:t xml:space="preserve"> </w:t>
      </w:r>
      <w:r>
        <w:rPr>
          <w:rStyle w:val="VerbatimChar"/>
        </w:rPr>
        <w:t xml:space="preserve">STALE_STATE</w:t>
      </w:r>
      <w:r>
        <w:t xml:space="preserve"> </w:t>
      </w:r>
      <w:r>
        <w:t xml:space="preserve">and fails safe (RDY-004, NFR-002).</w:t>
      </w:r>
      <w:r>
        <w:t xml:space="preserve"> </w:t>
      </w:r>
      <w:r>
        <w:rPr>
          <w:rStyle w:val="VerbatimChar"/>
        </w:rPr>
        <w:t xml:space="preserve">[Decided]</w:t>
      </w:r>
    </w:p>
    <w:bookmarkEnd w:id="31"/>
    <w:bookmarkStart w:id="32" w:name="Xc47e86e10f89ad68333966a0da227c13a8edf1d"/>
    <w:p>
      <w:pPr>
        <w:pStyle w:val="Heading3"/>
      </w:pPr>
      <w:r>
        <w:t xml:space="preserve">F8 — Deployment readiness state model (RDY-002)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Evaluating</w:t>
      </w:r>
      <w:r>
        <w:br/>
      </w:r>
      <w:r>
        <w:rPr>
          <w:rStyle w:val="VerbatimChar"/>
        </w:rPr>
        <w:t xml:space="preserve">    Evaluating --&gt; READY: capacity+quota ok &amp; fresh</w:t>
      </w:r>
      <w:r>
        <w:br/>
      </w:r>
      <w:r>
        <w:rPr>
          <w:rStyle w:val="VerbatimChar"/>
        </w:rPr>
        <w:t xml:space="preserve">    Evaluating --&gt; READY_WITH_RISK: reserved&gt;deployable quota (policy)</w:t>
      </w:r>
      <w:r>
        <w:br/>
      </w:r>
      <w:r>
        <w:rPr>
          <w:rStyle w:val="VerbatimChar"/>
        </w:rPr>
        <w:t xml:space="preserve">    Evaluating --&gt; QUOTA_DEFICIT: consumer quota short</w:t>
      </w:r>
      <w:r>
        <w:br/>
      </w:r>
      <w:r>
        <w:rPr>
          <w:rStyle w:val="VerbatimChar"/>
        </w:rPr>
        <w:t xml:space="preserve">    Evaluating --&gt; RESERVATION_DEFICIT: reserved &lt; required</w:t>
      </w:r>
      <w:r>
        <w:br/>
      </w:r>
      <w:r>
        <w:rPr>
          <w:rStyle w:val="VerbatimChar"/>
        </w:rPr>
        <w:t xml:space="preserve">    Evaluating --&gt; CAPACITY_UNAVAILABLE: Azure cannot supply</w:t>
      </w:r>
      <w:r>
        <w:br/>
      </w:r>
      <w:r>
        <w:rPr>
          <w:rStyle w:val="VerbatimChar"/>
        </w:rPr>
        <w:t xml:space="preserve">    Evaluating --&gt; STALE_STATE: snapshot too old &amp; refresh failed</w:t>
      </w:r>
      <w:r>
        <w:br/>
      </w:r>
      <w:r>
        <w:rPr>
          <w:rStyle w:val="VerbatimChar"/>
        </w:rPr>
        <w:t xml:space="preserve">    Evaluating --&gt; POLICY_BLOCKED: policy/exception required</w:t>
      </w:r>
      <w:r>
        <w:br/>
      </w:r>
      <w:r>
        <w:rPr>
          <w:rStyle w:val="VerbatimChar"/>
        </w:rPr>
        <w:t xml:space="preserve">    Evaluating --&gt; VALIDATION_REQUIRED: unknown/preview behaviour</w:t>
      </w:r>
      <w:r>
        <w:br/>
      </w:r>
      <w:r>
        <w:rPr>
          <w:rStyle w:val="VerbatimChar"/>
        </w:rPr>
        <w:t xml:space="preserve">    READY --&gt; [*]</w:t>
      </w:r>
      <w:r>
        <w:br/>
      </w:r>
      <w:r>
        <w:rPr>
          <w:rStyle w:val="VerbatimChar"/>
        </w:rPr>
        <w:t xml:space="preserve">    READY_WITH_RISK --&gt; [*]</w:t>
      </w:r>
      <w:r>
        <w:br/>
      </w:r>
      <w:r>
        <w:rPr>
          <w:rStyle w:val="VerbatimChar"/>
        </w:rPr>
        <w:t xml:space="preserve">    QUOTA_DEFICIT --&gt; Evaluating: quota allocated</w:t>
      </w:r>
      <w:r>
        <w:br/>
      </w:r>
      <w:r>
        <w:rPr>
          <w:rStyle w:val="VerbatimChar"/>
        </w:rPr>
        <w:t xml:space="preserve">    RESERVATION_DEFICIT --&gt; Evaluating: capacity added</w:t>
      </w:r>
      <w:r>
        <w:br/>
      </w:r>
      <w:r>
        <w:rPr>
          <w:rStyle w:val="VerbatimChar"/>
        </w:rPr>
        <w:t xml:space="preserve">    STALE_STATE --&gt; Evaluating: refresh succeeds</w:t>
      </w:r>
    </w:p>
    <w:bookmarkEnd w:id="32"/>
    <w:bookmarkStart w:id="33" w:name="X8b011be1e0bc9abaf5c3168ea77d90b8660d40e"/>
    <w:p>
      <w:pPr>
        <w:pStyle w:val="Heading3"/>
      </w:pPr>
      <w:r>
        <w:t xml:space="preserve">4.4 Region selection &amp; customer placement (PLC-001..010, REG-001..003)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Exact production region is the default validated input (PLC-001).</w:t>
      </w:r>
      <w:r>
        <w:t xml:space="preserve"> </w:t>
      </w:r>
      <w:r>
        <w:t xml:space="preserve">ACRME validates the supplied region against the versioned catalogue rather than deriving it from a broad geography.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Geography-only selection is an exception path (PLC-002):</w:t>
      </w:r>
      <w:r>
        <w:t xml:space="preserve"> </w:t>
      </w:r>
      <w:r>
        <w:t xml:space="preserve">it requires explicit exception approval and customer acknowledgement that the derived production region becomes</w:t>
      </w:r>
      <w:r>
        <w:t xml:space="preserve"> </w:t>
      </w:r>
      <w:r>
        <w:rPr>
          <w:bCs/>
          <w:b/>
        </w:rPr>
        <w:t xml:space="preserve">fixed</w:t>
      </w:r>
      <w:r>
        <w:t xml:space="preserve"> </w:t>
      </w:r>
      <w:r>
        <w:t xml:space="preserve">(the seed) until a governed migration changes it.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Seed-once, reuse-across-products (PLC-003..005):</w:t>
      </w:r>
      <w:r>
        <w:t xml:space="preserve"> </w:t>
      </w:r>
      <w:r>
        <w:t xml:space="preserve">the first valid decision writes</w:t>
      </w:r>
      <w:r>
        <w:t xml:space="preserve"> </w:t>
      </w:r>
      <w:r>
        <w:rPr>
          <w:rStyle w:val="VerbatimChar"/>
        </w:rPr>
        <w:t xml:space="preserve">CustomerSeedRecord</w:t>
      </w:r>
      <w:r>
        <w:t xml:space="preserve">; later products/environments for the same customer/geography reuse it. Seed changes require an approved migration workflow.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3"/>
        </w:numPr>
        <w:pStyle w:val="Compact"/>
      </w:pPr>
      <w:r>
        <w:t xml:space="preserve">CVAL and DR are selected after production is fixed, using current readiness, environment separation (ENV-003), restriction flags, workload distribution, quota/capacity, and freshness (PLC-006..009).</w:t>
      </w:r>
      <w:r>
        <w:t xml:space="preserve"> </w:t>
      </w:r>
      <w:r>
        <w:rPr>
          <w:rStyle w:val="VerbatimChar"/>
        </w:rPr>
        <w:t xml:space="preserve">[Derived]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CVAL/DR co-location double-count guard (PLC-010):</w:t>
      </w:r>
      <w:r>
        <w:t xml:space="preserve"> </w:t>
      </w:r>
      <w:r>
        <w:t xml:space="preserve">earmarked CVAL capacity counts toward DR headroom, never as both live CVAL and available DR.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Two-region CVAL/DR co-location is mandatory (PLC-010a):</w:t>
      </w:r>
      <w:r>
        <w:t xml:space="preserve"> </w:t>
      </w:r>
      <w:r>
        <w:t xml:space="preserve">in every two-region geography (EU, Australia, Asia Pacific, Middle East), production is in one region and</w:t>
      </w:r>
      <w:r>
        <w:t xml:space="preserve"> </w:t>
      </w:r>
      <w:r>
        <w:rPr>
          <w:bCs/>
          <w:b/>
        </w:rPr>
        <w:t xml:space="preserve">CVAL and DR are co-located in the other region</w:t>
      </w:r>
      <w:r>
        <w:t xml:space="preserve">. The Middle East is the single exception — DR is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(DEC-001), so its second region hosts CVAL only. The three-region US geography places production, CVAL and DR across distinct regions.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Region catalogue (REG-001..003):</w:t>
      </w:r>
      <w:r>
        <w:t xml:space="preserve"> </w:t>
      </w:r>
      <w:r>
        <w:t xml:space="preserve">versioned, configuration-driven; the catalogue defines</w:t>
      </w:r>
      <w:r>
        <w:t xml:space="preserve"> </w:t>
      </w:r>
      <w:r>
        <w:rPr>
          <w:bCs/>
          <w:b/>
        </w:rPr>
        <w:t xml:space="preserve">five geographies</w:t>
      </w:r>
      <w:r>
        <w:t xml:space="preserve"> </w:t>
      </w:r>
      <w:r>
        <w:t xml:space="preserve">each with an explicit</w:t>
      </w:r>
      <w:r>
        <w:t xml:space="preserve"> </w:t>
      </w:r>
      <w:r>
        <w:rPr>
          <w:bCs/>
          <w:b/>
        </w:rPr>
        <w:t xml:space="preserve">distribution model</w:t>
      </w:r>
      <w:r>
        <w:t xml:space="preserve"> </w:t>
      </w:r>
      <w:r>
        <w:t xml:space="preserve">— the US is the only</w:t>
      </w:r>
      <w:r>
        <w:t xml:space="preserve"> </w:t>
      </w:r>
      <w:r>
        <w:rPr>
          <w:bCs/>
          <w:b/>
        </w:rPr>
        <w:t xml:space="preserve">three-region</w:t>
      </w:r>
      <w:r>
        <w:t xml:space="preserve"> </w:t>
      </w:r>
      <w:r>
        <w:t xml:space="preserve">geography, and EU, Australia, Asia Pacific and the Middle East are</w:t>
      </w:r>
      <w:r>
        <w:t xml:space="preserve"> </w:t>
      </w:r>
      <w:r>
        <w:rPr>
          <w:bCs/>
          <w:b/>
        </w:rPr>
        <w:t xml:space="preserve">two-region</w:t>
      </w:r>
      <w:r>
        <w:t xml:space="preserve"> </w:t>
      </w:r>
      <w:r>
        <w:t xml:space="preserve">geographies (there is no universal three-region minimum). Region examples come from authoritative config (REG-002 —</w:t>
      </w:r>
      <w:r>
        <w:t xml:space="preserve"> </w:t>
      </w:r>
      <w:r>
        <w:t xml:space="preserve">“</w:t>
      </w:r>
      <w:r>
        <w:t xml:space="preserve">Belgium</w:t>
      </w:r>
      <w:r>
        <w:t xml:space="preserve">”</w:t>
      </w:r>
      <w:r>
        <w:t xml:space="preserve"> </w:t>
      </w:r>
      <w:r>
        <w:t xml:space="preserve">was corrected to</w:t>
      </w:r>
      <w:r>
        <w:t xml:space="preserve"> </w:t>
      </w:r>
      <w:r>
        <w:rPr>
          <w:bCs/>
          <w:b/>
        </w:rPr>
        <w:t xml:space="preserve">Switzerland North</w:t>
      </w:r>
      <w:r>
        <w:t xml:space="preserve">); Japan East is a</w:t>
      </w:r>
      <w:r>
        <w:t xml:space="preserve"> </w:t>
      </w:r>
      <w:r>
        <w:rPr>
          <w:bCs/>
          <w:b/>
        </w:rPr>
        <w:t xml:space="preserve">pending</w:t>
      </w:r>
      <w:r>
        <w:t xml:space="preserve"> </w:t>
      </w:r>
      <w:r>
        <w:t xml:space="preserve">Asia Pacific addition awaiting confirmation.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pStyle w:val="FirstParagraph"/>
      </w:pPr>
      <w:r>
        <w:rPr>
          <w:bCs/>
          <w:b/>
        </w:rPr>
        <w:t xml:space="preserve">Region classification (functional view):</w:t>
      </w:r>
      <w:r>
        <w:t xml:space="preserve"> </w:t>
      </w:r>
      <w:r>
        <w:t xml:space="preserve">Standard (auto-selectable/scored), Restricted (production-only by exception, never CVAL/DR — e.g. East US 2, North Europe, West Europe), Cross-Geo Extension (DR-only, approved paths — Middle East →</w:t>
      </w:r>
      <w:r>
        <w:t xml:space="preserve"> </w:t>
      </w:r>
      <w:r>
        <w:rPr>
          <w:bCs/>
          <w:b/>
        </w:rPr>
        <w:t xml:space="preserve">Switzerland North</w:t>
      </w:r>
      <w:r>
        <w:t xml:space="preserve">,</w:t>
      </w:r>
      <w:r>
        <w:t xml:space="preserve"> </w:t>
      </w:r>
      <w:r>
        <w:rPr>
          <w:iCs/>
          <w:i/>
        </w:rPr>
        <w:t xml:space="preserve">pre-configured but inactive pending DEC-001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(no cross-border substitution;</w:t>
      </w:r>
      <w:r>
        <w:t xml:space="preserve"> </w:t>
      </w:r>
      <w:r>
        <w:rPr>
          <w:bCs/>
          <w:b/>
        </w:rPr>
        <w:t xml:space="preserve">default for the Middle East</w:t>
      </w:r>
      <w:r>
        <w:t xml:space="preserve"> </w:t>
      </w:r>
      <w:r>
        <w:t xml:space="preserve">per DR-014). The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flag is evaluated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any cross-geo extension, so an inactive extension is never auto-applied.</w:t>
      </w:r>
      <w:r>
        <w:t xml:space="preserve"> </w:t>
      </w:r>
      <w:r>
        <w:rPr>
          <w:rStyle w:val="VerbatimChar"/>
        </w:rPr>
        <w:t xml:space="preserve">[Decided]</w:t>
      </w:r>
    </w:p>
    <w:bookmarkEnd w:id="33"/>
    <w:bookmarkStart w:id="34" w:name="f4-onboarding-placement-flow"/>
    <w:p>
      <w:pPr>
        <w:pStyle w:val="Heading3"/>
      </w:pPr>
      <w:r>
        <w:t xml:space="preserve">F4 — Onboarding + placement flow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Start[Placement request] --&gt; Seed{Seed exists?}</w:t>
      </w:r>
      <w:r>
        <w:br/>
      </w:r>
      <w:r>
        <w:rPr>
          <w:rStyle w:val="VerbatimChar"/>
        </w:rPr>
        <w:t xml:space="preserve">    Seed -- Yes --&gt; Reuse[Reuse CustomerSeedRecord]</w:t>
      </w:r>
      <w:r>
        <w:br/>
      </w:r>
      <w:r>
        <w:rPr>
          <w:rStyle w:val="VerbatimChar"/>
        </w:rPr>
        <w:t xml:space="preserve">    Seed -- No --&gt; Mode{Input mode}</w:t>
      </w:r>
      <w:r>
        <w:br/>
      </w:r>
      <w:r>
        <w:rPr>
          <w:rStyle w:val="VerbatimChar"/>
        </w:rPr>
        <w:t xml:space="preserve">    Mode -- Exact prod region default --&gt; ValP[Validate production region vs catalogue]</w:t>
      </w:r>
      <w:r>
        <w:br/>
      </w:r>
      <w:r>
        <w:rPr>
          <w:rStyle w:val="VerbatimChar"/>
        </w:rPr>
        <w:t xml:space="preserve">    Mode -- Geography exception --&gt; Appr{Exception approved + acknowledged?}</w:t>
      </w:r>
      <w:r>
        <w:br/>
      </w:r>
      <w:r>
        <w:rPr>
          <w:rStyle w:val="VerbatimChar"/>
        </w:rPr>
        <w:t xml:space="preserve">    Appr -- No --&gt; PB[POLICY_BLOCKED]</w:t>
      </w:r>
      <w:r>
        <w:br/>
      </w:r>
      <w:r>
        <w:rPr>
          <w:rStyle w:val="VerbatimChar"/>
        </w:rPr>
        <w:t xml:space="preserve">    Appr -- Yes --&gt; DerP[Derive prod from Standard regions - becomes fixed seed]</w:t>
      </w:r>
      <w:r>
        <w:br/>
      </w:r>
      <w:r>
        <w:rPr>
          <w:rStyle w:val="VerbatimChar"/>
        </w:rPr>
        <w:t xml:space="preserve">    ValP --&gt; Ok{Valid, supported, fresh?}</w:t>
      </w:r>
      <w:r>
        <w:br/>
      </w:r>
      <w:r>
        <w:rPr>
          <w:rStyle w:val="VerbatimChar"/>
        </w:rPr>
        <w:t xml:space="preserve">    DerP --&gt; Ok</w:t>
      </w:r>
      <w:r>
        <w:br/>
      </w:r>
      <w:r>
        <w:rPr>
          <w:rStyle w:val="VerbatimChar"/>
        </w:rPr>
        <w:t xml:space="preserve">    Ok -- No --&gt; Reason[Readiness reason state]</w:t>
      </w:r>
      <w:r>
        <w:br/>
      </w:r>
      <w:r>
        <w:rPr>
          <w:rStyle w:val="VerbatimChar"/>
        </w:rPr>
        <w:t xml:space="preserve">    Ok -- Yes --&gt; CVAL[Select/validate CVAL - env separation]</w:t>
      </w:r>
      <w:r>
        <w:br/>
      </w:r>
      <w:r>
        <w:rPr>
          <w:rStyle w:val="VerbatimChar"/>
        </w:rPr>
        <w:t xml:space="preserve">    CVAL --&gt; DR[Select DR or DR_NOT_OFFERED]</w:t>
      </w:r>
      <w:r>
        <w:br/>
      </w:r>
      <w:r>
        <w:rPr>
          <w:rStyle w:val="VerbatimChar"/>
        </w:rPr>
        <w:t xml:space="preserve">    DR --&gt; Idx[Contribute to SourceDestinationDRIndex]</w:t>
      </w:r>
      <w:r>
        <w:br/>
      </w:r>
      <w:r>
        <w:rPr>
          <w:rStyle w:val="VerbatimChar"/>
        </w:rPr>
        <w:t xml:space="preserve">    Idx --&gt; Hold[Atomic placement hold]</w:t>
      </w:r>
      <w:r>
        <w:br/>
      </w:r>
      <w:r>
        <w:rPr>
          <w:rStyle w:val="VerbatimChar"/>
        </w:rPr>
        <w:t xml:space="preserve">    Hold --&gt; Write[Write CustomerSeedRecord]</w:t>
      </w:r>
      <w:r>
        <w:br/>
      </w:r>
      <w:r>
        <w:rPr>
          <w:rStyle w:val="VerbatimChar"/>
        </w:rPr>
        <w:t xml:space="preserve">    Reuse --&gt; Out[Return DeploymentReadinessResult]</w:t>
      </w:r>
      <w:r>
        <w:br/>
      </w:r>
      <w:r>
        <w:rPr>
          <w:rStyle w:val="VerbatimChar"/>
        </w:rPr>
        <w:t xml:space="preserve">    Write --&gt; Out</w:t>
      </w:r>
    </w:p>
    <w:bookmarkEnd w:id="34"/>
    <w:bookmarkStart w:id="35" w:name="disaster-recovery-dr-001..019"/>
    <w:p>
      <w:pPr>
        <w:pStyle w:val="Heading3"/>
      </w:pPr>
      <w:r>
        <w:t xml:space="preserve">4.5 Disaster recovery (DR-001..019)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Distributed, reciprocal DR (DR-016):</w:t>
      </w:r>
      <w:r>
        <w:t xml:space="preserve"> </w:t>
      </w:r>
      <w:r>
        <w:t xml:space="preserve">each region concurrently hosts Prod, CVAL, and DR standby for multiple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source regions. No dedicated DR-only regions.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Lean bootstrap (DR-007):</w:t>
      </w:r>
      <w:r>
        <w:t xml:space="preserve"> </w:t>
      </w:r>
      <w:r>
        <w:t xml:space="preserve">DR holds a configurable bootstrap target by workload/product/region/zone/SKU — never a fixed 30-40% clone; zero bootstrap only by explicit approved policy.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max-not-sum sizing (DR-017):</w:t>
      </w:r>
      <w:r>
        <w:t xml:space="preserve"> </w:t>
      </w:r>
      <w:r>
        <w:t xml:space="preserve">each destination sizes to the largest single non-concurrent protected source portion; a SUM override covers contractual simultaneous-failure needs.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Source→destination index (DR-018)</w:t>
      </w:r>
      <w:r>
        <w:t xml:space="preserve"> </w:t>
      </w:r>
      <w:r>
        <w:t xml:space="preserve">drives</w:t>
      </w:r>
      <w:r>
        <w:t xml:space="preserve"> </w:t>
      </w:r>
      <w:r>
        <w:rPr>
          <w:bCs/>
          <w:b/>
        </w:rPr>
        <w:t xml:space="preserve">source-specific standby activation in business-priority waves (DR-009, DR-019)</w:t>
      </w:r>
      <w:r>
        <w:t xml:space="preserve"> </w:t>
      </w:r>
      <w:r>
        <w:t xml:space="preserve">via staged acquisition (DR-006), reversible on failback (DR-013).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Staged capacity acquisition order (DR-006):</w:t>
      </w:r>
      <w:r>
        <w:t xml:space="preserve"> </w:t>
      </w:r>
      <w:r>
        <w:t xml:space="preserve">bootstrap → destination quota/capacity → approved CVAL release → approved sharing → pooled quota → Azure request with exposed deficit. Because all environments share one governed quota pool, the emergency DR draw needs</w:t>
      </w:r>
      <w:r>
        <w:t xml:space="preserve"> </w:t>
      </w:r>
      <w:r>
        <w:rPr>
          <w:bCs/>
          <w:b/>
        </w:rPr>
        <w:t xml:space="preserve">no cross-group transfer</w:t>
      </w:r>
      <w:r>
        <w:t xml:space="preserve">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DR_NOT_OFFERED</w:t>
      </w:r>
      <w:r>
        <w:rPr>
          <w:bCs/>
          <w:b/>
        </w:rPr>
        <w:t xml:space="preserve"> </w:t>
      </w:r>
      <w:r>
        <w:rPr>
          <w:bCs/>
          <w:b/>
        </w:rPr>
        <w:t xml:space="preserve">(DR-014):</w:t>
      </w:r>
      <w:r>
        <w:t xml:space="preserve"> </w:t>
      </w:r>
      <w:r>
        <w:t xml:space="preserve">where sovereignty/contract forbids cross-border DR, the seed records no DR and ACRME never silently substitutes.</w:t>
      </w:r>
      <w:r>
        <w:t xml:space="preserve"> </w:t>
      </w:r>
      <w:r>
        <w:rPr>
          <w:bCs/>
          <w:b/>
        </w:rPr>
        <w:t xml:space="preserve">This is the current position for the Middle East</w:t>
      </w:r>
      <w:r>
        <w:t xml:space="preserve"> </w:t>
      </w:r>
      <w:r>
        <w:t xml:space="preserve">(DEC-001, under legal review): ME defaults to</w:t>
      </w:r>
      <w:r>
        <w:t xml:space="preserve"> </w:t>
      </w:r>
      <w:r>
        <w:rPr>
          <w:rStyle w:val="VerbatimChar"/>
        </w:rPr>
        <w:t xml:space="preserve">dr_region = NOT_OFFERED</w:t>
      </w:r>
      <w:r>
        <w:t xml:space="preserve">, contributes no</w:t>
      </w:r>
      <w:r>
        <w:t xml:space="preserve"> </w:t>
      </w:r>
      <w:r>
        <w:rPr>
          <w:rStyle w:val="VerbatimChar"/>
        </w:rPr>
        <w:t xml:space="preserve">SourceDestinationDRIndex</w:t>
      </w:r>
      <w:r>
        <w:t xml:space="preserve"> </w:t>
      </w:r>
      <w:r>
        <w:t xml:space="preserve">entries, consumes no DR earmark, and is never a DR source or destination; ME</w:t>
      </w:r>
      <w:r>
        <w:t xml:space="preserve"> </w:t>
      </w:r>
      <w:r>
        <w:rPr>
          <w:bCs/>
          <w:b/>
        </w:rPr>
        <w:t xml:space="preserve">production may still exist without DR</w:t>
      </w:r>
      <w:r>
        <w:t xml:space="preserve">. The Switzerland North extension activates only if Legal clears DEC-001.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DR drills and role flip (DR-010..012):</w:t>
      </w:r>
      <w:r>
        <w:t xml:space="preserve"> </w:t>
      </w:r>
      <w:r>
        <w:t xml:space="preserve">annual drill/rotation validate the model without a real incident; destructive VM-association changes remain</w:t>
      </w:r>
      <w:r>
        <w:t xml:space="preserve"> </w:t>
      </w:r>
      <w:r>
        <w:rPr>
          <w:bCs/>
          <w:b/>
        </w:rPr>
        <w:t xml:space="preserve">blocked in Phase 1</w:t>
      </w:r>
      <w:r>
        <w:t xml:space="preserve">.</w:t>
      </w:r>
      <w:r>
        <w:t xml:space="preserve"> </w:t>
      </w:r>
      <w:r>
        <w:rPr>
          <w:rStyle w:val="VerbatimChar"/>
        </w:rPr>
        <w:t xml:space="preserve">[Decided]</w:t>
      </w:r>
    </w:p>
    <w:bookmarkEnd w:id="35"/>
    <w:bookmarkStart w:id="36" w:name="Xee741c38fd5376a2d703207c2b94995d3633f33"/>
    <w:p>
      <w:pPr>
        <w:pStyle w:val="Heading3"/>
      </w:pPr>
      <w:r>
        <w:t xml:space="preserve">F6 — Distributed DR reference model (Section 12A)</w:t>
      </w:r>
    </w:p>
    <w:p>
      <w:pPr>
        <w:pStyle w:val="FirstParagraph"/>
      </w:pPr>
      <w:r>
        <w:t xml:space="preserve">See the rendered reference diagram (reused):</w:t>
      </w:r>
      <w:r>
        <w:t xml:space="preserve"> </w:t>
      </w:r>
      <w:r>
        <w:rPr>
          <w:rStyle w:val="VerbatimChar"/>
        </w:rPr>
        <w:t xml:space="preserve">adr/diagrams/acrme_three_region_capacity_model.png</w:t>
      </w:r>
      <w:r>
        <w:t xml:space="preserve"> </w:t>
      </w:r>
      <w:r>
        <w:t xml:space="preserve">— each region hosts Prod + CVAL + DR standby tagged with its</w:t>
      </w:r>
      <w:r>
        <w:t xml:space="preserve"> </w:t>
      </w:r>
      <w:r>
        <w:rPr>
          <w:rStyle w:val="VerbatimChar"/>
        </w:rPr>
        <w:t xml:space="preserve">src Rn</w:t>
      </w:r>
      <w:r>
        <w:t xml:space="preserve"> </w:t>
      </w:r>
      <w:r>
        <w:t xml:space="preserve">source region; each destination sizes by max-not-sum.</w:t>
      </w:r>
    </w:p>
    <w:bookmarkEnd w:id="36"/>
    <w:bookmarkStart w:id="37" w:name="f7-dr-event-standby-activation-waves"/>
    <w:p>
      <w:pPr>
        <w:pStyle w:val="Heading3"/>
      </w:pPr>
      <w:r>
        <w:t xml:space="preserve">F7 — DR event → standby activation waves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DRC as DR coordinator</w:t>
      </w:r>
      <w:r>
        <w:br/>
      </w:r>
      <w:r>
        <w:rPr>
          <w:rStyle w:val="VerbatimChar"/>
        </w:rPr>
        <w:t xml:space="preserve">    participant ENG as ACRME engine</w:t>
      </w:r>
      <w:r>
        <w:br/>
      </w:r>
      <w:r>
        <w:rPr>
          <w:rStyle w:val="VerbatimChar"/>
        </w:rPr>
        <w:t xml:space="preserve">    participant IDX as SourceDestinationDRIndex</w:t>
      </w:r>
      <w:r>
        <w:br/>
      </w:r>
      <w:r>
        <w:rPr>
          <w:rStyle w:val="VerbatimChar"/>
        </w:rPr>
        <w:t xml:space="preserve">    participant POOL as Single governed quota pool</w:t>
      </w:r>
      <w:r>
        <w:br/>
      </w:r>
      <w:r>
        <w:rPr>
          <w:rStyle w:val="VerbatimChar"/>
        </w:rPr>
        <w:t xml:space="preserve">    participant AZ as Azure</w:t>
      </w:r>
      <w:r>
        <w:br/>
      </w:r>
      <w:r>
        <w:rPr>
          <w:rStyle w:val="VerbatimChar"/>
        </w:rPr>
        <w:t xml:space="preserve">    DRC-&gt;&gt;ENG: Declare source-region failure (authorised)</w:t>
      </w:r>
      <w:r>
        <w:br/>
      </w:r>
      <w:r>
        <w:rPr>
          <w:rStyle w:val="VerbatimChar"/>
        </w:rPr>
        <w:t xml:space="preserve">    ENG-&gt;&gt;ENG: engine_mode = DR_EVENT_ACTIVE</w:t>
      </w:r>
      <w:r>
        <w:br/>
      </w:r>
      <w:r>
        <w:rPr>
          <w:rStyle w:val="VerbatimChar"/>
        </w:rPr>
        <w:t xml:space="preserve">    ENG-&gt;&gt;IDX: Read standby sets for failed source</w:t>
      </w:r>
      <w:r>
        <w:br/>
      </w:r>
      <w:r>
        <w:rPr>
          <w:rStyle w:val="VerbatimChar"/>
        </w:rPr>
        <w:t xml:space="preserve">    IDX--&gt;&gt;ENG: Customers + priority waves</w:t>
      </w:r>
      <w:r>
        <w:br/>
      </w:r>
      <w:r>
        <w:rPr>
          <w:rStyle w:val="VerbatimChar"/>
        </w:rPr>
        <w:t xml:space="preserve">    loop each priority wave</w:t>
      </w:r>
      <w:r>
        <w:br/>
      </w:r>
      <w:r>
        <w:rPr>
          <w:rStyle w:val="VerbatimChar"/>
        </w:rPr>
        <w:t xml:space="preserve">        ENG-&gt;&gt;POOL: Draw pool headroom then reclaimable NonProd</w:t>
      </w:r>
      <w:r>
        <w:br/>
      </w:r>
      <w:r>
        <w:rPr>
          <w:rStyle w:val="VerbatimChar"/>
        </w:rPr>
        <w:t xml:space="preserve">        POOL--&gt;&gt;ENG: Capacity earmark released</w:t>
      </w:r>
      <w:r>
        <w:br/>
      </w:r>
      <w:r>
        <w:rPr>
          <w:rStyle w:val="VerbatimChar"/>
        </w:rPr>
        <w:t xml:space="preserve">        ENG-&gt;&gt;AZ: Acquire deficit if any (exposed)</w:t>
      </w:r>
      <w:r>
        <w:br/>
      </w:r>
      <w:r>
        <w:rPr>
          <w:rStyle w:val="VerbatimChar"/>
        </w:rPr>
        <w:t xml:space="preserve">        ENG-&gt;&gt;ENG: standby -&gt; allocated/active</w:t>
      </w:r>
      <w:r>
        <w:br/>
      </w:r>
      <w:r>
        <w:rPr>
          <w:rStyle w:val="VerbatimChar"/>
        </w:rPr>
        <w:t xml:space="preserve">        ENG-&gt;&gt;DRC: Wave complete + audit checkpoint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DRC-&gt;&gt;ENG: Failback authorised</w:t>
      </w:r>
      <w:r>
        <w:br/>
      </w:r>
      <w:r>
        <w:rPr>
          <w:rStyle w:val="VerbatimChar"/>
        </w:rPr>
        <w:t xml:space="preserve">    ENG-&gt;&gt;ENG: FAILBACK_PENDING -&gt; STEADY_STATE (reversible)</w:t>
      </w:r>
    </w:p>
    <w:bookmarkEnd w:id="37"/>
    <w:bookmarkStart w:id="38" w:name="cost-finops-fin-001..008"/>
    <w:p>
      <w:pPr>
        <w:pStyle w:val="Heading3"/>
      </w:pPr>
      <w:r>
        <w:t xml:space="preserve">4.6 Cost &amp; FinOps (FIN-001..008)</w:t>
      </w:r>
    </w:p>
    <w:p>
      <w:pPr>
        <w:numPr>
          <w:ilvl w:val="0"/>
          <w:numId w:val="1005"/>
        </w:numPr>
        <w:pStyle w:val="Compact"/>
      </w:pPr>
      <w:r>
        <w:t xml:space="preserve">Idle reservation cost is surfaced and alerted (FIN-001, FIN-002); lean DR + max-not-sum minimises idle standby cost (FIN-003).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5"/>
        </w:numPr>
        <w:pStyle w:val="Compact"/>
      </w:pPr>
      <w:r>
        <w:t xml:space="preserve">Cost-before-expansion: increases carry cost exposure and justification (FIN-004, FIN-005).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5"/>
        </w:numPr>
        <w:pStyle w:val="Compact"/>
      </w:pPr>
      <w:r>
        <w:t xml:space="preserve">Shared-DR</w:t>
      </w:r>
      <w:r>
        <w:t xml:space="preserve"> </w:t>
      </w:r>
      <w:r>
        <w:rPr>
          <w:bCs/>
          <w:b/>
        </w:rPr>
        <w:t xml:space="preserve">overcommit accounting</w:t>
      </w:r>
      <w:r>
        <w:t xml:space="preserve"> </w:t>
      </w:r>
      <w:r>
        <w:t xml:space="preserve">exposes</w:t>
      </w:r>
      <w:r>
        <w:t xml:space="preserve"> </w:t>
      </w:r>
      <w:r>
        <w:rPr>
          <w:rStyle w:val="VerbatimChar"/>
        </w:rPr>
        <w:t xml:space="preserve">Overcommit_Ratio</w:t>
      </w:r>
      <w:r>
        <w:t xml:space="preserve"> </w:t>
      </w:r>
      <w:r>
        <w:t xml:space="preserve">per destination so the savings of distributed DR are visible and bounded by a safety ceiling (FIN-006..008, POC-011).</w:t>
      </w:r>
      <w:r>
        <w:t xml:space="preserve"> </w:t>
      </w:r>
      <w:r>
        <w:rPr>
          <w:rStyle w:val="VerbatimChar"/>
        </w:rPr>
        <w:t xml:space="preserve">[Derived]</w:t>
      </w:r>
    </w:p>
    <w:bookmarkEnd w:id="38"/>
    <w:bookmarkStart w:id="39" w:name="X581a06036d4d4407616f99d4dcdabc59ca0f4d6"/>
    <w:p>
      <w:pPr>
        <w:pStyle w:val="Heading3"/>
      </w:pPr>
      <w:r>
        <w:t xml:space="preserve">4.7 Provisioning &amp; AEP integration (INT-001..007)</w:t>
      </w:r>
    </w:p>
    <w:p>
      <w:pPr>
        <w:numPr>
          <w:ilvl w:val="0"/>
          <w:numId w:val="1006"/>
        </w:numPr>
        <w:pStyle w:val="Compact"/>
      </w:pPr>
      <w:r>
        <w:t xml:space="preserve">ACRME exposes a functional contract: input (customer, exact region, SKU/family, environment, product, intended demand) → output (</w:t>
      </w:r>
      <w:r>
        <w:rPr>
          <w:rStyle w:val="VerbatimChar"/>
        </w:rPr>
        <w:t xml:space="preserve">DeploymentReadinessResult</w:t>
      </w:r>
      <w:r>
        <w:t xml:space="preserve"> </w:t>
      </w:r>
      <w:r>
        <w:t xml:space="preserve">+ reason + operation handle) (INT-001..003).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6"/>
        </w:numPr>
        <w:pStyle w:val="Compact"/>
      </w:pPr>
      <w:r>
        <w:t xml:space="preserve">All mutating calls are</w:t>
      </w:r>
      <w:r>
        <w:t xml:space="preserve"> </w:t>
      </w:r>
      <w:r>
        <w:rPr>
          <w:bCs/>
          <w:b/>
        </w:rPr>
        <w:t xml:space="preserve">idempotent</w:t>
      </w:r>
      <w:r>
        <w:t xml:space="preserve"> </w:t>
      </w:r>
      <w:r>
        <w:t xml:space="preserve">with operation handles and expected-state versions; AEP polls rather than assuming synchronous completion (INT-004..006, NFR-007).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6"/>
        </w:numPr>
        <w:pStyle w:val="Compact"/>
      </w:pPr>
      <w:r>
        <w:t xml:space="preserve">AEP never treats provider quota as proof of consumer deployability (INT-007, POC-001).</w:t>
      </w:r>
      <w:r>
        <w:t xml:space="preserve"> </w:t>
      </w:r>
      <w:r>
        <w:rPr>
          <w:rStyle w:val="VerbatimChar"/>
        </w:rPr>
        <w:t xml:space="preserve">[Assumed]</w:t>
      </w:r>
    </w:p>
    <w:bookmarkEnd w:id="39"/>
    <w:bookmarkStart w:id="40" w:name="Xd8eb80020819ca4bb58a7e8ad33192ecb637785"/>
    <w:p>
      <w:pPr>
        <w:pStyle w:val="Heading3"/>
      </w:pPr>
      <w:r>
        <w:t xml:space="preserve">4.8 Observability, governance &amp; operations (OBS, GOV, OPS)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Observability (OBS-001..005):</w:t>
      </w:r>
      <w:r>
        <w:t xml:space="preserve"> </w:t>
      </w:r>
      <w:r>
        <w:t xml:space="preserve">metrics/alerts for buffer deficit, per-destination DR max-source coverage and gap, source↔destination mapping dashboard, activation state by wave, idle cost, staleness.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Governance (GOV-001..009):</w:t>
      </w:r>
      <w:r>
        <w:t xml:space="preserve"> </w:t>
      </w:r>
      <w:r>
        <w:t xml:space="preserve">RBAC, managed identity, approval gates, break-glass, immutable audit of every decision and mutation with before/after values and correlation IDs; versioned scope files with decision traceability (DAT-005).</w:t>
      </w:r>
      <w:r>
        <w:t xml:space="preserve"> </w:t>
      </w:r>
      <w:r>
        <w:rPr>
          <w:rStyle w:val="VerbatimChar"/>
        </w:rPr>
        <w:t xml:space="preserve">[Decided]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Operations (OPS-001..005):</w:t>
      </w:r>
      <w:r>
        <w:t xml:space="preserve"> </w:t>
      </w:r>
      <w:r>
        <w:t xml:space="preserve">runbooks for DR declaration, standby activation, CVAL release, quota allocation, sharing activation, emergency override, regional recovery, and failback.</w:t>
      </w:r>
      <w:r>
        <w:t xml:space="preserve"> </w:t>
      </w:r>
      <w:r>
        <w:rPr>
          <w:rStyle w:val="VerbatimChar"/>
        </w:rPr>
        <w:t xml:space="preserve">[Decided]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end-to-end-functional-flows"/>
    <w:p>
      <w:pPr>
        <w:pStyle w:val="Heading2"/>
      </w:pPr>
      <w:r>
        <w:t xml:space="preserve">5. End-to-End Functional Flows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Onboarding + placement</w:t>
      </w:r>
      <w:r>
        <w:t xml:space="preserve"> </w:t>
      </w:r>
      <w:r>
        <w:t xml:space="preserve">(F4): exact-region validation (or geography exception) → CVAL/DR selection → seed write → readiness.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Steady-state reconciliation</w:t>
      </w:r>
      <w:r>
        <w:t xml:space="preserve"> </w:t>
      </w:r>
      <w:r>
        <w:t xml:space="preserve">(F5): every ~6 min, compare</w:t>
      </w:r>
      <w:r>
        <w:t xml:space="preserve"> </w:t>
      </w:r>
      <w:r>
        <w:rPr>
          <w:rStyle w:val="VerbatimChar"/>
        </w:rPr>
        <w:t xml:space="preserve">Allocated + Buffer</w:t>
      </w:r>
      <w:r>
        <w:t xml:space="preserve"> </w:t>
      </w:r>
      <w:r>
        <w:t xml:space="preserve">to reserved; scale up (or alert deficit), guarded scale-down, never delete.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Single-region DR event</w:t>
      </w:r>
      <w:r>
        <w:t xml:space="preserve"> </w:t>
      </w:r>
      <w:r>
        <w:t xml:space="preserve">(F7): declare → index lookup → priority-wave activation from the shared pool → audited failback.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DR drill / failback</w:t>
      </w:r>
      <w:r>
        <w:t xml:space="preserve">: scheduled role-flip validating the index, waves, and reversibility without a real incident.</w:t>
      </w:r>
    </w:p>
    <w:bookmarkStart w:id="42" w:name="f5-steady-state-reconciliation-behaviour"/>
    <w:p>
      <w:pPr>
        <w:pStyle w:val="Heading3"/>
      </w:pPr>
      <w:r>
        <w:t xml:space="preserve">F5 — Steady-state reconciliation behaviour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Tick[Reconciliation tick ~6 min] --&gt; Read[Read scope, reservation, allocated, associated, buffer, quota, freshness]</w:t>
      </w:r>
      <w:r>
        <w:br/>
      </w:r>
      <w:r>
        <w:rPr>
          <w:rStyle w:val="VerbatimChar"/>
        </w:rPr>
        <w:t xml:space="preserve">    Read --&gt; Fresh{State fresh?}</w:t>
      </w:r>
      <w:r>
        <w:br/>
      </w:r>
      <w:r>
        <w:rPr>
          <w:rStyle w:val="VerbatimChar"/>
        </w:rPr>
        <w:t xml:space="preserve">    Fresh -- No --&gt; Stale[STALE_STATE + refresh]</w:t>
      </w:r>
      <w:r>
        <w:br/>
      </w:r>
      <w:r>
        <w:rPr>
          <w:rStyle w:val="VerbatimChar"/>
        </w:rPr>
        <w:t xml:space="preserve">    Fresh -- Yes --&gt; Cmp{reserved vs Allocated+Buffer}</w:t>
      </w:r>
      <w:r>
        <w:br/>
      </w:r>
      <w:r>
        <w:rPr>
          <w:rStyle w:val="VerbatimChar"/>
        </w:rPr>
        <w:t xml:space="preserve">    Cmp -- below --&gt; Up[Attempt scale-up]</w:t>
      </w:r>
      <w:r>
        <w:br/>
      </w:r>
      <w:r>
        <w:rPr>
          <w:rStyle w:val="VerbatimChar"/>
        </w:rPr>
        <w:t xml:space="preserve">    Up --&gt; Sup{Azure supplies?}</w:t>
      </w:r>
      <w:r>
        <w:br/>
      </w:r>
      <w:r>
        <w:rPr>
          <w:rStyle w:val="VerbatimChar"/>
        </w:rPr>
        <w:t xml:space="preserve">    Sup -- No --&gt; Def[Hold safe state + expose buffer deficit alert]</w:t>
      </w:r>
      <w:r>
        <w:br/>
      </w:r>
      <w:r>
        <w:rPr>
          <w:rStyle w:val="VerbatimChar"/>
        </w:rPr>
        <w:t xml:space="preserve">    Sup -- Yes --&gt; Ok[Confirm + snapshot]</w:t>
      </w:r>
      <w:r>
        <w:br/>
      </w:r>
      <w:r>
        <w:rPr>
          <w:rStyle w:val="VerbatimChar"/>
        </w:rPr>
        <w:t xml:space="preserve">    Cmp -- above --&gt; Guard[Scale-down guards: hold interval, DR earmark, CVAL earmark, maintenance, override, cost]</w:t>
      </w:r>
      <w:r>
        <w:br/>
      </w:r>
      <w:r>
        <w:rPr>
          <w:rStyle w:val="VerbatimChar"/>
        </w:rPr>
        <w:t xml:space="preserve">    Guard --&gt; Down[Reduce toward target - never below Allocated+Buffer, never delete]</w:t>
      </w:r>
      <w:r>
        <w:br/>
      </w:r>
      <w:r>
        <w:rPr>
          <w:rStyle w:val="VerbatimChar"/>
        </w:rPr>
        <w:t xml:space="preserve">    Down --&gt; Ok</w:t>
      </w:r>
      <w:r>
        <w:br/>
      </w:r>
      <w:r>
        <w:rPr>
          <w:rStyle w:val="VerbatimChar"/>
        </w:rPr>
        <w:t xml:space="preserve">    Cmp -- equal --&gt; Ok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Xdbb97d55424404ce736f7c04e0c6ce7fc6ae838"/>
    <w:p>
      <w:pPr>
        <w:pStyle w:val="Heading2"/>
      </w:pPr>
      <w:r>
        <w:t xml:space="preserve">6. Functional States and Data (functional view)</w:t>
      </w:r>
    </w:p>
    <w:p>
      <w:pPr>
        <w:pStyle w:val="FirstParagraph"/>
      </w:pPr>
      <w:r>
        <w:rPr>
          <w:bCs/>
          <w:b/>
        </w:rPr>
        <w:t xml:space="preserve">Engine mode machine (functional view, DR-004..008, NFR-002):</w:t>
      </w:r>
    </w:p>
    <w:p>
      <w:pPr>
        <w:pStyle w:val="SourceCode"/>
      </w:pPr>
      <w:r>
        <w:rPr>
          <w:rStyle w:val="VerbatimChar"/>
        </w:rPr>
        <w:t xml:space="preserve">STEADY_STATE → DR_DECLARATION_PENDING → DR_EVENT_ACTIVE → FAILBACK_PENDING → STEADY_STATE</w:t>
      </w:r>
      <w:r>
        <w:br/>
      </w:r>
      <w:r>
        <w:rPr>
          <w:rStyle w:val="VerbatimChar"/>
        </w:rPr>
        <w:t xml:space="preserve">                                                     ↘ INCIDENT_HOLD (safe degraded)</w:t>
      </w:r>
    </w:p>
    <w:p>
      <w:pPr>
        <w:pStyle w:val="FirstParagraph"/>
      </w:pPr>
      <w:r>
        <w:t xml:space="preserve">Entering</w:t>
      </w:r>
      <w:r>
        <w:t xml:space="preserve"> </w:t>
      </w:r>
      <w:r>
        <w:rPr>
          <w:rStyle w:val="VerbatimChar"/>
        </w:rPr>
        <w:t xml:space="preserve">DR_EVENT_ACTIVE</w:t>
      </w:r>
      <w:r>
        <w:t xml:space="preserve"> </w:t>
      </w:r>
      <w:r>
        <w:t xml:space="preserve">does not auto-authorise service-impacting CVAL action; each action keeps its own policy gate.</w:t>
      </w:r>
    </w:p>
    <w:p>
      <w:pPr>
        <w:pStyle w:val="BodyText"/>
      </w:pPr>
      <w:r>
        <w:rPr>
          <w:bCs/>
          <w:b/>
        </w:rPr>
        <w:t xml:space="preserve">Functional data entities (DAT-001..006):</w:t>
      </w:r>
      <w:r>
        <w:t xml:space="preserve"> </w:t>
      </w:r>
      <w:r>
        <w:rPr>
          <w:rStyle w:val="VerbatimChar"/>
        </w:rPr>
        <w:t xml:space="preserve">CustomerSeedRecord</w:t>
      </w:r>
      <w:r>
        <w:t xml:space="preserve"> </w:t>
      </w:r>
      <w:r>
        <w:t xml:space="preserve">(PLC-003),</w:t>
      </w:r>
      <w:r>
        <w:t xml:space="preserve"> </w:t>
      </w:r>
      <w:r>
        <w:rPr>
          <w:rStyle w:val="VerbatimChar"/>
        </w:rPr>
        <w:t xml:space="preserve">SourceDestinationDRIndex</w:t>
      </w:r>
      <w:r>
        <w:t xml:space="preserve"> </w:t>
      </w:r>
      <w:r>
        <w:t xml:space="preserve">(DR-018),</w:t>
      </w:r>
      <w:r>
        <w:t xml:space="preserve"> </w:t>
      </w:r>
      <w:r>
        <w:rPr>
          <w:rStyle w:val="VerbatimChar"/>
        </w:rPr>
        <w:t xml:space="preserve">CVALEarmarkRecord</w:t>
      </w:r>
      <w:r>
        <w:t xml:space="preserve"> </w:t>
      </w:r>
      <w:r>
        <w:t xml:space="preserve">(PLC-010),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(versioned catalogue), reservation/quota snapshots with freshness metadata, and the immutable decision/audit log. Full technical schema is in the TDD Section 6.</w:t>
      </w:r>
    </w:p>
    <w:p>
      <w:r>
        <w:pict>
          <v:rect style="width:0;height:1.5pt" o:hralign="center" o:hrstd="t" o:hr="t"/>
        </w:pict>
      </w:r>
    </w:p>
    <w:bookmarkEnd w:id="44"/>
    <w:bookmarkStart w:id="45" w:name="Xf86cf3c48d2b159d61de6b7488f83eb3fc62e8a"/>
    <w:p>
      <w:pPr>
        <w:pStyle w:val="Heading2"/>
      </w:pPr>
      <w:r>
        <w:t xml:space="preserve">7. Acceptance Criteria Mapping (baseline Section 20)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Acceptance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allowed only when capacity+quota+freshness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states, fail-safe on 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4.3, F8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Exact-region-first onboarding, seed reuse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Placement flow, seed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4.4, F4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Lean, distributed, max-not-sum DR with source-specific activation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capabilities, activation waves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4.5, F6, F7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governed quota pool with Prod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capability, earmarks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silent deletion / no cross-border DR substitution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Zero-capacity,</w:t>
            </w:r>
            <w:r>
              <w:t xml:space="preserve"> </w:t>
            </w:r>
            <w:r>
              <w:rPr>
                <w:rStyle w:val="VerbatimChar"/>
              </w:rPr>
              <w:t xml:space="preserve">DR_NOT_OFFERED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4.1, Section 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auditability of decisions and mutations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X8874b48614ece677d1ba5abe70e61f74b1dd34c"/>
    <w:p>
      <w:pPr>
        <w:pStyle w:val="Heading2"/>
      </w:pPr>
      <w:r>
        <w:t xml:space="preserve">8. Assumptions, Decisions, POC Dependencies (baseline Section 22–Section 24)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Functional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 quota under shared reservation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must validate consumer quota until proven.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POC-006/007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topology &amp; bootstrap sizing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Confirms distributed model and lean targets.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max-not-sum overcommit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overcommit safety ceiling / alert.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East DR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Current position: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DR_NOT_OFFERED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(DR is NOT offered in the Middle East)</w:t>
            </w:r>
            <w:r>
              <w:t xml:space="preserve"> </w:t>
            </w:r>
            <w:r>
              <w:t xml:space="preserve">due to data-sovereignty/residency; under legal review. Governs whether the pre-configured Switzerland North extension ever activates. Until legal approval, ME defaults to</w:t>
            </w:r>
            <w:r>
              <w:t xml:space="preserve"> </w:t>
            </w:r>
            <w:r>
              <w:rPr>
                <w:rStyle w:val="VerbatimChar"/>
              </w:rPr>
              <w:t xml:space="preserve">dr_region = NOT_OFFERED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Failback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~1-year run vs ~30-day failback.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Geography exception 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Governs the PLC-002 exception path.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Group /</w:t>
            </w:r>
            <w:r>
              <w:t xml:space="preserve"> </w:t>
            </w:r>
            <w:r>
              <w:rPr>
                <w:rStyle w:val="VerbatimChar"/>
              </w:rPr>
              <w:t xml:space="preserve">groupType</w:t>
            </w:r>
            <w:r>
              <w:t xml:space="preserve"> </w:t>
            </w:r>
            <w:r>
              <w:t xml:space="preserve">maturity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Single-pool enforcement depends on feature maturity.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X8ff1d46925ac9648701ea601721daf92bb1c3c9"/>
    <w:p>
      <w:pPr>
        <w:pStyle w:val="Heading2"/>
      </w:pPr>
      <w:r>
        <w:t xml:space="preserve">9. Requirement Traceability Matrix (Baseline v2.3 → FDD)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 group (IDs)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FDD section(s)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REG-001..003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4.4 (catalogue, per-geography distribution model, Switzerland North)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PLC-010a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4.4 (two-region CVAL/DR co-location)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ENV-001..007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4.4 (env separation), Section 4.5 (roles)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CAP-001..019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4.1, Section 5(2), F5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QUA-001..014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RDY-001..004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4.3, F8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PLC-001..010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4.4, F4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DR-001..019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4.5, F6, F7, Section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FIN-001..008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INT-001..007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4.7, 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DAT-001..006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OBS-001..005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GOV-001..009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4.8, Section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NFR-001..010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4.3 (fail-safe), Section 4.7 (idempotency), Section 5, Section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OPS-001..005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4.8, Section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POC-001..011 / DEC-001..003 / DEP-001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8</w:t>
            </w:r>
          </w:p>
        </w:tc>
      </w:tr>
    </w:tbl>
    <w:p>
      <w:pPr>
        <w:pStyle w:val="BodyText"/>
      </w:pPr>
      <w:r>
        <w:rPr>
          <w:iCs/>
          <w:i/>
        </w:rPr>
        <w:t xml:space="preserve">Every Baseline v2.3 requirement ID resolves to at least one FDD section above. Detailed component/algorithm-level traceability is completed in the TDD Section 17.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Status:</w:t>
      </w:r>
      <w:r>
        <w:t xml:space="preserve"> </w:t>
      </w:r>
      <w:r>
        <w:t xml:space="preserve">Draft for review ·</w:t>
      </w:r>
      <w:r>
        <w:t xml:space="preserve"> </w:t>
      </w:r>
      <w:r>
        <w:rPr>
          <w:bCs/>
          <w:b/>
        </w:rPr>
        <w:t xml:space="preserve">Next:</w:t>
      </w:r>
      <w:r>
        <w:t xml:space="preserve"> </w:t>
      </w:r>
      <w:r>
        <w:t xml:space="preserve">ratify alongside the TDD; supersede the Executive Design Document (archived).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2026-09-07T08:34:09Z</dcterms:created>
  <dcterms:modified xsi:type="dcterms:W3CDTF">2026-09-07T08:34:09Z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