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c74c8d977d8df22df5444b4fe0dcdb80d211e12"/>
    <w:p>
      <w:pPr>
        <w:pStyle w:val="Heading1"/>
      </w:pPr>
      <w:r>
        <w:t xml:space="preserve">ACRME Calculation Logic Reference — All Scenarios (v2.3)</w:t>
      </w:r>
    </w:p>
    <w:p>
      <w:pPr>
        <w:pStyle w:val="BlockText"/>
      </w:pPr>
      <w:r>
        <w:rPr>
          <w:bCs/>
          <w:b/>
        </w:rPr>
        <w:t xml:space="preserve">Revision v2.3 — 7 September 2026.</w:t>
      </w:r>
      <w:r>
        <w:t xml:space="preserve"> </w:t>
      </w:r>
      <w:r>
        <w:t xml:space="preserve">This revision reconciles the reference to the</w:t>
      </w:r>
      <w:r>
        <w:t xml:space="preserve"> </w:t>
      </w:r>
      <w:r>
        <w:rPr>
          <w:bCs/>
          <w:b/>
        </w:rPr>
        <w:t xml:space="preserve">five-geography region model</w:t>
      </w:r>
      <w:r>
        <w:t xml:space="preserve"> </w:t>
      </w:r>
      <w:r>
        <w:t xml:space="preserve">(baseline Section 6): the</w:t>
      </w:r>
      <w:r>
        <w:t xml:space="preserve"> </w:t>
      </w:r>
      <w:r>
        <w:rPr>
          <w:bCs/>
          <w:b/>
        </w:rPr>
        <w:t xml:space="preserve">US</w:t>
      </w:r>
      <w:r>
        <w:t xml:space="preserve"> </w:t>
      </w:r>
      <w:r>
        <w:t xml:space="preserve">is the only</w:t>
      </w:r>
      <w:r>
        <w:t xml:space="preserve"> </w:t>
      </w:r>
      <w:r>
        <w:rPr>
          <w:bCs/>
          <w:b/>
        </w:rPr>
        <w:t xml:space="preserve">three-region</w:t>
      </w:r>
      <w:r>
        <w:t xml:space="preserve"> </w:t>
      </w:r>
      <w:r>
        <w:t xml:space="preserve">geography (West US 3, Central US, Canada Central; East US 2 Restricted);</w:t>
      </w:r>
      <w:r>
        <w:t xml:space="preserve"> </w:t>
      </w:r>
      <w:r>
        <w:rPr>
          <w:bCs/>
          <w:b/>
        </w:rPr>
        <w:t xml:space="preserve">EU</w:t>
      </w:r>
      <w:r>
        <w:t xml:space="preserve"> </w:t>
      </w:r>
      <w:r>
        <w:t xml:space="preserve">(Switzerland North + Sweden Central; North Europe &amp; West Europe Restricted),</w:t>
      </w:r>
      <w:r>
        <w:t xml:space="preserve"> </w:t>
      </w:r>
      <w:r>
        <w:rPr>
          <w:bCs/>
          <w:b/>
        </w:rPr>
        <w:t xml:space="preserve">Australia</w:t>
      </w:r>
      <w:r>
        <w:t xml:space="preserve"> </w:t>
      </w:r>
      <w:r>
        <w:t xml:space="preserve">(Australia East + Australia Southeast),</w:t>
      </w:r>
      <w:r>
        <w:t xml:space="preserve"> </w:t>
      </w:r>
      <w:r>
        <w:rPr>
          <w:bCs/>
          <w:b/>
        </w:rPr>
        <w:t xml:space="preserve">Asia Pacific</w:t>
      </w:r>
      <w:r>
        <w:t xml:space="preserve"> </w:t>
      </w:r>
      <w:r>
        <w:t xml:space="preserve">(East Asia + Southeast Asia; Japan East</w:t>
      </w:r>
      <w:r>
        <w:t xml:space="preserve"> </w:t>
      </w:r>
      <w:r>
        <w:rPr>
          <w:bCs/>
          <w:b/>
        </w:rPr>
        <w:t xml:space="preserve">pending</w:t>
      </w:r>
      <w:r>
        <w:t xml:space="preserve">) and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(UAE North + Saudi Arabia Central) are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geographies. In every two-region geography,</w:t>
      </w:r>
      <w:r>
        <w:t xml:space="preserve"> </w:t>
      </w:r>
      <w:r>
        <w:rPr>
          <w:bCs/>
          <w:b/>
        </w:rPr>
        <w:t xml:space="preserve">CVAL and DR co-locate</w:t>
      </w:r>
      <w:r>
        <w:t xml:space="preserve"> </w:t>
      </w:r>
      <w:r>
        <w:t xml:space="preserve">in the non-production region (</w:t>
      </w:r>
      <w:r>
        <w:rPr>
          <w:bCs/>
          <w:b/>
        </w:rPr>
        <w:t xml:space="preserve">PLC-010a</w:t>
      </w:r>
      <w:r>
        <w:t xml:space="preserve">), except the Middle East where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(DEC-001). Scenario 4 is retitled a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deployment accordingly; all other calculation logic is unchanged.</w:t>
      </w:r>
    </w:p>
    <w:p>
      <w:pPr>
        <w:pStyle w:val="BlockText"/>
      </w:pPr>
      <w:r>
        <w:rPr>
          <w:bCs/>
          <w:b/>
        </w:rPr>
        <w:t xml:space="preserve">Revision v2.2 — 27 August 2026.</w:t>
      </w:r>
      <w:r>
        <w:t xml:space="preserve"> </w:t>
      </w:r>
      <w:r>
        <w:t xml:space="preserve">This document supersedes the previous calculation logic reference. Key changes in v2.2: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 sizing formula replaced</w:t>
      </w:r>
      <w:r>
        <w:t xml:space="preserve">: fixed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percentage approach (v1) is superseded by the</w:t>
      </w:r>
      <w:r>
        <w:t xml:space="preserve"> </w:t>
      </w:r>
      <w:r>
        <w:rPr>
          <w:bCs/>
          <w:b/>
        </w:rPr>
        <w:t xml:space="preserve">max-not-sum distributed-portion formula</w:t>
      </w:r>
      <w:r>
        <w:t xml:space="preserve"> </w:t>
      </w:r>
      <w:r>
        <w:t xml:space="preserve">(Requirements v2.1 Appendix A.6 / Appendix 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Reservation target floor formula 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Allocated VM Count + Configured Buffer</w:t>
      </w:r>
      <w:r>
        <w:t xml:space="preserve"> </w:t>
      </w:r>
      <w:r>
        <w:t xml:space="preserve">(CAP-003),</w:t>
      </w:r>
      <w:r>
        <w:t xml:space="preserve"> </w:t>
      </w:r>
      <w:r>
        <w:t xml:space="preserve">distinct from the forecast-based growth formula.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Four new scenarios added</w:t>
      </w:r>
      <w:r>
        <w:t xml:space="preserve">: DR destination requirement (max-not-sum), standby activation,</w:t>
      </w:r>
      <w:r>
        <w:t xml:space="preserve"> </w:t>
      </w:r>
      <w:r>
        <w:t xml:space="preserve">deployment readiness gate, and customer seed record.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 cross-geo DR region corrected</w:t>
      </w:r>
      <w:r>
        <w:t xml:space="preserve">: Belgium Central →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throughout.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Quota grouping model updated (QUA-004)</w:t>
      </w:r>
      <w:r>
        <w:t xml:space="preserve">: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per region/quota family</w:t>
      </w:r>
      <w:r>
        <w:t xml:space="preserve"> </w:t>
      </w:r>
      <w:r>
        <w:t xml:space="preserve">(Prod + NonProd/CVAL + DR together) is now the</w:t>
      </w:r>
      <w:r>
        <w:t xml:space="preserve"> </w:t>
      </w:r>
      <w:r>
        <w:rPr>
          <w:bCs/>
          <w:b/>
        </w:rPr>
        <w:t xml:space="preserve">primary model</w:t>
      </w:r>
      <w:r>
        <w:t xml:space="preserve">; Prod/DR protected by logical</w:t>
      </w:r>
      <w:r>
        <w:t xml:space="preserve"> </w:t>
      </w:r>
      <w:r>
        <w:t xml:space="preserve">earmarks. The two-group topology is retained only as a narrow governance/Azure-limit exception</w:t>
      </w:r>
      <w:r>
        <w:t xml:space="preserve"> </w:t>
      </w:r>
      <w:r>
        <w:t xml:space="preserve">(Scenario 8/9 updated accordingly).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Scenario 15</w:t>
      </w:r>
      <w:r>
        <w:t xml:space="preserve"> </w:t>
      </w:r>
      <w:r>
        <w:t xml:space="preserve">(fixed DR ratio parameters) retained for reference but marked</w:t>
      </w:r>
      <w:r>
        <w:t xml:space="preserve"> </w:t>
      </w:r>
      <w:r>
        <w:rPr>
          <w:bCs/>
          <w:b/>
        </w:rPr>
        <w:t xml:space="preserve">superseded</w:t>
      </w:r>
      <w:r>
        <w:t xml:space="preserve">.</w:t>
      </w:r>
    </w:p>
    <w:p>
      <w:pPr>
        <w:pStyle w:val="FirstParagraph"/>
      </w:pPr>
      <w:r>
        <w:t xml:space="preserve">This document consolidates</w:t>
      </w:r>
      <w:r>
        <w:t xml:space="preserve"> </w:t>
      </w:r>
      <w:r>
        <w:rPr>
          <w:bCs/>
          <w:b/>
        </w:rPr>
        <w:t xml:space="preserve">every calculation logic</w:t>
      </w:r>
      <w:r>
        <w:t xml:space="preserve"> </w:t>
      </w:r>
      <w:r>
        <w:t xml:space="preserve">used by the Azure Capacity Reservation</w:t>
      </w:r>
      <w:r>
        <w:t xml:space="preserve"> </w:t>
      </w:r>
      <w:r>
        <w:t xml:space="preserve">Management Engine (ACRME), organized by the scenario in which it fires. Each formula carries an</w:t>
      </w:r>
      <w:r>
        <w:t xml:space="preserve"> </w:t>
      </w:r>
      <w:r>
        <w:t xml:space="preserve">evidence tag: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backed by Microsoft Learn or Azure platform documentation.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an approved design decision recorded in the ADR Decision Log.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— a logical consequence of the design; requires POC validation where noted.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[Assumed]</w:t>
      </w:r>
      <w:r>
        <w:t xml:space="preserve"> </w:t>
      </w:r>
      <w:r>
        <w:t xml:space="preserve">— a policy default or working hypothesis, tunable and not yet empirically validated.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Requirements Baseline v2.3 (Section 6 region model; Appendix A–D); ADR-001 through ADR-005;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(PRR Section 26–Section 32).</w:t>
      </w:r>
    </w:p>
    <w:p>
      <w:pPr>
        <w:pStyle w:val="BlockText"/>
      </w:pPr>
      <w:r>
        <w:rPr>
          <w:bCs/>
          <w:b/>
        </w:rPr>
        <w:t xml:space="preserve">Convention.</w:t>
      </w:r>
      <w:r>
        <w:t xml:space="preserve"> </w:t>
      </w:r>
      <w:r>
        <w:rPr>
          <w:rStyle w:val="VerbatimChar"/>
        </w:rPr>
        <w:t xml:space="preserve">vCPU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vCPU_per_instance</w:t>
      </w:r>
      <w:r>
        <w:t xml:space="preserve"> </w:t>
      </w:r>
      <w:r>
        <w:t xml:space="preserve">for the SKU family.</w:t>
      </w:r>
      <w:r>
        <w:t xml:space="preserve"> </w:t>
      </w:r>
      <w:r>
        <w:rPr>
          <w:rStyle w:val="VerbatimChar"/>
        </w:rPr>
        <w:t xml:space="preserve">CVAL</w:t>
      </w:r>
      <w:r>
        <w:t xml:space="preserve"> </w:t>
      </w:r>
      <w:r>
        <w:t xml:space="preserve">(Customer Validation) and</w:t>
      </w:r>
      <w:r>
        <w:t xml:space="preserve"> </w:t>
      </w:r>
      <w:r>
        <w:rPr>
          <w:rStyle w:val="VerbatimChar"/>
        </w:rPr>
        <w:t xml:space="preserve">NonProd</w:t>
      </w:r>
      <w:r>
        <w:t xml:space="preserve"> </w:t>
      </w:r>
      <w:r>
        <w:t xml:space="preserve">are interchangeable; scoring identifiers keep the</w:t>
      </w:r>
      <w:r>
        <w:t xml:space="preserve"> </w:t>
      </w:r>
      <w:r>
        <w:rPr>
          <w:rStyle w:val="VerbatimChar"/>
        </w:rPr>
        <w:t xml:space="preserve">NonProd</w:t>
      </w:r>
      <w:r>
        <w:t xml:space="preserve"> </w:t>
      </w:r>
      <w:r>
        <w:t xml:space="preserve">spelling for engineering</w:t>
      </w:r>
      <w:r>
        <w:t xml:space="preserve"> </w:t>
      </w:r>
      <w:r>
        <w:t xml:space="preserve">consistency. All raw ratios are clamped with</w:t>
      </w:r>
      <w:r>
        <w:t xml:space="preserve"> </w:t>
      </w:r>
      <w:r>
        <w:rPr>
          <w:rStyle w:val="VerbatimChar"/>
        </w:rPr>
        <w:t xml:space="preserve">Clamp(x) = max(0, min(1, x))</w:t>
      </w:r>
      <w:r>
        <w:t xml:space="preserve"> </w:t>
      </w:r>
      <w:r>
        <w:t xml:space="preserve">before weighting.</w:t>
      </w:r>
    </w:p>
    <w:p>
      <w:r>
        <w:pict>
          <v:rect style="width:0;height:1.5pt" o:hralign="center" o:hrstd="t" o:hr="t"/>
        </w:pict>
      </w:r>
    </w:p>
    <w:bookmarkStart w:id="20" w:name="index-of-scenarios"/>
    <w:p>
      <w:pPr>
        <w:pStyle w:val="Heading2"/>
      </w:pPr>
      <w:r>
        <w:t xml:space="preserve">Index of Scenarios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derivation — customer picks a</w:t>
            </w:r>
            <w:r>
              <w:t xml:space="preserve"> </w:t>
            </w:r>
            <w:r>
              <w:rPr>
                <w:bCs/>
                <w:b/>
              </w:rPr>
              <w:t xml:space="preserve">geography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exception path</w:t>
            </w:r>
            <w:r>
              <w:t xml:space="preserve">; explicit approval + customer acknowledgement required)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validation — customer supplies the</w:t>
            </w:r>
            <w:r>
              <w:t xml:space="preserve"> </w:t>
            </w:r>
            <w:r>
              <w:rPr>
                <w:bCs/>
                <w:b/>
              </w:rPr>
              <w:t xml:space="preserve">exact region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default input</w:t>
            </w:r>
            <w:r>
              <w:t xml:space="preserve">; ACRME validates, does not derive)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HC-1..HC-10 gate +</w:t>
            </w:r>
            <w:r>
              <w:t xml:space="preserve"> </w:t>
            </w:r>
            <w:r>
              <w:rPr>
                <w:rStyle w:val="VerbatimChar"/>
              </w:rPr>
              <w:t xml:space="preserve">PS_Prod</w:t>
            </w:r>
            <w:r>
              <w:t xml:space="preserve"> </w:t>
            </w:r>
            <w:r>
              <w:t xml:space="preserve">post-validation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workflow (no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two-region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in-geo;</w:t>
            </w:r>
            <w:r>
              <w:t xml:space="preserve"> </w:t>
            </w:r>
            <w:r>
              <w:rPr>
                <w:bCs/>
                <w:b/>
              </w:rPr>
              <w:t xml:space="preserve">DR currently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NOT_OFFERED</w:t>
            </w:r>
            <w:r>
              <w:t xml:space="preserve"> </w:t>
            </w:r>
            <w:r>
              <w:t xml:space="preserve">(DR-014, DEC-001 under legal review) — Switzerland North cross-geo DR is pre-configured but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, conditional on DEC-001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/ NonProd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argmax(PS_NonProd)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Hard-constraint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HC-6, HC-7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&amp; NonProd+DR group 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DR_Floor_vCPU</w:t>
            </w:r>
            <w:r>
              <w:t xml:space="preserve">, effective ceiling, 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quota 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Quota_Score_{Prod,NonProd,DR}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forecast / CR sizing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Auto-increase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thresholds + 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transfer &amp; tier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1/2/3, quota-neutral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&amp; API-budget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cardinality, request-per-cycle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ratio parameters (fixed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dr_ratio_min/max/target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 by Scenario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target &amp; reconciliation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VM Count + Buffer</w:t>
            </w:r>
            <w:r>
              <w:t xml:space="preserve"> </w:t>
            </w:r>
            <w:r>
              <w:t xml:space="preserve">(CAP-003)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destination requirement — max-not-sum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MAX(source portions per destination)</w:t>
            </w:r>
            <w:r>
              <w:t xml:space="preserve"> </w:t>
            </w:r>
            <w:r>
              <w:t xml:space="preserve">(A.6)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Standby activation (DR-019)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associated → allocated</w:t>
            </w:r>
            <w:r>
              <w:t xml:space="preserve"> </w:t>
            </w:r>
            <w:r>
              <w:t xml:space="preserve">staged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 / QUOTA_DEFICIT / STALE_STATE / …</w:t>
            </w:r>
            <w:r>
              <w:t xml:space="preserve"> </w:t>
            </w:r>
            <w:r>
              <w:t xml:space="preserve">(RDY-002)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placement 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First-placement persistence + reuse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25b4b3b8eec9611db1abf6f7df9b21bf6d1495c"/>
    <w:p>
      <w:pPr>
        <w:pStyle w:val="Heading2"/>
      </w:pPr>
      <w:r>
        <w:t xml:space="preserve">Shared Building Blocks (used by several scenarios)</w:t>
      </w:r>
    </w:p>
    <w:bookmarkStart w:id="21" w:name="default-scoring-weights-assumed"/>
    <w:p>
      <w:pPr>
        <w:pStyle w:val="Heading3"/>
      </w:pPr>
      <w:r>
        <w:t xml:space="preserve">Default scoring weights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pStyle w:val="SourceCode"/>
      </w:pPr>
      <w:r>
        <w:rPr>
          <w:rStyle w:val="VerbatimChar"/>
        </w:rPr>
        <w:t xml:space="preserve">alpha (α) = 0.30   # capacity / headroom signal</w:t>
      </w:r>
      <w:r>
        <w:br/>
      </w:r>
      <w:r>
        <w:rPr>
          <w:rStyle w:val="VerbatimChar"/>
        </w:rPr>
        <w:t xml:space="preserve">beta  (β) = 0.20   # quota headroom signal</w:t>
      </w:r>
      <w:r>
        <w:br/>
      </w:r>
      <w:r>
        <w:rPr>
          <w:rStyle w:val="VerbatimChar"/>
        </w:rPr>
        <w:t xml:space="preserve">gamma (γ) = 0.25   # capacity-weighted distribution</w:t>
      </w:r>
      <w:r>
        <w:br/>
      </w:r>
      <w:r>
        <w:rPr>
          <w:rStyle w:val="VerbatimChar"/>
        </w:rPr>
        <w:t xml:space="preserve">delta (δ) = 0.15   # DR-coverage / overflow-integrity signal</w:t>
      </w:r>
      <w:r>
        <w:br/>
      </w:r>
      <w:r>
        <w:rPr>
          <w:rStyle w:val="VerbatimChar"/>
        </w:rPr>
        <w:t xml:space="preserve">epsilon(ε)= 0.10   # zone diversity</w:t>
      </w:r>
      <w:r>
        <w:br/>
      </w:r>
      <w:r>
        <w:rPr>
          <w:rStyle w:val="VerbatimChar"/>
        </w:rPr>
        <w:t xml:space="preserve">Clamp(x)  = max(0, min(1, x))       # every component clamped to [0,1] before weighting</w:t>
      </w:r>
    </w:p>
    <w:p>
      <w:pPr>
        <w:pStyle w:val="FirstParagraph"/>
      </w:pPr>
      <w:r>
        <w:t xml:space="preserve">All five weights are tunable policy constants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(config-as-code, versioned).</w:t>
      </w:r>
      <w:r>
        <w:t xml:space="preserve"> </w:t>
      </w:r>
      <w:r>
        <w:t xml:space="preserve">They sum to exactly 1.0 and apply across all three environment scoring formulas.</w:t>
      </w:r>
      <w:r>
        <w:t xml:space="preserve"> </w:t>
      </w:r>
      <w:r>
        <w:rPr>
          <w:rStyle w:val="VerbatimChar"/>
        </w:rPr>
        <w:t xml:space="preserve">[Assumed]</w:t>
      </w:r>
    </w:p>
    <w:bookmarkEnd w:id="21"/>
    <w:bookmarkStart w:id="22" w:name="Xbe5ea8e6c39597fbe1994e130755655119483be"/>
    <w:p>
      <w:pPr>
        <w:pStyle w:val="Heading3"/>
      </w:pPr>
      <w:r>
        <w:t xml:space="preserve">Policy weight-sum validation rule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weight-sum invariant is a</w:t>
      </w:r>
      <w:r>
        <w:t xml:space="preserve"> </w:t>
      </w:r>
      <w:r>
        <w:rPr>
          <w:bCs/>
          <w:b/>
        </w:rPr>
        <w:t xml:space="preserve">mathematical requirement</w:t>
      </w:r>
      <w:r>
        <w:t xml:space="preserve"> </w:t>
      </w:r>
      <w:r>
        <w:t xml:space="preserve">for the scoring formulas to produce</w:t>
      </w:r>
      <w:r>
        <w:t xml:space="preserve"> </w:t>
      </w:r>
      <w:r>
        <w:t xml:space="preserve">meaningful, comparable scores in the range [0, 1]. It must be enforced by a validation gate in</w:t>
      </w:r>
      <w:r>
        <w:t xml:space="preserve"> </w:t>
      </w:r>
      <w:r>
        <w:t xml:space="preserve">the Config/Scope-File Service, not left to operator judgement.</w:t>
      </w:r>
    </w:p>
    <w:p>
      <w:pPr>
        <w:pStyle w:val="BodyText"/>
      </w:pPr>
      <w:r>
        <w:rPr>
          <w:bCs/>
          <w:b/>
        </w:rPr>
        <w:t xml:space="preserve">Why 1.0 is required:</w:t>
      </w:r>
      <w:r>
        <w:t xml:space="preserve"> </w:t>
      </w:r>
      <w:r>
        <w:t xml:space="preserve">Every component is clamped to [0, 1]. When weights sum to exactly 1.0, the best possible</w:t>
      </w:r>
      <w:r>
        <w:t xml:space="preserve"> </w:t>
      </w:r>
      <w:r>
        <w:t xml:space="preserve">score is 1.0 and the worst is 0.0. When weights sum to any other value: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Weights sum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1.0 (e.g. 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&gt; 1.0 — scores inflated; placement thresholds miscalibrated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1.0 (e.g. 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&lt; 1.0 — scores compressed; placement thresholds miscalibrated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Either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</w:t>
            </w:r>
            <w:r>
              <w:t xml:space="preserve"> </w:t>
            </w:r>
            <w:r>
              <w:t xml:space="preserve">still selects a winner but absolute score values are no longer meaningful; cross-version score comparisons are invalid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Formal validation rule:</w:t>
      </w:r>
    </w:p>
    <w:p>
      <w:pPr>
        <w:pStyle w:val="SourceCode"/>
      </w:pPr>
      <w:r>
        <w:rPr>
          <w:rStyle w:val="VerbatimChar"/>
        </w:rPr>
        <w:t xml:space="preserve">VALIDATION RULE: PlacementPolicy.WeightSumInvariant</w:t>
      </w:r>
      <w:r>
        <w:br/>
      </w:r>
      <w:r>
        <w:rPr>
          <w:rStyle w:val="VerbatimChar"/>
        </w:rPr>
        <w:t xml:space="preserve">  Fires:  at policy version load time, before the version is published to the Placement Engine</w:t>
      </w:r>
      <w:r>
        <w:br/>
      </w:r>
      <w:r>
        <w:rPr>
          <w:rStyle w:val="VerbatimChar"/>
        </w:rPr>
        <w:t xml:space="preserve">  Actor:  Config / Scope-File Service</w:t>
      </w:r>
      <w:r>
        <w:br/>
      </w:r>
      <w:r>
        <w:br/>
      </w:r>
      <w:r>
        <w:rPr>
          <w:rStyle w:val="VerbatimChar"/>
        </w:rPr>
        <w:t xml:space="preserve">  weight_sum = policy.alpha + policy.beta + policy.gamma + policy.delta + policy.epsilon</w:t>
      </w:r>
      <w:r>
        <w:br/>
      </w:r>
      <w:r>
        <w:rPr>
          <w:rStyle w:val="VerbatimChar"/>
        </w:rPr>
        <w:t xml:space="preserve">  tolerance  = 0.001   # absorbs IEEE 754 floating-point representation error only;</w:t>
      </w:r>
      <w:r>
        <w:br/>
      </w:r>
      <w:r>
        <w:rPr>
          <w:rStyle w:val="VerbatimChar"/>
        </w:rPr>
        <w:t xml:space="preserve">                        # does NOT tolerate intentional deviations ≥ 0.01</w:t>
      </w:r>
      <w:r>
        <w:br/>
      </w:r>
      <w:r>
        <w:br/>
      </w:r>
      <w:r>
        <w:rPr>
          <w:rStyle w:val="VerbatimChar"/>
        </w:rPr>
        <w:t xml:space="preserve">  IF |weight_sum − 1.0| &gt; tolerance:</w:t>
      </w:r>
      <w:r>
        <w:br/>
      </w:r>
      <w:r>
        <w:rPr>
          <w:rStyle w:val="VerbatimChar"/>
        </w:rPr>
        <w:t xml:space="preserve">      REJECT policy version (do not publish)</w:t>
      </w:r>
      <w:r>
        <w:br/>
      </w:r>
      <w:r>
        <w:rPr>
          <w:rStyle w:val="VerbatimChar"/>
        </w:rPr>
        <w:t xml:space="preserve">      RAISE PolicyValidationError(</w:t>
      </w:r>
      <w:r>
        <w:br/>
      </w:r>
      <w:r>
        <w:rPr>
          <w:rStyle w:val="VerbatimChar"/>
        </w:rPr>
        <w:t xml:space="preserve">          code     = "WEIGHT_SUM_INVARIANT_VIOLATED",</w:t>
      </w:r>
      <w:r>
        <w:br/>
      </w:r>
      <w:r>
        <w:rPr>
          <w:rStyle w:val="VerbatimChar"/>
        </w:rPr>
        <w:t xml:space="preserve">          message  = f"PlacementPolicy weights must sum to 1.0 ± {tolerance}. "</w:t>
      </w:r>
      <w:r>
        <w:br/>
      </w:r>
      <w:r>
        <w:rPr>
          <w:rStyle w:val="VerbatimChar"/>
        </w:rPr>
        <w:t xml:space="preserve">                     f"Actual sum: {weight_sum:.6f}. "</w:t>
      </w:r>
      <w:r>
        <w:br/>
      </w:r>
      <w:r>
        <w:rPr>
          <w:rStyle w:val="VerbatimChar"/>
        </w:rPr>
        <w:t xml:space="preserve">                     f"Adjust alpha/beta/gamma/delta/epsilon before resubmitting.",</w:t>
      </w:r>
      <w:r>
        <w:br/>
      </w:r>
      <w:r>
        <w:rPr>
          <w:rStyle w:val="VerbatimChar"/>
        </w:rPr>
        <w:t xml:space="preserve">          policy_version = policy.version,</w:t>
      </w:r>
      <w:r>
        <w:br/>
      </w:r>
      <w:r>
        <w:rPr>
          <w:rStyle w:val="VerbatimChar"/>
        </w:rPr>
        <w:t xml:space="preserve">          computed_sum   = weight_sum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  WRITE AuditEvent(</w:t>
      </w:r>
      <w:r>
        <w:br/>
      </w:r>
      <w:r>
        <w:rPr>
          <w:rStyle w:val="VerbatimChar"/>
        </w:rPr>
        <w:t xml:space="preserve">          event_type     = "POLICY_VALIDATION_FAILED",</w:t>
      </w:r>
      <w:r>
        <w:br/>
      </w:r>
      <w:r>
        <w:rPr>
          <w:rStyle w:val="VerbatimChar"/>
        </w:rPr>
        <w:t xml:space="preserve">          severity       = "ERROR",</w:t>
      </w:r>
      <w:r>
        <w:br/>
      </w:r>
      <w:r>
        <w:rPr>
          <w:rStyle w:val="VerbatimChar"/>
        </w:rPr>
        <w:t xml:space="preserve">          policy_version = policy.version,</w:t>
      </w:r>
      <w:r>
        <w:br/>
      </w:r>
      <w:r>
        <w:rPr>
          <w:rStyle w:val="VerbatimChar"/>
        </w:rPr>
        <w:t xml:space="preserve">          detail         = PolicyValidationError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  RETURN  # placement engine never receives this policy version</w:t>
      </w:r>
      <w:r>
        <w:br/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  PUBLISH policy version to Placement Engine</w:t>
      </w:r>
      <w:r>
        <w:br/>
      </w:r>
      <w:r>
        <w:rPr>
          <w:rStyle w:val="VerbatimChar"/>
        </w:rPr>
        <w:t xml:space="preserve">      WRITE AuditEvent(</w:t>
      </w:r>
      <w:r>
        <w:br/>
      </w:r>
      <w:r>
        <w:rPr>
          <w:rStyle w:val="VerbatimChar"/>
        </w:rPr>
        <w:t xml:space="preserve">          event_type     = "POLICY_VERSION_PUBLISHED",</w:t>
      </w:r>
      <w:r>
        <w:br/>
      </w:r>
      <w:r>
        <w:rPr>
          <w:rStyle w:val="VerbatimChar"/>
        </w:rPr>
        <w:t xml:space="preserve">          policy_version = policy.version,</w:t>
      </w:r>
      <w:r>
        <w:br/>
      </w:r>
      <w:r>
        <w:rPr>
          <w:rStyle w:val="VerbatimChar"/>
        </w:rPr>
        <w:t xml:space="preserve">          weight_sum     = weight_sum</w:t>
      </w:r>
      <w:r>
        <w:br/>
      </w:r>
      <w:r>
        <w:rPr>
          <w:rStyle w:val="VerbatimChar"/>
        </w:rPr>
        <w:t xml:space="preserve">      )</w:t>
      </w:r>
    </w:p>
    <w:p>
      <w:pPr>
        <w:pStyle w:val="FirstParagraph"/>
      </w:pPr>
      <w:r>
        <w:rPr>
          <w:bCs/>
          <w:b/>
        </w:rPr>
        <w:t xml:space="preserve">Tuning constraint — the pie rule:</w:t>
      </w:r>
      <w:r>
        <w:t xml:space="preserve"> </w:t>
      </w:r>
      <w:r>
        <w:t xml:space="preserve">When an operator adjusts any weight, the total reduction from other weights must equal the</w:t>
      </w:r>
      <w:r>
        <w:t xml:space="preserve"> </w:t>
      </w:r>
      <w:r>
        <w:t xml:space="preserve">total increase. Example:</w:t>
      </w:r>
    </w:p>
    <w:p>
      <w:pPr>
        <w:pStyle w:val="SourceCode"/>
      </w:pPr>
      <w:r>
        <w:rPr>
          <w:rStyle w:val="VerbatimChar"/>
        </w:rPr>
        <w:t xml:space="preserve">Valid:   α=0.40, β=0.15, γ=0.25, δ=0.10, ε=0.10  → sum = 1.00 ✓</w:t>
      </w:r>
      <w:r>
        <w:br/>
      </w:r>
      <w:r>
        <w:rPr>
          <w:rStyle w:val="VerbatimChar"/>
        </w:rPr>
        <w:t xml:space="preserve">Invalid: α=0.40, β=0.20, γ=0.25, δ=0.15, ε=0.10  → sum = 1.10 ✗ (REJECTED)</w:t>
      </w:r>
      <w:r>
        <w:br/>
      </w:r>
      <w:r>
        <w:rPr>
          <w:rStyle w:val="VerbatimChar"/>
        </w:rPr>
        <w:t xml:space="preserve">Invalid: α=0.20, β=0.20, γ=0.25, δ=0.15, ε=0.10  → sum = 0.90 ✗ (REJECTED)</w:t>
      </w:r>
    </w:p>
    <w:p>
      <w:pPr>
        <w:pStyle w:val="FirstParagraph"/>
      </w:pPr>
      <w:r>
        <w:rPr>
          <w:bCs/>
          <w:b/>
        </w:rPr>
        <w:t xml:space="preserve">Required test cases: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α=0.30, β=0.20, γ=0.25, δ=0.15, ε=0.10 (sum=1.00)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published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α=0.40, β=0.20, γ=0.25, δ=0.15, ε=0.10 (sum=1.10)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WEIGHT_SUM_INVARIANT_VIOLATED, policy rejected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α=0.20, β=0.20, γ=0.25, δ=0.15, ε=0.10 (sum=0.90)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WEIGHT_SUM_INVARIANT_VIOLATED, policy rejected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rounding artefact (sum=1.0000001)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tolerance → policy published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sum=1.01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tolerance → policy rejected ✓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[Decided]</w:t>
      </w:r>
    </w:p>
    <w:bookmarkEnd w:id="22"/>
    <w:bookmarkStart w:id="23" w:name="X3cc1aed25001fc65453c48f5cb86688dfb22d46"/>
    <w:p>
      <w:pPr>
        <w:pStyle w:val="Heading3"/>
      </w:pPr>
      <w:r>
        <w:t xml:space="preserve">Named regional-snapshot quantities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nonprod_crg.effective_free = nonprod_crg.free_slots - dr_overflow_reserve</w:t>
      </w:r>
      <w:r>
        <w:br/>
      </w:r>
      <w:r>
        <w:rPr>
          <w:rStyle w:val="VerbatimChar"/>
        </w:rPr>
        <w:t xml:space="preserve">dr_crg.coverage_ratio      = dr_crg.quantity / potential_dr_demand</w:t>
      </w:r>
      <w:r>
        <w:br/>
      </w:r>
      <w:r>
        <w:rPr>
          <w:rStyle w:val="VerbatimChar"/>
        </w:rPr>
        <w:t xml:space="preserve">potential_dr_demand(region)= Σ prod_allocated  for all customers whose dr_region = region</w:t>
      </w:r>
    </w:p>
    <w:bookmarkEnd w:id="23"/>
    <w:bookmarkStart w:id="24" w:name="key-formula-disambiguation"/>
    <w:p>
      <w:pPr>
        <w:pStyle w:val="Heading3"/>
      </w:pPr>
      <w:r>
        <w:t xml:space="preserve">Key formula disambiguation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Reserved Capacity = Allocated +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reconciliation floor (Scenario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Forecast_Quantity = ceil(Peak × (1+Growth) + DR_Buffer)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growth ahead of demand (Scenario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 DR Requirement(d) = MAX(source 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sizing (Scenario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 / 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dr_ratio_*</w:t>
            </w:r>
            <w:r>
              <w:t xml:space="preserve"> </w:t>
            </w: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(Scenario 15) — configuration reference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Section 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X78430263a8ee2dcc888d57672b709789d776cf0"/>
    <w:p>
      <w:pPr>
        <w:pStyle w:val="Heading2"/>
      </w:pPr>
      <w:r>
        <w:t xml:space="preserve">Scenario 1 — Prod Region Derivation (Customer Chooses a Geography)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supplies a geography (e.g. </w:t>
      </w:r>
      <w:r>
        <w:t xml:space="preserve">“</w:t>
      </w:r>
      <w:r>
        <w:t xml:space="preserve">Europe</w:t>
      </w:r>
      <w:r>
        <w:t xml:space="preserve">”</w:t>
      </w:r>
      <w:r>
        <w:t xml:space="preserve">), not a specific region.</w:t>
      </w:r>
      <w:r>
        <w:br/>
      </w:r>
      <w:r>
        <w:rPr>
          <w:bCs/>
          <w:b/>
        </w:rPr>
        <w:t xml:space="preserve">Status: Exception path — not the default (PLC-002).</w:t>
      </w:r>
      <w:r>
        <w:t xml:space="preserve"> </w:t>
      </w:r>
      <w:r>
        <w:t xml:space="preserve">Requires explicit exception approval and</w:t>
      </w:r>
      <w:r>
        <w:t xml:space="preserve"> </w:t>
      </w:r>
      <w:r>
        <w:t xml:space="preserve">customer acknowledgement that the</w:t>
      </w:r>
      <w:r>
        <w:t xml:space="preserve"> </w:t>
      </w:r>
      <w:r>
        <w:rPr>
          <w:bCs/>
          <w:b/>
        </w:rPr>
        <w:t xml:space="preserve">derived production region becomes fixed until an approved migration</w:t>
      </w:r>
      <w:r>
        <w:rPr>
          <w:bCs/>
          <w:b/>
        </w:rPr>
        <w:t xml:space="preserve"> </w:t>
      </w:r>
      <w:r>
        <w:rPr>
          <w:bCs/>
          <w:b/>
        </w:rPr>
        <w:t xml:space="preserve">changes the seed</w:t>
      </w:r>
      <w:r>
        <w:t xml:space="preserve">. Cannot be invoked without a recorded exception reference.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Logic:</w:t>
      </w:r>
    </w:p>
    <w:p>
      <w:pPr>
        <w:numPr>
          <w:ilvl w:val="0"/>
          <w:numId w:val="1002"/>
        </w:numPr>
        <w:pStyle w:val="Compact"/>
      </w:pPr>
      <w:r>
        <w:t xml:space="preserve">Build candidate set =</w:t>
      </w:r>
      <w:r>
        <w:t xml:space="preserve"> </w:t>
      </w:r>
      <w:r>
        <w:rPr>
          <w:bCs/>
          <w:b/>
        </w:rPr>
        <w:t xml:space="preserve">Standard Capacity Regions</w:t>
      </w:r>
      <w:r>
        <w:t xml:space="preserve"> </w:t>
      </w:r>
      <w:r>
        <w:t xml:space="preserve">in the chosen geography. Restricted regions are</w:t>
      </w:r>
      <w:r>
        <w:t xml:space="preserve"> </w:t>
      </w:r>
      <w:r>
        <w:t xml:space="preserve">excluded before scoring.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t xml:space="preserve">Score every candidate with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from the versioned regional snapshot.</w:t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derived Prod anchor = argmax(PS_Prod)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Tie-break:</w:t>
      </w:r>
      <w:r>
        <w:t xml:space="preserve"> </w:t>
      </w:r>
      <w:r>
        <w:t xml:space="preserve">deterministic — first region in the Standard Capacity Region list order for that</w:t>
      </w:r>
      <w:r>
        <w:t xml:space="preserve"> </w:t>
      </w:r>
      <w:r>
        <w:t xml:space="preserve">geography; also the cold-start default when no snapshot exists.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2"/>
        </w:numPr>
        <w:pStyle w:val="Compact"/>
      </w:pPr>
      <w:r>
        <w:t xml:space="preserve">Run sequential CVAL → DR selection (Scenarios 5 &amp; 6) on the same Standard region pool.</w:t>
      </w:r>
    </w:p>
    <w:bookmarkStart w:id="26" w:name="ps_prodr-decided"/>
    <w:p>
      <w:pPr>
        <w:pStyle w:val="Heading3"/>
      </w:pPr>
      <w:r>
        <w:rPr>
          <w:rStyle w:val="VerbatimChar"/>
        </w:rPr>
        <w:t xml:space="preserve">PS_Prod(r)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PS_Prod(r) =</w:t>
      </w:r>
      <w:r>
        <w:br/>
      </w:r>
      <w:r>
        <w:rPr>
          <w:rStyle w:val="VerbatimChar"/>
        </w:rPr>
        <w:t xml:space="preserve">    0.30 × Clamp(nonprod_crg.effective_free / prod_crg.quantity)     ← α: NonProd headroom signal</w:t>
      </w:r>
      <w:r>
        <w:br/>
      </w:r>
      <w:r>
        <w:rPr>
          <w:rStyle w:val="VerbatimChar"/>
        </w:rPr>
        <w:t xml:space="preserve">  + 0.20 × Clamp(prod_crg.quota_headroom  / prod_crg.quota_limit)    ← β: Prod quota headroom</w:t>
      </w:r>
      <w:r>
        <w:br/>
      </w:r>
      <w:r>
        <w:rPr>
          <w:rStyle w:val="VerbatimChar"/>
        </w:rPr>
        <w:t xml:space="preserve">  + 0.25 × Clamp(1 - prod_customer_count  / total_customers)         ← γ: distribution fairness</w:t>
      </w:r>
      <w:r>
        <w:br/>
      </w:r>
      <w:r>
        <w:rPr>
          <w:rStyle w:val="VerbatimChar"/>
        </w:rPr>
        <w:t xml:space="preserve">  + 0.15 × Clamp(dr_crg.coverage_ratio)                              ← δ: DR readiness signal</w:t>
      </w:r>
      <w:r>
        <w:br/>
      </w:r>
      <w:r>
        <w:rPr>
          <w:rStyle w:val="VerbatimChar"/>
        </w:rPr>
        <w:t xml:space="preserve">  + 0.10 × Clamp(az_count / 3)                                       ← ε: zone diversity</w:t>
      </w:r>
    </w:p>
    <w:p>
      <w:pPr>
        <w:pStyle w:val="FirstParagraph"/>
      </w:pPr>
      <w:r>
        <w:rPr>
          <w:rStyle w:val="VerbatimChar"/>
        </w:rPr>
        <w:t xml:space="preserve">PS_Prod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dual-purpose</w:t>
      </w:r>
      <w:r>
        <w:t xml:space="preserve">: derives the Prod region in Scenario 1 and is reused for post-selection</w:t>
      </w:r>
      <w:r>
        <w:t xml:space="preserve"> </w:t>
      </w:r>
      <w:r>
        <w:t xml:space="preserve">validation in Scenario 2. Every candidate score and the policy version are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deterministic replay.</w:t>
      </w:r>
      <w:r>
        <w:t xml:space="preserve"> </w:t>
      </w:r>
      <w:r>
        <w:rPr>
          <w:rStyle w:val="VerbatimChar"/>
        </w:rPr>
        <w:t xml:space="preserve">[Derived]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136628e22d047b29bae01e0c79707a08338990"/>
    <w:p>
      <w:pPr>
        <w:pStyle w:val="Heading2"/>
      </w:pPr>
      <w:r>
        <w:t xml:space="preserve">Scenario 2 — Prod Region Validation (Customer Supplies a Specific Region)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names an exact Azure region — the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input mode (PLC-001). ACRME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the supplied region against HC-1..HC-10 and placement-policy rules;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derive a region from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Logic: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 Capacity Region:</w:t>
      </w:r>
      <w:r>
        <w:t xml:space="preserve"> </w:t>
      </w:r>
      <w:r>
        <w:t xml:space="preserve">validate against HC-1..HC-10 (Scenario 7). If eligible, it becomes the</w:t>
      </w:r>
      <w:r>
        <w:t xml:space="preserve"> </w:t>
      </w:r>
      <w:r>
        <w:t xml:space="preserve">Prod anchor directly.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computed for post-selection validation/audit only, not for selection.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Restricted Capacity Region:</w:t>
      </w:r>
      <w:r>
        <w:t xml:space="preserve"> </w:t>
      </w:r>
      <w:r>
        <w:t xml:space="preserve">do not score — route to the Exception Deployment Workflow (Scenario 3).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here. The customer’s choice is authoritative once it passes the hard constraints.</w:t>
      </w:r>
      <w:r>
        <w:t xml:space="preserve"> </w:t>
      </w:r>
      <w:r>
        <w:t xml:space="preserve">The first approved placement writes the</w:t>
      </w:r>
      <w:r>
        <w:t xml:space="preserve"> </w:t>
      </w:r>
      <w:r>
        <w:rPr>
          <w:bCs/>
          <w:b/>
        </w:rPr>
        <w:t xml:space="preserve">Customer Seed Record</w:t>
      </w:r>
      <w:r>
        <w:t xml:space="preserve"> </w:t>
      </w:r>
      <w:r>
        <w:t xml:space="preserve">(Scenario 20).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28"/>
    <w:bookmarkStart w:id="29" w:name="Xb6be7f2e377c008f777265fdccef7ef70a41418"/>
    <w:p>
      <w:pPr>
        <w:pStyle w:val="Heading2"/>
      </w:pPr>
      <w:r>
        <w:t xml:space="preserve">Scenario 3 — Restricted Region Request (Exception Path)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the requested or only feasible region is a</w:t>
      </w:r>
      <w:r>
        <w:t xml:space="preserve"> </w:t>
      </w:r>
      <w:r>
        <w:rPr>
          <w:bCs/>
          <w:b/>
        </w:rPr>
        <w:t xml:space="preserve">Restricted Capacity Region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no scoring formula is evaluated. The request diverts to the manual Exception Deployment</w:t>
      </w:r>
      <w:r>
        <w:t xml:space="preserve"> </w:t>
      </w:r>
      <w:r>
        <w:t xml:space="preserve">Workflow (governance approval, EC-1..EC-4, VR-1..VR-11, HC-9/HC-10 controls). Restricted regions</w:t>
      </w:r>
      <w:r>
        <w:t xml:space="preserve"> </w:t>
      </w:r>
      <w:r>
        <w:t xml:space="preserve">never enter the scoring pipeline.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conditions: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requires the specific restricted region by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region in the geography can supply sufficient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Data-residency requirement binds to the restricted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input — restricted regions can never be engine-derived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344a029585dfae610b2ad7cf2799ea13e8952d1"/>
    <w:p>
      <w:pPr>
        <w:pStyle w:val="Heading2"/>
      </w:pPr>
      <w:r>
        <w:t xml:space="preserve">Scenario 4 — Middle East Two-Region Deployment (Current position: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Middle East deployment requiring Prod + CVAL (and, subject to legal, DR). The Middle East is a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geography (UAE North + Saudi Arabia Central); with DR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, production is placed in one region and CVAL in the other.</w:t>
      </w:r>
    </w:p>
    <w:p>
      <w:pPr>
        <w:pStyle w:val="BlockText"/>
      </w:pPr>
      <w:r>
        <w:rPr>
          <w:bCs/>
          <w:b/>
        </w:rPr>
        <w:t xml:space="preserve">⚠️ Current legal position — no DR is offered in the Middle East (DR-014, DEC-001).</w:t>
      </w:r>
      <w:r>
        <w:t xml:space="preserve"> </w:t>
      </w:r>
      <w:r>
        <w:t xml:space="preserve">The Middle East</w:t>
      </w:r>
      <w:r>
        <w:t xml:space="preserve"> </w:t>
      </w:r>
      <w:r>
        <w:t xml:space="preserve">programme is legal-owned and serves government/medical customers under data-residency/sovereignty</w:t>
      </w:r>
      <w:r>
        <w:t xml:space="preserve"> </w:t>
      </w:r>
      <w:r>
        <w:t xml:space="preserve">laws; cross-border DR cannot meet residency requirements. The geography is therefore flagged</w:t>
      </w:r>
      <w:r>
        <w:t xml:space="preserve"> </w:t>
      </w:r>
      <w:r>
        <w:rPr>
          <w:rStyle w:val="VerbatimChar"/>
          <w:bCs/>
          <w:b/>
        </w:rPr>
        <w:t xml:space="preserve">DR_NOT_OFFERED = true</w:t>
      </w:r>
      <w:r>
        <w:rPr>
          <w:bCs/>
          <w:b/>
        </w:rPr>
        <w:t xml:space="preserve"> </w:t>
      </w:r>
      <w:r>
        <w:rPr>
          <w:bCs/>
          <w:b/>
        </w:rPr>
        <w:t xml:space="preserve">today</w:t>
      </w:r>
      <w:r>
        <w:t xml:space="preserve">, and the DR offering is</w:t>
      </w:r>
      <w:r>
        <w:t xml:space="preserve"> </w:t>
      </w:r>
      <w:r>
        <w:rPr>
          <w:bCs/>
          <w:b/>
        </w:rPr>
        <w:t xml:space="preserve">under legal review (DEC-001, pending)</w:t>
      </w:r>
      <w:r>
        <w:t xml:space="preserve">.</w:t>
      </w:r>
      <w:r>
        <w:t xml:space="preserve"> </w:t>
      </w:r>
      <w:r>
        <w:t xml:space="preserve">Middle East</w:t>
      </w:r>
      <w:r>
        <w:t xml:space="preserve"> </w:t>
      </w:r>
      <w:r>
        <w:rPr>
          <w:bCs/>
          <w:b/>
        </w:rPr>
        <w:t xml:space="preserve">production may still be placed and governed</w:t>
      </w:r>
      <w:r>
        <w:t xml:space="preserve"> </w:t>
      </w:r>
      <w:r>
        <w:t xml:space="preserve">— DR simply does not exist for it.</w:t>
      </w:r>
      <w:r>
        <w:t xml:space="preserve"> </w:t>
      </w:r>
      <w:r>
        <w:t xml:space="preserve">The Switzerland North cross-geo path below is</w:t>
      </w:r>
      <w:r>
        <w:t xml:space="preserve"> </w:t>
      </w:r>
      <w:r>
        <w:rPr>
          <w:bCs/>
          <w:b/>
        </w:rPr>
        <w:t xml:space="preserve">pre-configured but inactive</w:t>
      </w:r>
      <w:r>
        <w:t xml:space="preserve">, and activates</w:t>
      </w:r>
      <w:r>
        <w:t xml:space="preserve"> </w:t>
      </w:r>
      <w:r>
        <w:rPr>
          <w:bCs/>
          <w:b/>
        </w:rPr>
        <w:t xml:space="preserve">only</w:t>
      </w:r>
      <w:r>
        <w:rPr>
          <w:bCs/>
          <w:b/>
        </w:rPr>
        <w:t xml:space="preserve"> </w:t>
      </w:r>
      <w:r>
        <w:rPr>
          <w:bCs/>
          <w:b/>
        </w:rPr>
        <w:t xml:space="preserve">if and when Legal clears DEC-001</w:t>
      </w:r>
      <w:r>
        <w:t xml:space="preserve"> </w:t>
      </w:r>
      <w:r>
        <w:t xml:space="preserve">(a config flip</w:t>
      </w:r>
      <w:r>
        <w:t xml:space="preserve"> </w:t>
      </w:r>
      <w:r>
        <w:rPr>
          <w:rStyle w:val="VerbatimChar"/>
        </w:rPr>
        <w:t xml:space="preserve">dr_not_offered["Middle East"] = false</w:t>
      </w:r>
      <w:r>
        <w:t xml:space="preserve">, no code change).</w:t>
      </w:r>
    </w:p>
    <w:p>
      <w:pPr>
        <w:pStyle w:val="FirstParagraph"/>
      </w:pPr>
      <w:r>
        <w:rPr>
          <w:bCs/>
          <w:b/>
        </w:rPr>
        <w:t xml:space="preserve">Logic — default (current position,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 = true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1. Candidate in-geo Standard regions = { Saudi Arabia Central, UAE North }   (both Standard)</w:t>
      </w:r>
      <w:r>
        <w:br/>
      </w:r>
      <w:r>
        <w:rPr>
          <w:rStyle w:val="VerbatimChar"/>
        </w:rPr>
        <w:t xml:space="preserve">2. Score both with PS_Prod.</w:t>
      </w:r>
      <w:r>
        <w:br/>
      </w:r>
      <w:r>
        <w:rPr>
          <w:rStyle w:val="VerbatimChar"/>
        </w:rPr>
        <w:t xml:space="preserve">3. Prod  = argmax(PS_Prod) over the two.</w:t>
      </w:r>
      <w:r>
        <w:br/>
      </w:r>
      <w:r>
        <w:rPr>
          <w:rStyle w:val="VerbatimChar"/>
        </w:rPr>
        <w:t xml:space="preserve">4. CVAL  = the remaining in-geo region (deterministic — only one candidate left).</w:t>
      </w:r>
      <w:r>
        <w:br/>
      </w:r>
      <w:r>
        <w:rPr>
          <w:rStyle w:val="VerbatimChar"/>
        </w:rPr>
        <w:t xml:space="preserve">5. DR    = BYPASSED. Because DR_NOT_OFFERED = true for the geography, no DR region is derived;</w:t>
      </w:r>
      <w:r>
        <w:br/>
      </w:r>
      <w:r>
        <w:rPr>
          <w:rStyle w:val="VerbatimChar"/>
        </w:rPr>
        <w:t xml:space="preserve">           the seed record records dr_region = NOT_OFFERED. No SourceDestinationDRIndex entry,</w:t>
      </w:r>
      <w:r>
        <w:br/>
      </w:r>
      <w:r>
        <w:rPr>
          <w:rStyle w:val="VerbatimChar"/>
        </w:rPr>
        <w:t xml:space="preserve">           no DR earmark, and no cross-geo activation are created.</w:t>
      </w:r>
    </w:p>
    <w:p>
      <w:pPr>
        <w:pStyle w:val="FirstParagraph"/>
      </w:pPr>
      <w:r>
        <w:rPr>
          <w:rStyle w:val="VerbatimChar"/>
        </w:rPr>
        <w:t xml:space="preserve">DR_NOT_OFFERED</w:t>
      </w:r>
      <w:r>
        <w:t xml:space="preserve"> </w:t>
      </w:r>
      <w:r>
        <w:t xml:space="preserve">is evaluated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cross-geo extension: the engine never reaches the</w:t>
      </w:r>
      <w:r>
        <w:t xml:space="preserve"> </w:t>
      </w:r>
      <w:r>
        <w:t xml:space="preserve">Switzerland North path while the flag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BodyText"/>
      </w:pPr>
      <w:r>
        <w:rPr>
          <w:bCs/>
          <w:b/>
        </w:rPr>
        <w:t xml:space="preserve">Logic — conditional (only if Legal clears DEC-001,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 = false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5'. DR   = cross-geo extension region: Switzerland North (Europe)</w:t>
      </w:r>
      <w:r>
        <w:br/>
      </w:r>
      <w:r>
        <w:rPr>
          <w:rStyle w:val="VerbatimChar"/>
        </w:rPr>
        <w:t xml:space="preserve">           because no third in-geo Standard region exists to satisfy region separation.</w:t>
      </w:r>
    </w:p>
    <w:p>
      <w:pPr>
        <w:pStyle w:val="BlockText"/>
      </w:pPr>
      <w:r>
        <w:rPr>
          <w:bCs/>
          <w:b/>
        </w:rPr>
        <w:t xml:space="preserve">v2.2 correction (REG-002):</w:t>
      </w:r>
      <w:r>
        <w:t xml:space="preserve"> </w:t>
      </w:r>
      <w:r>
        <w:t xml:space="preserve">In the conditional path, the cross-geo DR extension region was</w:t>
      </w:r>
      <w:r>
        <w:t xml:space="preserve"> </w:t>
      </w:r>
      <w:r>
        <w:t xml:space="preserve">incorrectly cited as</w:t>
      </w:r>
      <w:r>
        <w:t xml:space="preserve"> </w:t>
      </w:r>
      <w:r>
        <w:t xml:space="preserve">“</w:t>
      </w:r>
      <w:r>
        <w:t xml:space="preserve">Belgium Central</w:t>
      </w:r>
      <w:r>
        <w:t xml:space="preserve">”</w:t>
      </w:r>
      <w:r>
        <w:t xml:space="preserve"> </w:t>
      </w:r>
      <w:r>
        <w:t xml:space="preserve">in earlier material. The authoritative placement configuration</w:t>
      </w:r>
      <w:r>
        <w:t xml:space="preserve"> </w:t>
      </w:r>
      <w:r>
        <w:t xml:space="preserve">specifies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cross-geo extension for the Middle East. All references to</w:t>
      </w:r>
      <w:r>
        <w:t xml:space="preserve"> </w:t>
      </w:r>
      <w:r>
        <w:t xml:space="preserve">Belgium Central are superseded by Switzerland North. This correction concerns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region would be</w:t>
      </w:r>
      <w:r>
        <w:t xml:space="preserve"> </w:t>
      </w:r>
      <w:r>
        <w:t xml:space="preserve">used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t xml:space="preserve">DR is ever approved;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imply DR is currently offered.</w:t>
      </w:r>
    </w:p>
    <w:p>
      <w:pPr>
        <w:pStyle w:val="FirstParagraph"/>
      </w:pPr>
      <w:r>
        <w:t xml:space="preserve">Cross-geo extension constraints from ADR-001 apply to the DR region (Switzerland North)</w:t>
      </w:r>
      <w:r>
        <w:t xml:space="preserve"> </w:t>
      </w:r>
      <w:r>
        <w:rPr>
          <w:bCs/>
          <w:b/>
        </w:rPr>
        <w:t xml:space="preserve">when and if</w:t>
      </w:r>
      <w:r>
        <w:rPr>
          <w:bCs/>
          <w:b/>
        </w:rPr>
        <w:t xml:space="preserve"> </w:t>
      </w:r>
      <w:r>
        <w:rPr>
          <w:bCs/>
          <w:b/>
        </w:rPr>
        <w:t xml:space="preserve">the conditional path is activated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0"/>
    <w:bookmarkStart w:id="33" w:name="scenario-5-cval-nonprod-region-selection"/>
    <w:p>
      <w:pPr>
        <w:pStyle w:val="Heading2"/>
      </w:pPr>
      <w:r>
        <w:t xml:space="preserve">Scenario 5 — CVAL / NonProd Region 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sequential step after the Prod anchor is fixed. Selects</w:t>
      </w:r>
      <w:r>
        <w:t xml:space="preserve"> </w:t>
      </w:r>
      <w:r>
        <w:rPr>
          <w:rStyle w:val="VerbatimChar"/>
        </w:rPr>
        <w:t xml:space="preserve">argmax(PS_NonProd)</w:t>
      </w:r>
      <w:r>
        <w:t xml:space="preserve"> </w:t>
      </w:r>
      <w:r>
        <w:t xml:space="preserve">over eligible</w:t>
      </w:r>
      <w:r>
        <w:t xml:space="preserve"> </w:t>
      </w:r>
      <w:r>
        <w:t xml:space="preserve">Standard regions.</w:t>
      </w:r>
    </w:p>
    <w:bookmarkStart w:id="31" w:name="ps_nonprodr-design-of-record-decided"/>
    <w:p>
      <w:pPr>
        <w:pStyle w:val="Heading3"/>
      </w:pPr>
      <w:r>
        <w:rPr>
          <w:rStyle w:val="VerbatimChar"/>
        </w:rPr>
        <w:t xml:space="preserve">PS_NonProd(r)</w:t>
      </w:r>
      <w:r>
        <w:t xml:space="preserve"> </w:t>
      </w:r>
      <w:r>
        <w:t xml:space="preserve">— design-of-record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0.30 × Clamp(nonprod_crg.effective_free / nonprod_crg.quantity)      ← α: effective NonProd headroom</w:t>
      </w:r>
      <w:r>
        <w:br/>
      </w:r>
      <w:r>
        <w:rPr>
          <w:rStyle w:val="VerbatimChar"/>
        </w:rPr>
        <w:t xml:space="preserve">  + 0.20 × Clamp(nonprod_crg.quota_headroom / nonprod_crg.quota_limit)   ← β: NonProd quota headroom</w:t>
      </w:r>
      <w:r>
        <w:br/>
      </w:r>
      <w:r>
        <w:rPr>
          <w:rStyle w:val="VerbatimChar"/>
        </w:rPr>
        <w:t xml:space="preserve">  + 0.25 × Clamp(1 - nonprod_customer_count / total_customers)           ← γ: distribution fairness</w:t>
      </w:r>
      <w:r>
        <w:br/>
      </w:r>
      <w:r>
        <w:rPr>
          <w:rStyle w:val="VerbatimChar"/>
        </w:rPr>
        <w:t xml:space="preserve">  + 0.15 × Clamp(nonprod_crg.effective_free / nonprod_crg.quantity)      ← δ: overflow capacity health</w:t>
      </w:r>
      <w:r>
        <w:br/>
      </w:r>
      <w:r>
        <w:rPr>
          <w:rStyle w:val="VerbatimChar"/>
        </w:rPr>
        <w:t xml:space="preserve">  + 0.10 × Clamp(az_count / 3)                                           ← ε: zone diversity</w:t>
      </w:r>
    </w:p>
    <w:bookmarkEnd w:id="31"/>
    <w:bookmarkStart w:id="32" w:name="X1e98a112afb717e496ef6072aa82669d221f424"/>
    <w:p>
      <w:pPr>
        <w:pStyle w:val="Heading3"/>
      </w:pPr>
      <w:r>
        <w:t xml:space="preserve">Corrected pilot variant</w:t>
      </w:r>
      <w:r>
        <w:t xml:space="preserve"> </w:t>
      </w:r>
      <w:r>
        <w:rPr>
          <w:rStyle w:val="VerbatimChar"/>
        </w:rPr>
        <w:t xml:space="preserve">[Undocumented — architectural judgement]</w:t>
      </w:r>
    </w:p>
    <w:p>
      <w:pPr>
        <w:pStyle w:val="FirstParagraph"/>
      </w:pPr>
      <w:r>
        <w:t xml:space="preserve">The design-of-record above duplicates the same signal under α and δ (combined weight 0.45). The PRR’s</w:t>
      </w:r>
      <w:r>
        <w:t xml:space="preserve"> </w:t>
      </w:r>
      <w:r>
        <w:t xml:space="preserve">corrected pilot formula removes the duplication:</w:t>
      </w:r>
    </w:p>
    <w:p>
      <w:pPr>
        <w:pStyle w:val="SourceCode"/>
      </w:pPr>
      <w:r>
        <w:rPr>
          <w:rStyle w:val="VerbatimChar"/>
        </w:rPr>
        <w:t xml:space="preserve">PS_NonProd = 0.35 × Capacity + 0.25 × Quota + 0.25 × Distribution</w:t>
      </w:r>
      <w:r>
        <w:br/>
      </w:r>
      <w:r>
        <w:rPr>
          <w:rStyle w:val="VerbatimChar"/>
        </w:rPr>
        <w:t xml:space="preserve">           + 0.05 × DR_Overflow_Integrity + 0.10 × Zones</w:t>
      </w:r>
      <w:r>
        <w:br/>
      </w:r>
      <w:r>
        <w:br/>
      </w:r>
      <w:r>
        <w:rPr>
          <w:rStyle w:val="VerbatimChar"/>
        </w:rPr>
        <w:t xml:space="preserve">Distribution = 1 - Region_Assigned_Demand / Total_Assigned_Demand</w:t>
      </w:r>
    </w:p>
    <w:p>
      <w:pPr>
        <w:pStyle w:val="FirstParagraph"/>
      </w:pPr>
      <w:r>
        <w:t xml:space="preserve">Both variants are recorded. The design-of-record formula is the approved baseline; the pilot variant is</w:t>
      </w:r>
      <w:r>
        <w:t xml:space="preserve"> </w:t>
      </w:r>
      <w:r>
        <w:t xml:space="preserve">the reviewer-recommended refinement. Neither is empirically validated yet.</w:t>
      </w:r>
    </w:p>
    <w:p>
      <w:pPr>
        <w:pStyle w:val="BodyText"/>
      </w:pPr>
      <w:r>
        <w:rPr>
          <w:bCs/>
          <w:b/>
        </w:rPr>
        <w:t xml:space="preserve">CVAL/DR co-location rule (PLC-010):</w:t>
      </w:r>
      <w:r>
        <w:t xml:space="preserve"> </w:t>
      </w:r>
      <w:r>
        <w:t xml:space="preserve">a customer’s CVAL and DR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co-locate in the same destination</w:t>
      </w:r>
      <w:r>
        <w:t xml:space="preserve"> </w:t>
      </w:r>
      <w:r>
        <w:t xml:space="preserve">region. When co-located, CVAL capacity earmarked for DR activation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double-counted as both</w:t>
      </w:r>
      <w:r>
        <w:t xml:space="preserve"> </w:t>
      </w:r>
      <w:r>
        <w:t xml:space="preserve">live CVAL headroom and available DR headroom. The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tracks this.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Two-region co-location is mandatory (PLC-010a):</w:t>
      </w:r>
      <w:r>
        <w:t xml:space="preserve"> </w:t>
      </w:r>
      <w:r>
        <w:t xml:space="preserve">in a two-region geography (EU, Australia, Asia Pacific, Middle East) there is only one non-production region, so CVAL selection is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 </w:t>
      </w:r>
      <w:r>
        <w:t xml:space="preserve">— the remaining in-geo region — and DR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co-locate there with CVAL (except the Middle East, where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, so that region hosts CVAL only). The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above is only exercised in the three-region US geography, where CVAL and DR each have a distinct candidate region.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cenario-6-dr-region-selection"/>
    <w:p>
      <w:pPr>
        <w:pStyle w:val="Heading2"/>
      </w:pPr>
      <w:r>
        <w:t xml:space="preserve">Scenario 6 — DR Region 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final sequential step. Selects</w:t>
      </w:r>
      <w:r>
        <w:t xml:space="preserve"> </w:t>
      </w:r>
      <w:r>
        <w:rPr>
          <w:rStyle w:val="VerbatimChar"/>
        </w:rPr>
        <w:t xml:space="preserve">argmax(PS_DR)</w:t>
      </w:r>
      <w:r>
        <w:t xml:space="preserve"> </w:t>
      </w:r>
      <w:r>
        <w:t xml:space="preserve">over eligible Standard regions (or the</w:t>
      </w:r>
      <w:r>
        <w:t xml:space="preserve"> </w:t>
      </w:r>
      <w:r>
        <w:t xml:space="preserve">cross-geo region for the Middle East</w:t>
      </w:r>
      <w:r>
        <w:t xml:space="preserve"> </w:t>
      </w:r>
      <w:r>
        <w:rPr>
          <w:bCs/>
          <w:b/>
        </w:rPr>
        <w:t xml:space="preserve">only if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see Scenario 4;</w:t>
      </w:r>
      <w:r>
        <w:t xml:space="preserve"> </w:t>
      </w:r>
      <w:r>
        <w:t xml:space="preserve">while the flag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(current legal position, DEC-001) this step is skipped and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).</w:t>
      </w:r>
    </w:p>
    <w:bookmarkStart w:id="34" w:name="ps_drr-decided"/>
    <w:p>
      <w:pPr>
        <w:pStyle w:val="Heading3"/>
      </w:pPr>
      <w:r>
        <w:rPr>
          <w:rStyle w:val="VerbatimChar"/>
        </w:rPr>
        <w:t xml:space="preserve">PS_DR(r)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PS_DR(r) =</w:t>
      </w:r>
      <w:r>
        <w:br/>
      </w:r>
      <w:r>
        <w:rPr>
          <w:rStyle w:val="VerbatimChar"/>
        </w:rPr>
        <w:t xml:space="preserve">    0.30 × Clamp(dr_crg.free_slots / dr_crg.quantity)                   ← α: DR CRG headroom</w:t>
      </w:r>
      <w:r>
        <w:br/>
      </w:r>
      <w:r>
        <w:rPr>
          <w:rStyle w:val="VerbatimChar"/>
        </w:rPr>
        <w:t xml:space="preserve">  + 0.20 × Clamp(dr_crg.quota_headroom / dr_crg.quota_limit)           ← β: DR quota headroom</w:t>
      </w:r>
      <w:r>
        <w:br/>
      </w:r>
      <w:r>
        <w:rPr>
          <w:rStyle w:val="VerbatimChar"/>
        </w:rPr>
        <w:t xml:space="preserve">  + 0.25 × Clamp(1 - dr_customer_count / total_customers)              ← γ: distribution fairness</w:t>
      </w:r>
      <w:r>
        <w:br/>
      </w:r>
      <w:r>
        <w:rPr>
          <w:rStyle w:val="VerbatimChar"/>
        </w:rPr>
        <w:t xml:space="preserve">  + 0.15 × min(1.0, dr_crg.coverage_ratio / dr_ratio_target)           ← δ: coverage-ratio health</w:t>
      </w:r>
      <w:r>
        <w:br/>
      </w:r>
      <w:r>
        <w:rPr>
          <w:rStyle w:val="VerbatimChar"/>
        </w:rPr>
        <w:t xml:space="preserve">  + 0.10 × Clamp(az_count / 3)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Note on δ:</w:t>
      </w:r>
      <w:r>
        <w:t xml:space="preserve"> </w:t>
      </w:r>
      <w:r>
        <w:rPr>
          <w:rStyle w:val="VerbatimChar"/>
        </w:rPr>
        <w:t xml:space="preserve">dr_ratio_target</w:t>
      </w:r>
      <w:r>
        <w:t xml:space="preserve"> </w:t>
      </w:r>
      <w:r>
        <w:t xml:space="preserve">in the PS_DR formula is now a</w:t>
      </w:r>
      <w:r>
        <w:t xml:space="preserve"> </w:t>
      </w:r>
      <w:r>
        <w:rPr>
          <w:bCs/>
          <w:b/>
        </w:rPr>
        <w:t xml:space="preserve">configurable bootstrap reference</w:t>
      </w:r>
      <w:r>
        <w:t xml:space="preserve"> </w:t>
      </w:r>
      <w:r>
        <w:t xml:space="preserve">rather than a fixed 30–40% constant. See Scenario 17 for the authoritative DR sizing formula.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17664e92b20aeab89b0f97bcbd92c37d753b681"/>
    <w:p>
      <w:pPr>
        <w:pStyle w:val="Heading2"/>
      </w:pPr>
      <w:r>
        <w:t xml:space="preserve">Scenario 7 — Hard-Constraint Eligibility Gate (Arithmetic Constraints)</w:t>
      </w:r>
    </w:p>
    <w:p>
      <w:pPr>
        <w:pStyle w:val="FirstParagraph"/>
      </w:pPr>
      <w:r>
        <w:t xml:space="preserve">Before any region is scored (Scenario 1) or accepted (Scenario 2), it must pass the hard constraints.</w:t>
      </w:r>
    </w:p>
    <w:bookmarkStart w:id="36" w:name="hc-3-quota_floor-per-environment-decided"/>
    <w:p>
      <w:pPr>
        <w:pStyle w:val="Heading3"/>
      </w:pPr>
      <w:r>
        <w:t xml:space="preserve">HC-3 QUOTA_FLOOR (per environment)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Prod:    Prod_Group_headroom(R)  ≥ requested_vm_count × vCPU</w:t>
      </w:r>
      <w:r>
        <w:br/>
      </w:r>
      <w:r>
        <w:rPr>
          <w:rStyle w:val="VerbatimChar"/>
        </w:rPr>
        <w:t xml:space="preserve">NonProd: nonprod_headroom(R)     ≥ requested_vm_count × vCPU    # uses effective_nonprod_ceiling</w:t>
      </w:r>
      <w:r>
        <w:br/>
      </w:r>
      <w:r>
        <w:rPr>
          <w:rStyle w:val="VerbatimChar"/>
        </w:rPr>
        <w:t xml:space="preserve">DR:      dr_headroom(R)          ≥ target_dr_qty     × vCPU</w:t>
      </w:r>
    </w:p>
    <w:bookmarkEnd w:id="36"/>
    <w:bookmarkStart w:id="37" w:name="hc-6-dr_coverage_floor-decided"/>
    <w:p>
      <w:pPr>
        <w:pStyle w:val="Heading3"/>
      </w:pPr>
      <w:r>
        <w:t xml:space="preserve">HC-6 DR_COVERAGE_FLOOR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Region ineligible for DR if:</w:t>
      </w:r>
      <w:r>
        <w:br/>
      </w:r>
      <w:r>
        <w:rPr>
          <w:rStyle w:val="VerbatimChar"/>
        </w:rPr>
        <w:t xml:space="preserve">    (dr_crg.free_slots + nonprod_crg.effective_free) &lt; customer_requested_dr_slots</w:t>
      </w:r>
    </w:p>
    <w:bookmarkEnd w:id="37"/>
    <w:bookmarkStart w:id="38" w:name="hc-7-dr_floor_integrity-decided"/>
    <w:p>
      <w:pPr>
        <w:pStyle w:val="Heading3"/>
      </w:pPr>
      <w:r>
        <w:t xml:space="preserve">HC-7 DR_FLOOR_INTEGRITY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REJECT NonProd placement in region R if:</w:t>
      </w:r>
      <w:r>
        <w:br/>
      </w:r>
      <w:r>
        <w:rPr>
          <w:rStyle w:val="VerbatimChar"/>
        </w:rPr>
        <w:t xml:space="preserve">    nonprod_quota_used(R) + (requested_vm_count × vCPU) &gt; effective_nonprod_ceiling(R)</w:t>
      </w:r>
    </w:p>
    <w:p>
      <w:pPr>
        <w:pStyle w:val="FirstParagraph"/>
      </w:pPr>
      <w:r>
        <w:t xml:space="preserve">HC-3 checks raw group headroom; HC-7 additionally enforces floor compliance. Both must pass. On breach:</w:t>
      </w:r>
      <w:r>
        <w:t xml:space="preserve"> </w:t>
      </w:r>
      <w:r>
        <w:t xml:space="preserve">emit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 </w:t>
      </w:r>
      <w:r>
        <w:t xml:space="preserve">(Critical severity).</w:t>
      </w:r>
    </w:p>
    <w:bookmarkEnd w:id="38"/>
    <w:bookmarkStart w:id="39" w:name="minimum-headroom-policy-defaults-decided"/>
    <w:p>
      <w:pPr>
        <w:pStyle w:val="Heading3"/>
      </w:pPr>
      <w:r>
        <w:t xml:space="preserve">Minimum-headroom policy defaults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min_prod_quota_headroom_vcpu    = 20</w:t>
      </w:r>
      <w:r>
        <w:br/>
      </w:r>
      <w:r>
        <w:rPr>
          <w:rStyle w:val="VerbatimChar"/>
        </w:rPr>
        <w:t xml:space="preserve">min_nonprod_quota_headroom_vcpu = 20</w:t>
      </w:r>
      <w:r>
        <w:br/>
      </w:r>
      <w:r>
        <w:rPr>
          <w:rStyle w:val="VerbatimChar"/>
        </w:rPr>
        <w:t xml:space="preserve">min_dr_headroom_vcpu            = 16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cenario-8-quota-group-sizing-per-region"/>
    <w:p>
      <w:pPr>
        <w:pStyle w:val="Heading2"/>
      </w:pPr>
      <w:r>
        <w:t xml:space="preserve">Scenario 8 — Quota Group Sizing (per Region)</w:t>
      </w:r>
    </w:p>
    <w:p>
      <w:pPr>
        <w:pStyle w:val="FirstParagraph"/>
      </w:pPr>
      <w:r>
        <w:rPr>
          <w:bCs/>
          <w:b/>
        </w:rPr>
        <w:t xml:space="preserve">Primary model (QUA-004): one governed quota pool per region and quota family</w:t>
      </w:r>
      <w:r>
        <w:t xml:space="preserve">, covering Prod,</w:t>
      </w:r>
      <w:r>
        <w:t xml:space="preserve"> </w:t>
      </w:r>
      <w:r>
        <w:t xml:space="preserve">NonProd/CVAL, and DR together. Prod and DR are protected inside the shared pool by logical earmarks,</w:t>
      </w:r>
      <w:r>
        <w:t xml:space="preserve"> </w:t>
      </w:r>
      <w:r>
        <w:t xml:space="preserve">not by physical group separation.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Pool_Limit(region) =</w:t>
      </w:r>
      <w:r>
        <w:br/>
      </w:r>
      <w:r>
        <w:rPr>
          <w:rStyle w:val="VerbatimChar"/>
        </w:rPr>
        <w:t xml:space="preserve">      Prod_CRG_quantity     × vCPU × (1 + prod_growth_buffer)</w:t>
      </w:r>
      <w:r>
        <w:br/>
      </w:r>
      <w:r>
        <w:rPr>
          <w:rStyle w:val="VerbatimChar"/>
        </w:rPr>
        <w:t xml:space="preserve">    + NonProd_CRG_quantity  × vCPU × (1 + nonprod_growth_buffer)</w:t>
      </w:r>
      <w:r>
        <w:br/>
      </w:r>
      <w:r>
        <w:rPr>
          <w:rStyle w:val="VerbatimChar"/>
        </w:rPr>
        <w:t xml:space="preserve">    + DR_Earmark_vCPU(region)</w:t>
      </w:r>
      <w:r>
        <w:br/>
      </w:r>
      <w:r>
        <w:rPr>
          <w:rStyle w:val="VerbatimChar"/>
        </w:rPr>
        <w:t xml:space="preserve">    + emergency_transfer_headroom_vcpu</w:t>
      </w:r>
      <w:r>
        <w:br/>
      </w:r>
      <w:r>
        <w:br/>
      </w:r>
      <w:r>
        <w:rPr>
          <w:rStyle w:val="VerbatimChar"/>
        </w:rPr>
        <w:t xml:space="preserve">prod_growth_buffer               = 0.20</w:t>
      </w:r>
      <w:r>
        <w:br/>
      </w:r>
      <w:r>
        <w:rPr>
          <w:rStyle w:val="VerbatimChar"/>
        </w:rPr>
        <w:t xml:space="preserve">nonprod_growth_buffer            = 0.20</w:t>
      </w:r>
      <w:r>
        <w:br/>
      </w:r>
      <w:r>
        <w:rPr>
          <w:rStyle w:val="VerbatimChar"/>
        </w:rPr>
        <w:t xml:space="preserve">DR_Earmark_vCPU(region)          = Destination_DR_Requirement(region) × vCPU   [max-not-sum, Scenario 17]</w:t>
      </w:r>
      <w:r>
        <w:br/>
      </w:r>
      <w:r>
        <w:rPr>
          <w:rStyle w:val="VerbatimChar"/>
        </w:rPr>
        <w:t xml:space="preserve">emergency_transfer_headroom_vcpu = max_emergency_transfer_qty × vCPU</w:t>
      </w:r>
      <w:r>
        <w:br/>
      </w:r>
      <w:r>
        <w:rPr>
          <w:rStyle w:val="VerbatimChar"/>
        </w:rPr>
        <w:t xml:space="preserve">max_emergency_transfer_qty       = potential_dr_demand × emergency_transfer_pct</w:t>
      </w:r>
      <w:r>
        <w:br/>
      </w:r>
      <w:r>
        <w:rPr>
          <w:rStyle w:val="VerbatimChar"/>
        </w:rPr>
        <w:t xml:space="preserve">emergency_transfer_pct           = 0.30</w:t>
      </w:r>
    </w:p>
    <w:p>
      <w:pPr>
        <w:pStyle w:val="FirstParagraph"/>
      </w:pPr>
      <w:r>
        <w:t xml:space="preserve">Because Prod, NonProd/CVAL, and DR share one pool, an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:</w:t>
      </w:r>
      <w:r>
        <w:t xml:space="preserve"> </w:t>
      </w:r>
      <w:r>
        <w:t xml:space="preserve">the DR orchestrator consumes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 </w:t>
      </w:r>
      <w:r>
        <w:t xml:space="preserve">first, then reclaimable NonProd above committed demand.</w:t>
      </w:r>
      <w:r>
        <w:t xml:space="preserve"> </w:t>
      </w:r>
      <w:r>
        <w:t xml:space="preserve">This is the manipulation-flexibility gain that motivates the single-pool model (avoids fragmenting quota</w:t>
      </w:r>
      <w:r>
        <w:t xml:space="preserve"> </w:t>
      </w:r>
      <w:r>
        <w:t xml:space="preserve">and cuts quota-increase requests to Microsoft).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Prod protection inside the shared pool</w:t>
      </w:r>
      <w:r>
        <w:t xml:space="preserve"> </w:t>
      </w:r>
      <w:r>
        <w:t xml:space="preserve">(logical earmarks, enforced at allocation/reclamation time):</w:t>
      </w:r>
    </w:p>
    <w:p>
      <w:pPr>
        <w:pStyle w:val="SourceCode"/>
      </w:pPr>
      <w:r>
        <w:rPr>
          <w:rStyle w:val="VerbatimChar"/>
        </w:rPr>
        <w:t xml:space="preserve">Prod_Reserved_Floor  = Prod_Used_vCPU + Prod_Growth_Buffer_vCPU</w:t>
      </w:r>
      <w:r>
        <w:br/>
      </w:r>
      <w:r>
        <w:rPr>
          <w:rStyle w:val="VerbatimChar"/>
        </w:rPr>
        <w:t xml:space="preserve">Allocatable_NonProd  = Pool_Limit - Prod_Reserved_Floor - DR_Earmark_vCPU - NonProd_Used_vCPU</w:t>
      </w:r>
      <w:r>
        <w:br/>
      </w:r>
      <w:r>
        <w:rPr>
          <w:rStyle w:val="VerbatimChar"/>
        </w:rPr>
        <w:t xml:space="preserve">Pool_Headroom        = Pool_Limit - Pool_Used</w:t>
      </w:r>
    </w:p>
    <w:p>
      <w:pPr>
        <w:pStyle w:val="FirstParagraph"/>
      </w:pPr>
      <w:r>
        <w:rPr>
          <w:rStyle w:val="VerbatimChar"/>
        </w:rPr>
        <w:t xml:space="preserve">Prod_Reserved_Floor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t xml:space="preserve">are never allocatable to NonProd; NonProd allocation</w:t>
      </w:r>
      <w:r>
        <w:t xml:space="preserve"> </w:t>
      </w:r>
      <w:r>
        <w:t xml:space="preserve">fail-safes when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 </w:t>
      </w:r>
      <w:r>
        <w:t xml:space="preserve">reaches zero.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topology (only when Azure Quota Group limits or a mandatory Prod-isolation governance</w:t>
      </w:r>
      <w:r>
        <w:rPr>
          <w:bCs/>
          <w:b/>
        </w:rPr>
        <w:t xml:space="preserve"> </w:t>
      </w:r>
      <w:r>
        <w:rPr>
          <w:bCs/>
          <w:b/>
        </w:rPr>
        <w:t xml:space="preserve">boundary make one pool impossible)</w:t>
      </w:r>
      <w:r>
        <w:t xml:space="preserve"> </w:t>
      </w:r>
      <w:r>
        <w:t xml:space="preserve">— two groups per region, recorded in the Decision Log:</w:t>
      </w:r>
    </w:p>
    <w:p>
      <w:pPr>
        <w:pStyle w:val="SourceCode"/>
      </w:pPr>
      <w:r>
        <w:rPr>
          <w:rStyle w:val="VerbatimChar"/>
        </w:rPr>
        <w:t xml:space="preserve">Prod_Group_Limit(region) =</w:t>
      </w:r>
      <w:r>
        <w:br/>
      </w:r>
      <w:r>
        <w:rPr>
          <w:rStyle w:val="VerbatimChar"/>
        </w:rPr>
        <w:t xml:space="preserve">    Prod_CRG_quantity × vCPU × (1 + prod_growth_buffer)</w:t>
      </w:r>
      <w:r>
        <w:br/>
      </w:r>
      <w:r>
        <w:br/>
      </w:r>
      <w:r>
        <w:rPr>
          <w:rStyle w:val="VerbatimChar"/>
        </w:rPr>
        <w:t xml:space="preserve">NonProd_DR_Group_Limit(region) =</w:t>
      </w:r>
      <w:r>
        <w:br/>
      </w:r>
      <w:r>
        <w:rPr>
          <w:rStyle w:val="VerbatimChar"/>
        </w:rPr>
        <w:t xml:space="preserve">      NonProd_CRG_quantity × vCPU × (1 + nonprod_growth_buffer)</w:t>
      </w:r>
      <w:r>
        <w:br/>
      </w:r>
      <w:r>
        <w:rPr>
          <w:rStyle w:val="VerbatimChar"/>
        </w:rPr>
        <w:t xml:space="preserve">    + DR_CRG_quantity      × vCPU</w:t>
      </w:r>
      <w:r>
        <w:br/>
      </w:r>
      <w:r>
        <w:rPr>
          <w:rStyle w:val="VerbatimChar"/>
        </w:rPr>
        <w:t xml:space="preserve">    + emergency_transfer_headroom_vcpu</w:t>
      </w:r>
    </w:p>
    <w:p>
      <w:pPr>
        <w:pStyle w:val="FirstParagraph"/>
      </w:pPr>
      <w:r>
        <w:t xml:space="preserve">In the exception topology the</w:t>
      </w:r>
      <w:r>
        <w:t xml:space="preserve"> </w:t>
      </w:r>
      <w:r>
        <w:rPr>
          <w:rStyle w:val="VerbatimChar"/>
        </w:rPr>
        <w:t xml:space="preserve">emergency_transfer_headroom_vcpu</w:t>
      </w:r>
      <w:r>
        <w:t xml:space="preserve"> </w:t>
      </w:r>
      <w:r>
        <w:t xml:space="preserve">term is what makes Tier 2 DR expansion</w:t>
      </w:r>
      <w:r>
        <w:t xml:space="preserve"> </w:t>
      </w:r>
      <w:r>
        <w:t xml:space="preserve">quota-neutral within the shared NonProd+DR group. In the single-pool model this term is subsumed by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Quota-as-governor principle (QUA-005):</w:t>
      </w:r>
      <w:r>
        <w:t xml:space="preserve"> </w:t>
      </w:r>
      <w:r>
        <w:t xml:space="preserve">quota allocation caps deployable capacity per product,</w:t>
      </w:r>
      <w:r>
        <w:t xml:space="preserve"> </w:t>
      </w:r>
      <w:r>
        <w:t xml:space="preserve">environment, subscription, region, and VM family. Teams must justify quota increases — unallocated pooled</w:t>
      </w:r>
      <w:r>
        <w:t xml:space="preserve"> </w:t>
      </w:r>
      <w:r>
        <w:t xml:space="preserve">quota is not automatically distributed.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1"/>
    <w:bookmarkStart w:id="45" w:name="X1987bfd04e95713f8065c9f83024b1da6822277"/>
    <w:p>
      <w:pPr>
        <w:pStyle w:val="Heading2"/>
      </w:pPr>
      <w:r>
        <w:t xml:space="preserve">Scenario 9 — DR Floor Accounting (Engine-Enforced Sub-Limit) — Updated</w:t>
      </w:r>
    </w:p>
    <w:p>
      <w:pPr>
        <w:pStyle w:val="FirstParagraph"/>
      </w:pPr>
      <w:r>
        <w:t xml:space="preserve">Azure quota pools/groups have no native intra-pool sub-reservation; the engine enforces the DR floor by</w:t>
      </w:r>
      <w:r>
        <w:t xml:space="preserve"> </w:t>
      </w:r>
      <w:r>
        <w:t xml:space="preserve">arithmetic (logical earmark) in both the single-pool and exception two-group topologies.</w:t>
      </w:r>
      <w:r>
        <w:t xml:space="preserve"> </w:t>
      </w:r>
      <w:r>
        <w:rPr>
          <w:rStyle w:val="VerbatimChar"/>
        </w:rPr>
        <w:t xml:space="preserve">[Decided]</w:t>
      </w:r>
    </w:p>
    <w:bookmarkStart w:id="42" w:name="accounting-formulas-decided"/>
    <w:p>
      <w:pPr>
        <w:pStyle w:val="Heading3"/>
      </w:pPr>
      <w:r>
        <w:t xml:space="preserve">Accounting formulas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DR_Floor_vCPU(region)     = Destination_DR_Requirement(region) × vCPU</w:t>
      </w:r>
      <w:r>
        <w:br/>
      </w:r>
      <w:r>
        <w:rPr>
          <w:rStyle w:val="VerbatimChar"/>
        </w:rPr>
        <w:t xml:space="preserve">                            [v2.2: uses max-not-sum formula from Scenario 17]</w:t>
      </w:r>
      <w:r>
        <w:br/>
      </w:r>
      <w:r>
        <w:rPr>
          <w:rStyle w:val="VerbatimChar"/>
        </w:rPr>
        <w:t xml:space="preserve">                            [v1: was potential_dr_demand × vCPU × dr_ratio_max — superseded]</w:t>
      </w:r>
      <w:r>
        <w:br/>
      </w:r>
      <w:r>
        <w:br/>
      </w:r>
      <w:r>
        <w:rPr>
          <w:rStyle w:val="VerbatimChar"/>
        </w:rPr>
        <w:t xml:space="preserve"># Single governed pool (primary model, QUA-004):</w:t>
      </w:r>
      <w:r>
        <w:br/>
      </w:r>
      <w:r>
        <w:rPr>
          <w:rStyle w:val="VerbatimChar"/>
        </w:rPr>
        <w:t xml:space="preserve">DR_Earmark_vCPU(region)   = DR_Floor_vCPU(region)      # never allocatable to NonProd</w:t>
      </w:r>
      <w:r>
        <w:br/>
      </w:r>
      <w:r>
        <w:rPr>
          <w:rStyle w:val="VerbatimChar"/>
        </w:rPr>
        <w:t xml:space="preserve">Allocatable_NonProd       = Pool_Limit - Prod_Reserved_Floor - DR_Earmark_vCPU - NonProd_Used_vCPU</w:t>
      </w:r>
      <w:r>
        <w:br/>
      </w:r>
      <w:r>
        <w:rPr>
          <w:rStyle w:val="VerbatimChar"/>
        </w:rPr>
        <w:t xml:space="preserve">Pool_Headroom             = Pool_Limit - Pool_Used</w:t>
      </w:r>
      <w:r>
        <w:br/>
      </w:r>
      <w:r>
        <w:br/>
      </w:r>
      <w:r>
        <w:rPr>
          <w:rStyle w:val="VerbatimChar"/>
        </w:rPr>
        <w:t xml:space="preserve"># Exception two-group topology only:</w:t>
      </w:r>
      <w:r>
        <w:br/>
      </w:r>
      <w:r>
        <w:rPr>
          <w:rStyle w:val="VerbatimChar"/>
        </w:rPr>
        <w:t xml:space="preserve">Effective_NonProd_Ceiling = NonProd_DR_Group_Limit - DR_Floor_vCPU</w:t>
      </w:r>
      <w:r>
        <w:br/>
      </w:r>
      <w:r>
        <w:rPr>
          <w:rStyle w:val="VerbatimChar"/>
        </w:rPr>
        <w:t xml:space="preserve">NonProd_Headroom          = Effective_NonProd_Ceiling - NonProd_Used_vCPU</w:t>
      </w:r>
      <w:r>
        <w:br/>
      </w:r>
      <w:r>
        <w:rPr>
          <w:rStyle w:val="VerbatimChar"/>
        </w:rPr>
        <w:t xml:space="preserve">Group_Headroom            = Group_Limit - Group_Used</w:t>
      </w:r>
      <w:r>
        <w:br/>
      </w:r>
      <w:r>
        <w:br/>
      </w:r>
      <w:r>
        <w:rPr>
          <w:rStyle w:val="VerbatimChar"/>
        </w:rPr>
        <w:t xml:space="preserve">dr_crg.coverage_ratio     = dr_crg.quantity / Destination_DR_Requirement(region)</w:t>
      </w:r>
    </w:p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rPr>
          <w:rStyle w:val="VerbatimChar"/>
        </w:rPr>
        <w:t xml:space="preserve">DR_Floor_vCPU</w:t>
      </w:r>
      <w:r>
        <w:t xml:space="preserve"> </w:t>
      </w:r>
      <w:r>
        <w:t xml:space="preserve">is no longer derived from</w:t>
      </w:r>
      <w:r>
        <w:t xml:space="preserve"> </w:t>
      </w:r>
      <w:r>
        <w:rPr>
          <w:rStyle w:val="VerbatimChar"/>
        </w:rPr>
        <w:t xml:space="preserve">potential_dr_demand × dr_ratio_max</w:t>
      </w:r>
      <w:r>
        <w:t xml:space="preserve">.</w:t>
      </w:r>
      <w:r>
        <w:t xml:space="preserve"> </w:t>
      </w:r>
      <w:r>
        <w:t xml:space="preserve">It is now derived from</w:t>
      </w:r>
      <w:r>
        <w:t xml:space="preserve"> </w:t>
      </w:r>
      <w:r>
        <w:rPr>
          <w:rStyle w:val="VerbatimChar"/>
        </w:rPr>
        <w:t xml:space="preserve">Destination_DR_Requirement(region)</w:t>
      </w:r>
      <w:r>
        <w:t xml:space="preserve"> </w:t>
      </w:r>
      <w:r>
        <w:t xml:space="preserve">— the max-not-sum value from Scenario 17.</w:t>
      </w:r>
      <w:r>
        <w:t xml:space="preserve"> </w:t>
      </w:r>
      <w:r>
        <w:t xml:space="preserve">This aligns the floor with the lean bootstrap model (DR-007) and the distributed DR topology (DR-016).</w:t>
      </w:r>
      <w:r>
        <w:t xml:space="preserve"> </w:t>
      </w:r>
      <w:r>
        <w:t xml:space="preserve">The fixed</w:t>
      </w:r>
      <w:r>
        <w:t xml:space="preserve"> </w:t>
      </w:r>
      <w:r>
        <w:rPr>
          <w:rStyle w:val="VerbatimChar"/>
        </w:rPr>
        <w:t xml:space="preserve">dr_ratio_max = 0.40</w:t>
      </w:r>
      <w:r>
        <w:t xml:space="preserve"> </w:t>
      </w:r>
      <w:r>
        <w:t xml:space="preserve">constant is retained in Scenario 15 for legacy reference only.</w:t>
      </w:r>
    </w:p>
    <w:bookmarkEnd w:id="42"/>
    <w:bookmarkStart w:id="43" w:name="dual-validation-control-decided"/>
    <w:p>
      <w:pPr>
        <w:pStyle w:val="Heading3"/>
      </w:pPr>
      <w:r>
        <w:t xml:space="preserve">Dual-validation control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 separate detector recomputes the DR floor from authoritative assignment data; any disagreement between</w:t>
      </w:r>
      <w:r>
        <w:t xml:space="preserve"> </w:t>
      </w:r>
      <w:r>
        <w:t xml:space="preserve">command-time and detector values disables automatic NonProd expansion until reconciled.</w:t>
      </w:r>
    </w:p>
    <w:bookmarkEnd w:id="43"/>
    <w:bookmarkStart w:id="44" w:name="worked-topology-example-decided"/>
    <w:p>
      <w:pPr>
        <w:pStyle w:val="Heading3"/>
      </w:pPr>
      <w:r>
        <w:t xml:space="preserve">Worked topology example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Prod group          = 128 vCPU  (32 × D4s_v3, 4 vCPU each)</w:t>
      </w:r>
      <w:r>
        <w:br/>
      </w:r>
      <w:r>
        <w:rPr>
          <w:rStyle w:val="VerbatimChar"/>
        </w:rPr>
        <w:t xml:space="preserve">NonProdDR group     =  80 vCPU</w:t>
      </w:r>
      <w:r>
        <w:br/>
      </w:r>
      <w:r>
        <w:rPr>
          <w:rStyle w:val="VerbatimChar"/>
        </w:rPr>
        <w:t xml:space="preserve">DR floor            =  32 vCPU   (= Destination_DR_Requirement for this region)</w:t>
      </w:r>
      <w:r>
        <w:br/>
      </w:r>
      <w:r>
        <w:rPr>
          <w:rStyle w:val="VerbatimChar"/>
        </w:rPr>
        <w:t xml:space="preserve">Effective NonProd ceiling = 48 vCPU  (80 - 32)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ca742342fb9d7ba19481af912bb7724261a3e15"/>
    <w:p>
      <w:pPr>
        <w:pStyle w:val="Heading2"/>
      </w:pPr>
      <w:r>
        <w:t xml:space="preserve">Scenario 10 — Environment Quota Scoring (β Component Detail)</w:t>
      </w:r>
    </w:p>
    <w:p>
      <w:pPr>
        <w:pStyle w:val="FirstParagraph"/>
      </w:pPr>
      <w:r>
        <w:t xml:space="preserve">The generic</w:t>
      </w:r>
      <w:r>
        <w:t xml:space="preserve"> </w:t>
      </w:r>
      <w:r>
        <w:rPr>
          <w:rStyle w:val="VerbatimChar"/>
        </w:rPr>
        <w:t xml:space="preserve">Quota_Score</w:t>
      </w:r>
      <w:r>
        <w:t xml:space="preserve"> </w:t>
      </w:r>
      <w:r>
        <w:t xml:space="preserve">is dispatched by environment type.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Quota_Score_Prod(r)    = prod_group_headroom_vcpu   / prod_group_limit_vcpu</w:t>
      </w:r>
      <w:r>
        <w:br/>
      </w:r>
      <w:r>
        <w:rPr>
          <w:rStyle w:val="VerbatimChar"/>
        </w:rPr>
        <w:t xml:space="preserve">Quota_Score_NonProd(r) = nonprod_headroom_vcpu       / effective_nonprod_ceiling_vcpu</w:t>
      </w:r>
      <w:r>
        <w:br/>
      </w:r>
      <w:r>
        <w:rPr>
          <w:rStyle w:val="VerbatimChar"/>
        </w:rPr>
        <w:t xml:space="preserve">Quota_Score_DR(r)      = dr_headroom_vcpu            / dr_floor_vcpu</w:t>
      </w:r>
    </w:p>
    <w:p>
      <w:pPr>
        <w:pStyle w:val="FirstParagraph"/>
      </w:pPr>
      <w:r>
        <w:t xml:space="preserve">Semantics differ by type: a DR score of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means maximum expansion room (DR CRG at zero), not</w:t>
      </w:r>
      <w:r>
        <w:t xml:space="preserve"> </w:t>
      </w:r>
      <w:r>
        <w:t xml:space="preserve">maximum quota consumed. Zero-denominator guards apply.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6"/>
    <w:bookmarkStart w:id="47" w:name="scenario-11-capacity-forecast-cr-sizing"/>
    <w:p>
      <w:pPr>
        <w:pStyle w:val="Heading2"/>
      </w:pPr>
      <w:r>
        <w:t xml:space="preserve">Scenario 11 — Capacity Forecast / CR Sizing</w:t>
      </w:r>
    </w:p>
    <w:p>
      <w:pPr>
        <w:pStyle w:val="FirstParagraph"/>
      </w:pPr>
      <w:r>
        <w:t xml:space="preserve">Advisory forecast used to size CR quantity over a horizon — the</w:t>
      </w:r>
      <w:r>
        <w:t xml:space="preserve"> </w:t>
      </w:r>
      <w:r>
        <w:rPr>
          <w:bCs/>
          <w:b/>
        </w:rPr>
        <w:t xml:space="preserve">proactive growth path</w:t>
      </w:r>
      <w:r>
        <w:t xml:space="preserve">, distinct from</w:t>
      </w:r>
      <w:r>
        <w:t xml:space="preserve"> </w:t>
      </w:r>
      <w:r>
        <w:t xml:space="preserve">the continuous reconciliation floor (Scenario 16).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Forecast_Quantity = ceil( Forecast_Peak × (1 + Growth_Buffer) + DR_Buffer )</w:t>
      </w:r>
      <w:r>
        <w:br/>
      </w:r>
      <w:r>
        <w:br/>
      </w:r>
      <w:r>
        <w:rPr>
          <w:rStyle w:val="VerbatimChar"/>
        </w:rPr>
        <w:t xml:space="preserve">Forecast_Peak    = predicted peak allocated-VM demand in the horizon          [Derived]</w:t>
      </w:r>
      <w:r>
        <w:br/>
      </w:r>
      <w:r>
        <w:rPr>
          <w:rStyle w:val="VerbatimChar"/>
        </w:rPr>
        <w:t xml:space="preserve">Growth_Buffer    = policy % for forecast uncertainty                          [Assumed]</w:t>
      </w:r>
      <w:r>
        <w:br/>
      </w:r>
      <w:r>
        <w:rPr>
          <w:rStyle w:val="VerbatimChar"/>
        </w:rPr>
        <w:t xml:space="preserve">DR_Buffer        = extra units required by approved recovery policy           [Assumed]</w:t>
      </w:r>
      <w:r>
        <w:br/>
      </w:r>
      <w:r>
        <w:rPr>
          <w:rStyle w:val="VerbatimChar"/>
        </w:rPr>
        <w:t xml:space="preserve">Forecast_Horizon ∈ { 30, 60, 90 } days                                       [Assumed]</w:t>
      </w:r>
    </w:p>
    <w:p>
      <w:pPr>
        <w:pStyle w:val="FirstParagraph"/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approaches 80% of quota limit, emit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14-day lead time.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BodyText"/>
      </w:pPr>
      <w:r>
        <w:t xml:space="preserve">Forecast recommendations remain advisory until model accuracy and false-positive rates are measured.</w:t>
      </w:r>
      <w:r>
        <w:t xml:space="preserve"> </w:t>
      </w:r>
      <w:r>
        <w:t xml:space="preserve">The horizon and buffer values are policy percentages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not fixed constants.</w:t>
      </w:r>
    </w:p>
    <w:p>
      <w:r>
        <w:pict>
          <v:rect style="width:0;height:1.5pt" o:hralign="center" o:hrstd="t" o:hr="t"/>
        </w:pict>
      </w:r>
    </w:p>
    <w:bookmarkEnd w:id="47"/>
    <w:bookmarkStart w:id="49" w:name="Xbee338c6e77a082e45128efcc8dd6933443aada"/>
    <w:p>
      <w:pPr>
        <w:pStyle w:val="Heading2"/>
      </w:pPr>
      <w:r>
        <w:t xml:space="preserve">Scenario 12 — Auto-Increase Trigger (Steady-State Capacity Lifecycle)</w:t>
      </w:r>
    </w:p>
    <w:p>
      <w:pPr>
        <w:pStyle w:val="FirstParagraph"/>
      </w:pPr>
      <w:r>
        <w:t xml:space="preserve">When utilisation crosses a threshold, a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is raised.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Trigger auto-increase when utilisation ≥ threshold:</w:t>
      </w:r>
      <w:r>
        <w:br/>
      </w:r>
      <w:r>
        <w:rPr>
          <w:rStyle w:val="VerbatimChar"/>
        </w:rPr>
        <w:t xml:space="preserve">    dr_autoincrease_threshold           = 0.35</w:t>
      </w:r>
      <w:r>
        <w:br/>
      </w:r>
      <w:r>
        <w:rPr>
          <w:rStyle w:val="VerbatimChar"/>
        </w:rPr>
        <w:t xml:space="preserve">    prod_autoincrease_threshold         = 0.20</w:t>
      </w:r>
      <w:r>
        <w:br/>
      </w:r>
      <w:r>
        <w:rPr>
          <w:rStyle w:val="VerbatimChar"/>
        </w:rPr>
        <w:t xml:space="preserve">    nonprod_autoincrease_threshold      = 0.20</w:t>
      </w:r>
      <w:r>
        <w:br/>
      </w:r>
      <w:r>
        <w:br/>
      </w:r>
      <w:r>
        <w:rPr>
          <w:rStyle w:val="VerbatimChar"/>
        </w:rPr>
        <w:t xml:space="preserve">Debounce cooldown = 30 min per (region + CRG type) after any trigger</w:t>
      </w:r>
    </w:p>
    <w:p>
      <w:pPr>
        <w:pStyle w:val="FirstParagraph"/>
      </w:pPr>
      <w:r>
        <w:t xml:space="preserve">Phase 1 requires operator approval. Auto-decrease excluded from Phase 1. The steady-state lifecycle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 </w:t>
      </w:r>
      <w:r>
        <w:t xml:space="preserve">engine mode (see ADR-003).</w:t>
      </w:r>
      <w:r>
        <w:t xml:space="preserve"> </w:t>
      </w:r>
      <w:r>
        <w:rPr>
          <w:rStyle w:val="VerbatimChar"/>
        </w:rPr>
        <w:t xml:space="preserve">[Decided]</w:t>
      </w:r>
    </w:p>
    <w:bookmarkStart w:id="48" w:name="X9d309608ea9a2cb35420a8376bdef26fe2928a5"/>
    <w:p>
      <w:pPr>
        <w:pStyle w:val="Heading3"/>
      </w:pPr>
      <w:r>
        <w:t xml:space="preserve">Normative 10-step steady-state capacity lifecycle</w:t>
      </w:r>
    </w:p>
    <w:p>
      <w:pPr>
        <w:numPr>
          <w:ilvl w:val="0"/>
          <w:numId w:val="1004"/>
        </w:numPr>
        <w:pStyle w:val="Compact"/>
      </w:pPr>
      <w:r>
        <w:t xml:space="preserve">Detect threshold crossing.</w:t>
      </w:r>
    </w:p>
    <w:p>
      <w:pPr>
        <w:numPr>
          <w:ilvl w:val="0"/>
          <w:numId w:val="1004"/>
        </w:numPr>
        <w:pStyle w:val="Compact"/>
      </w:pPr>
      <w:r>
        <w:t xml:space="preserve">Re-read current CR, quota, sharing, and assignment state.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Calculate target quantity (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floor, whichever is higher).</w:t>
      </w:r>
    </w:p>
    <w:p>
      <w:pPr>
        <w:numPr>
          <w:ilvl w:val="0"/>
          <w:numId w:val="1004"/>
        </w:numPr>
        <w:pStyle w:val="Compact"/>
      </w:pPr>
      <w:r>
        <w:t xml:space="preserve">Require operator approval (Phase 1).</w:t>
      </w:r>
    </w:p>
    <w:p>
      <w:pPr>
        <w:numPr>
          <w:ilvl w:val="0"/>
          <w:numId w:val="1004"/>
        </w:numPr>
        <w:pStyle w:val="Compact"/>
      </w:pPr>
      <w:r>
        <w:t xml:space="preserve">Submit the quota action only if validated as required.</w:t>
      </w:r>
    </w:p>
    <w:p>
      <w:pPr>
        <w:numPr>
          <w:ilvl w:val="0"/>
          <w:numId w:val="1004"/>
        </w:numPr>
        <w:pStyle w:val="Compact"/>
      </w:pPr>
      <w:r>
        <w:t xml:space="preserve">Wait for confirmed quota state — no assumed propagation SLA.</w:t>
      </w:r>
    </w:p>
    <w:p>
      <w:pPr>
        <w:numPr>
          <w:ilvl w:val="0"/>
          <w:numId w:val="1004"/>
        </w:numPr>
        <w:pStyle w:val="Compact"/>
      </w:pPr>
      <w:r>
        <w:t xml:space="preserve">Update CR quantity.</w:t>
      </w:r>
    </w:p>
    <w:p>
      <w:pPr>
        <w:numPr>
          <w:ilvl w:val="0"/>
          <w:numId w:val="1004"/>
        </w:numPr>
        <w:pStyle w:val="Compact"/>
      </w:pPr>
      <w:r>
        <w:t xml:space="preserve">Confirm the actual quantity.</w:t>
      </w:r>
    </w:p>
    <w:p>
      <w:pPr>
        <w:numPr>
          <w:ilvl w:val="0"/>
          <w:numId w:val="1004"/>
        </w:numPr>
        <w:pStyle w:val="Compact"/>
      </w:pPr>
      <w:r>
        <w:t xml:space="preserve">Refresh the snapshot and close the request.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X39d36b000215781ebb6b0df35c4dac6d58fbcc0"/>
    <w:p>
      <w:pPr>
        <w:pStyle w:val="Heading2"/>
      </w:pPr>
      <w:r>
        <w:t xml:space="preserve">Scenario 13 — Emergency Transfer &amp; Tier Escalation (DR Event Active)</w:t>
      </w:r>
    </w:p>
    <w:p>
      <w:pPr>
        <w:pStyle w:val="FirstParagraph"/>
      </w:pPr>
      <w:r>
        <w:t xml:space="preserve">During an active DR event (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engine mode), emergency capacity is obtained by tier.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Tier 1  DirectExpansion       — additive DR expansion using existing headroom. Automated.</w:t>
      </w:r>
      <w:r>
        <w:br/>
      </w:r>
      <w:r>
        <w:rPr>
          <w:rStyle w:val="VerbatimChar"/>
        </w:rPr>
        <w:t xml:space="preserve">Tier 2  QuotaNeutralTransfer  — reduce NonProd CR, expand DR within the SAME quota group.</w:t>
      </w:r>
      <w:r>
        <w:br/>
      </w:r>
      <w:r>
        <w:rPr>
          <w:rStyle w:val="VerbatimChar"/>
        </w:rPr>
        <w:t xml:space="preserve">                                Policy-gated. Quota-neutral (see below).</w:t>
      </w:r>
      <w:r>
        <w:br/>
      </w:r>
      <w:r>
        <w:rPr>
          <w:rStyle w:val="VerbatimChar"/>
        </w:rPr>
        <w:t xml:space="preserve">Tier 3  DestructiveTransfer   — changes VM associations. Dual-approval + elevated RBAC.</w:t>
      </w:r>
      <w:r>
        <w:br/>
      </w:r>
      <w:r>
        <w:rPr>
          <w:rStyle w:val="VerbatimChar"/>
        </w:rPr>
        <w:t xml:space="preserve">                                BLOCKED in Phase 1.</w:t>
      </w:r>
    </w:p>
    <w:bookmarkStart w:id="50" w:name="Xfa330f985a39889c607270b4bbe70500680b6f2"/>
    <w:p>
      <w:pPr>
        <w:pStyle w:val="Heading3"/>
      </w:pPr>
      <w:r>
        <w:t xml:space="preserve">Quota-neutral math for Tier 2</w:t>
      </w:r>
      <w:r>
        <w:t xml:space="preserve"> </w:t>
      </w:r>
      <w:r>
        <w:rPr>
          <w:rStyle w:val="VerbatimChar"/>
        </w:rPr>
        <w:t xml:space="preserve">[Derived — POC-31/32]</w:t>
      </w:r>
    </w:p>
    <w:p>
      <w:pPr>
        <w:pStyle w:val="SourceCode"/>
      </w:pPr>
      <w:r>
        <w:rPr>
          <w:rStyle w:val="VerbatimChar"/>
        </w:rPr>
        <w:t xml:space="preserve">Because NonProd CR and DR CR draw from the SAME NonProd+DR quota group:</w:t>
      </w:r>
      <w:r>
        <w:br/>
      </w:r>
      <w:r>
        <w:rPr>
          <w:rStyle w:val="VerbatimChar"/>
        </w:rPr>
        <w:t xml:space="preserve">    NonProd CR reduction → releases q × vCPU to the GROUP pool</w:t>
      </w:r>
      <w:r>
        <w:br/>
      </w:r>
      <w:r>
        <w:rPr>
          <w:rStyle w:val="VerbatimChar"/>
        </w:rPr>
        <w:t xml:space="preserve">    DR CR expansion      → consumes q × vCPU from the SAME GROUP pool</w:t>
      </w:r>
      <w:r>
        <w:br/>
      </w:r>
      <w:r>
        <w:rPr>
          <w:rStyle w:val="VerbatimChar"/>
        </w:rPr>
        <w:t xml:space="preserve">    Net group headroom change ≈ 0 → no Azure quota-increase request needed</w:t>
      </w:r>
      <w:r>
        <w:br/>
      </w:r>
      <w:r>
        <w:rPr>
          <w:rStyle w:val="VerbatimChar"/>
        </w:rPr>
        <w:t xml:space="preserve">    Tier RTO gated only by ARM operation time (minutes), not quota approval (hours)</w:t>
      </w:r>
      <w:r>
        <w:br/>
      </w:r>
      <w:r>
        <w:br/>
      </w:r>
      <w:r>
        <w:rPr>
          <w:rStyle w:val="VerbatimChar"/>
        </w:rPr>
        <w:t xml:space="preserve">max_emergency_transfer_qty = potential_dr_demand × emergency_transfer_pct  (pct = 0.30)</w:t>
      </w:r>
    </w:p>
    <w:p>
      <w:pPr>
        <w:pStyle w:val="FirstParagraph"/>
      </w:pPr>
      <w:r>
        <w:t xml:space="preserve">Escalation order:</w:t>
      </w:r>
      <w:r>
        <w:t xml:space="preserve"> </w:t>
      </w:r>
      <w:r>
        <w:rPr>
          <w:rStyle w:val="VerbatimChar"/>
        </w:rPr>
        <w:t xml:space="preserve">Tier 1 headroom available? → Tier 2 approved? → Tier 3 allowed? →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cenario-14-scaling-api-budget-model"/>
    <w:p>
      <w:pPr>
        <w:pStyle w:val="Heading2"/>
      </w:pPr>
      <w:r>
        <w:t xml:space="preserve">Scenario 14 — Scaling &amp; API-Budget Model</w:t>
      </w:r>
    </w:p>
    <w:p>
      <w:pPr>
        <w:pStyle w:val="FirstParagraph"/>
      </w:pPr>
      <w:r>
        <w:t xml:space="preserve">Used to size the estate and stay within Azure Resource Manager throttling budgets.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SourceCode"/>
      </w:pPr>
      <w:r>
        <w:rPr>
          <w:rStyle w:val="VerbatimChar"/>
        </w:rPr>
        <w:t xml:space="preserve">CRG_lower_bound = 3 × R                    # 3 CRGs (Prod/NonProd/DR) per region</w:t>
      </w:r>
      <w:r>
        <w:br/>
      </w:r>
      <w:r>
        <w:rPr>
          <w:rStyle w:val="VerbatimChar"/>
        </w:rPr>
        <w:t xml:space="preserve">CRG_total       = R × Eclass × Z × SKUset × IsolationFactor</w:t>
      </w:r>
      <w:r>
        <w:br/>
      </w:r>
      <w:r>
        <w:br/>
      </w:r>
      <w:r>
        <w:rPr>
          <w:rStyle w:val="VerbatimChar"/>
        </w:rPr>
        <w:t xml:space="preserve">Requests_per_cycle = CRG_reads + CR_reads + sharing_reads + quota_reads + association_reads</w:t>
      </w:r>
      <w:r>
        <w:br/>
      </w:r>
      <w:r>
        <w:rPr>
          <w:rStyle w:val="VerbatimChar"/>
        </w:rPr>
        <w:t xml:space="preserve">Average_requests_per_second = Requests_per_cycle / 300           # 5-minute (300 s) cycle</w:t>
      </w:r>
    </w:p>
    <w:bookmarkStart w:id="52" w:name="X276a8714b4fbd220719cfc96fa1f4b7b812ea4e"/>
    <w:p>
      <w:pPr>
        <w:pStyle w:val="Heading3"/>
      </w:pPr>
      <w:r>
        <w:t xml:space="preserve">Documented ARM throttle baselines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SourceCode"/>
      </w:pPr>
      <w:r>
        <w:rPr>
          <w:rStyle w:val="VerbatimChar"/>
        </w:rPr>
        <w:t xml:space="preserve">Compute RP read  limit = 250   requests / 5 min / subscription</w:t>
      </w:r>
      <w:r>
        <w:br/>
      </w:r>
      <w:r>
        <w:rPr>
          <w:rStyle w:val="VerbatimChar"/>
        </w:rPr>
        <w:t xml:space="preserve">Compute RP write limit = 1,200 requests / hour  / subscription</w:t>
      </w:r>
    </w:p>
    <w:p>
      <w:pPr>
        <w:pStyle w:val="FirstParagraph"/>
      </w:pPr>
      <w:r>
        <w:t xml:space="preserve">The adaptive throttle manager initialises with these baselines and adapts to observed</w:t>
      </w:r>
      <w:r>
        <w:t xml:space="preserve"> </w:t>
      </w:r>
      <w:r>
        <w:rPr>
          <w:rStyle w:val="VerbatimChar"/>
        </w:rPr>
        <w:t xml:space="preserve">429/Retry-After</w:t>
      </w:r>
      <w:r>
        <w:t xml:space="preserve">.</w:t>
      </w:r>
    </w:p>
    <w:bookmarkEnd w:id="52"/>
    <w:bookmarkStart w:id="53" w:name="reconciliation-cadence-assumed"/>
    <w:p>
      <w:pPr>
        <w:pStyle w:val="Heading3"/>
      </w:pPr>
      <w:r>
        <w:t xml:space="preserve">Reconciliation cadence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pStyle w:val="SourceCode"/>
      </w:pPr>
      <w:r>
        <w:rPr>
          <w:rStyle w:val="VerbatimChar"/>
        </w:rPr>
        <w:t xml:space="preserve">Reconciliation loop target       = 6 min (configurable; production interval TBD)</w:t>
      </w:r>
      <w:r>
        <w:br/>
      </w:r>
      <w:r>
        <w:rPr>
          <w:rStyle w:val="VerbatimChar"/>
        </w:rPr>
        <w:t xml:space="preserve">Critical targeted reconcile P95  &lt; 2 min</w:t>
      </w:r>
      <w:r>
        <w:br/>
      </w:r>
      <w:r>
        <w:rPr>
          <w:rStyle w:val="VerbatimChar"/>
        </w:rPr>
        <w:t xml:space="preserve">Stable-resource state age  P95   &lt; 15 min</w:t>
      </w:r>
      <w:r>
        <w:br/>
      </w:r>
      <w:r>
        <w:rPr>
          <w:rStyle w:val="VerbatimChar"/>
        </w:rPr>
        <w:t xml:space="preserve">Drift detection                  ≤ 2 reconciliation cycles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f12826e05eb28d7aa2d24729a6dde3274d42ed7"/>
    <w:p>
      <w:pPr>
        <w:pStyle w:val="Heading2"/>
      </w:pPr>
      <w:r>
        <w:t xml:space="preserve">Scenario 15 — DR Ratio Parameters (Fixed %) —</w:t>
      </w:r>
      <w:r>
        <w:t xml:space="preserve"> </w:t>
      </w:r>
      <w:r>
        <w:rPr>
          <w:bCs/>
          <w:b/>
        </w:rPr>
        <w:t xml:space="preserve">SUPERSEDED</w:t>
      </w:r>
    </w:p>
    <w:p>
      <w:pPr>
        <w:pStyle w:val="BlockText"/>
      </w:pPr>
      <w:r>
        <w:rPr>
          <w:bCs/>
          <w:b/>
        </w:rPr>
        <w:t xml:space="preserve">Status: Superseded by Scenario 17 (max-not-sum).</w:t>
      </w:r>
      <w:r>
        <w:t xml:space="preserve"> </w:t>
      </w:r>
      <w:r>
        <w:t xml:space="preserve">These constants are retained for configuration</w:t>
      </w:r>
      <w:r>
        <w:t xml:space="preserve"> </w:t>
      </w:r>
      <w:r>
        <w:t xml:space="preserve">reference and legacy comparison only. The fixed-percentage DR sizing model (</w:t>
      </w:r>
      <w:r>
        <w:rPr>
          <w:rStyle w:val="VerbatimChar"/>
        </w:rPr>
        <w:t xml:space="preserve">30–40% of Prod</w:t>
      </w:r>
      <w:r>
        <w:t xml:space="preserve">) was</w:t>
      </w:r>
      <w:r>
        <w:t xml:space="preserve"> </w:t>
      </w:r>
      <w:r>
        <w:t xml:space="preserve">rejected in Requirements v2.0/v2.1 because it produces idle reserves estimated at</w:t>
      </w:r>
      <w:r>
        <w:t xml:space="preserve"> </w:t>
      </w:r>
      <w:r>
        <w:rPr>
          <w:bCs/>
          <w:b/>
        </w:rPr>
        <w:t xml:space="preserve">$1.5M–$5M/year</w:t>
      </w:r>
      <w:r>
        <w:t xml:space="preserve"> </w:t>
      </w:r>
      <w:r>
        <w:t xml:space="preserve">at platform scale — directly contradicting the cost-reduction mandate. See Appendix D of the</w:t>
      </w:r>
      <w:r>
        <w:t xml:space="preserve"> </w:t>
      </w:r>
      <w:r>
        <w:t xml:space="preserve">Requirements Baseline for the full derivation.</w:t>
      </w:r>
    </w:p>
    <w:p>
      <w:pPr>
        <w:pStyle w:val="SourceCode"/>
      </w:pPr>
      <w:r>
        <w:rPr>
          <w:rStyle w:val="VerbatimChar"/>
        </w:rPr>
        <w:t xml:space="preserve">dr_ratio_min    = 0.30      [superseded — was HC-6 lower bound]</w:t>
      </w:r>
      <w:r>
        <w:br/>
      </w:r>
      <w:r>
        <w:rPr>
          <w:rStyle w:val="VerbatimChar"/>
        </w:rPr>
        <w:t xml:space="preserve">dr_ratio_max    = 0.40      [superseded — was DR_Floor_vCPU multiplier]</w:t>
      </w:r>
      <w:r>
        <w:br/>
      </w:r>
      <w:r>
        <w:rPr>
          <w:rStyle w:val="VerbatimChar"/>
        </w:rPr>
        <w:t xml:space="preserve">dr_ratio_target = [0.30, 0.40]   [superseded — now: configurable bootstrap per product/workload]</w:t>
      </w:r>
      <w:r>
        <w:br/>
      </w:r>
      <w:r>
        <w:rPr>
          <w:rStyle w:val="VerbatimChar"/>
        </w:rPr>
        <w:t xml:space="preserve">emergency_transfer_pct = 0.30    [still current — Scenario 13]</w:t>
      </w:r>
      <w:r>
        <w:br/>
      </w:r>
      <w:r>
        <w:rPr>
          <w:rStyle w:val="VerbatimChar"/>
        </w:rPr>
        <w:t xml:space="preserve">prod_growth_buffer     = 0.20    [still current — Scenario 8]</w:t>
      </w:r>
      <w:r>
        <w:br/>
      </w:r>
      <w:r>
        <w:rPr>
          <w:rStyle w:val="VerbatimChar"/>
        </w:rPr>
        <w:t xml:space="preserve">nonprod_growth_buffer  = 0.20    [still current — Scenario 8]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 in the Configurable Items Register) remains available for specific customers or</w:t>
      </w:r>
      <w:r>
        <w:t xml:space="preserve"> </w:t>
      </w:r>
      <w:r>
        <w:t xml:space="preserve">geographies that contractually require protection against concurrent regional failures. All other scopes</w:t>
      </w:r>
      <w:r>
        <w:t xml:space="preserve"> </w:t>
      </w:r>
      <w:r>
        <w:t xml:space="preserve">use the max-not-sum formula (Scenario 17).</w:t>
      </w:r>
    </w:p>
    <w:p>
      <w:r>
        <w:pict>
          <v:rect style="width:0;height:1.5pt" o:hralign="center" o:hrstd="t" o:hr="t"/>
        </w:pict>
      </w:r>
    </w:p>
    <w:bookmarkEnd w:id="55"/>
    <w:bookmarkStart w:id="61" w:name="Xd5f06ccc6261805ddb917ea51ac3bb90329456a"/>
    <w:p>
      <w:pPr>
        <w:pStyle w:val="Heading2"/>
      </w:pPr>
      <w:r>
        <w:t xml:space="preserve">Scenario 16 — Reservation Target &amp; Reconciliation Floor (CAP-003)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reconciliation cycle compares current reserved quantity against this floor.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continuous floor formula</w:t>
      </w:r>
      <w:r>
        <w:t xml:space="preserve"> </w:t>
      </w:r>
      <w:r>
        <w:t xml:space="preserve">— distinct from the forecast-based growth formula (Scenario 11).</w:t>
      </w:r>
    </w:p>
    <w:bookmarkStart w:id="56" w:name="a.1-reservation-target-cap-003-decided"/>
    <w:p>
      <w:pPr>
        <w:pStyle w:val="Heading3"/>
      </w:pPr>
      <w:r>
        <w:t xml:space="preserve">A.1 Reservation target (CAP-003)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Allocated VM Count</w:t>
      </w:r>
      <w:r>
        <w:t xml:space="preserve"> </w:t>
      </w:r>
      <w:r>
        <w:t xml:space="preserve">= VMs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state consuming compute capacity.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Configured Buffer</w:t>
      </w:r>
      <w:r>
        <w:t xml:space="preserve"> </w:t>
      </w:r>
      <w:r>
        <w:t xml:space="preserve">= policy-defined headroom above allocated demand. Tunable per</w:t>
      </w:r>
      <w:r>
        <w:t xml:space="preserve"> </w:t>
      </w:r>
      <w:r>
        <w:t xml:space="preserve">product/region/env/SKU. Not hard-coded.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Associated-but-deallocated VMs</w:t>
      </w:r>
      <w:r>
        <w:t xml:space="preserve"> </w:t>
      </w:r>
      <w:r>
        <w:t xml:space="preserve">do not force reservation retention (CAP-004). They are reported</w:t>
      </w:r>
      <w:r>
        <w:t xml:space="preserve"> </w:t>
      </w:r>
      <w:r>
        <w:t xml:space="preserve">separately so teams understand restart risk, but do not add to the target.</w:t>
      </w:r>
    </w:p>
    <w:bookmarkEnd w:id="56"/>
    <w:bookmarkStart w:id="57" w:name="a.2-reservation-headroom"/>
    <w:p>
      <w:pPr>
        <w:pStyle w:val="Heading3"/>
      </w:pPr>
      <w:r>
        <w:t xml:space="preserve">A.2 Reservation headroom</w:t>
      </w:r>
    </w:p>
    <w:p>
      <w:pPr>
        <w:pStyle w:val="SourceCode"/>
      </w:pPr>
      <w:r>
        <w:rPr>
          <w:rStyle w:val="VerbatimChar"/>
        </w:rPr>
        <w:t xml:space="preserve">Reservation Headroom = Reserved Quantity - Allocated VM Count</w:t>
      </w:r>
    </w:p>
    <w:bookmarkEnd w:id="57"/>
    <w:bookmarkStart w:id="58" w:name="a.3-reservation-deficit"/>
    <w:p>
      <w:pPr>
        <w:pStyle w:val="Heading3"/>
      </w:pPr>
      <w:r>
        <w:t xml:space="preserve">A.3 Reservation deficit</w:t>
      </w:r>
    </w:p>
    <w:p>
      <w:pPr>
        <w:pStyle w:val="SourceCode"/>
      </w:pPr>
      <w:r>
        <w:rPr>
          <w:rStyle w:val="VerbatimChar"/>
        </w:rPr>
        <w:t xml:space="preserve">Reservation Deficit = max(0, Target Reserved Capacity - Reserved Quantity)</w:t>
      </w:r>
    </w:p>
    <w:bookmarkEnd w:id="58"/>
    <w:bookmarkStart w:id="59" w:name="reconciliation-decision-logic-decided"/>
    <w:p>
      <w:pPr>
        <w:pStyle w:val="Heading3"/>
      </w:pPr>
      <w:r>
        <w:t xml:space="preserve">Reconciliation decision logic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Reserved Quantity &lt; Target Reserved Capacity:</w:t>
      </w:r>
      <w:r>
        <w:br/>
      </w:r>
      <w:r>
        <w:rPr>
          <w:rStyle w:val="VerbatimChar"/>
        </w:rPr>
        <w:t xml:space="preserve">    RAISE reservation (scale-up) toward target, subject to Azure availability.</w:t>
      </w:r>
      <w:r>
        <w:br/>
      </w:r>
      <w:r>
        <w:rPr>
          <w:rStyle w:val="VerbatimChar"/>
        </w:rPr>
        <w:t xml:space="preserve">    IF Azure cannot supply: hold current state, RAISE alert, expose buffer deficit.</w:t>
      </w:r>
      <w:r>
        <w:br/>
      </w:r>
      <w:r>
        <w:br/>
      </w:r>
      <w:r>
        <w:rPr>
          <w:rStyle w:val="VerbatimChar"/>
        </w:rPr>
        <w:t xml:space="preserve">IF Reserved Quantity &gt; Target Reserved Capacity (consistently, after minimum-hold interval):</w:t>
      </w:r>
      <w:r>
        <w:br/>
      </w:r>
      <w:r>
        <w:rPr>
          <w:rStyle w:val="VerbatimChar"/>
        </w:rPr>
        <w:t xml:space="preserve">    LOWER reservation toward target — ONLY when all guards pass:</w:t>
      </w:r>
      <w:r>
        <w:br/>
      </w:r>
      <w:r>
        <w:rPr>
          <w:rStyle w:val="VerbatimChar"/>
        </w:rPr>
        <w:t xml:space="preserve">        - current_reserved &gt; allocated_count         (never below allocated)</w:t>
      </w:r>
      <w:r>
        <w:br/>
      </w:r>
      <w:r>
        <w:rPr>
          <w:rStyle w:val="VerbatimChar"/>
        </w:rPr>
        <w:t xml:space="preserve">        - not within DR protection window</w:t>
      </w:r>
      <w:r>
        <w:br/>
      </w:r>
      <w:r>
        <w:rPr>
          <w:rStyle w:val="VerbatimChar"/>
        </w:rPr>
        <w:t xml:space="preserve">        - no active maintenance exclusion</w:t>
      </w:r>
      <w:r>
        <w:br/>
      </w:r>
      <w:r>
        <w:rPr>
          <w:rStyle w:val="VerbatimChar"/>
        </w:rPr>
        <w:t xml:space="preserve">        - cost policy permits reduction</w:t>
      </w:r>
    </w:p>
    <w:bookmarkEnd w:id="59"/>
    <w:bookmarkStart w:id="60" w:name="X3849650153cde5689399e17bc1aa2999aedeb41"/>
    <w:p>
      <w:pPr>
        <w:pStyle w:val="Heading3"/>
      </w:pPr>
      <w:r>
        <w:t xml:space="preserve">Zero-capacity and no-auto-delete policy (CAP-009/010)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Reduce an unused managed reservation to ZERO; do NOT delete the reservation object.</w:t>
      </w:r>
      <w:r>
        <w:br/>
      </w:r>
      <w:r>
        <w:rPr>
          <w:rStyle w:val="VerbatimChar"/>
        </w:rPr>
        <w:t xml:space="preserve">Normal reconciliation NEVER deletes CRGs or reservation definitions.</w:t>
      </w:r>
      <w:r>
        <w:br/>
      </w:r>
      <w:r>
        <w:rPr>
          <w:rStyle w:val="VerbatimChar"/>
        </w:rPr>
        <w:t xml:space="preserve">Deletion uses a separate approved decommissioning workflow only.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Xae4192c8a6cfbd93ff9ca53e8e1fe7025e4a53d"/>
    <w:p>
      <w:pPr>
        <w:pStyle w:val="Heading2"/>
      </w:pPr>
      <w:r>
        <w:t xml:space="preserve">Scenario 17 — DR Destination Requirement — Max-Not-Sum (A.6/DR-017) — New</w:t>
      </w:r>
    </w:p>
    <w:p>
      <w:pPr>
        <w:pStyle w:val="FirstParagraph"/>
      </w:pPr>
      <w:r>
        <w:rPr>
          <w:bCs/>
          <w:b/>
        </w:rPr>
        <w:t xml:space="preserve">This scenario replaces the fixed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dr_ratio_*</w:t>
      </w:r>
      <w:r>
        <w:rPr>
          <w:bCs/>
          <w:b/>
        </w:rPr>
        <w:t xml:space="preserve"> </w:t>
      </w:r>
      <w:r>
        <w:rPr>
          <w:bCs/>
          <w:b/>
        </w:rPr>
        <w:t xml:space="preserve">sizing in Scenario 15.</w:t>
      </w:r>
    </w:p>
    <w:bookmarkStart w:id="62" w:name="X97f26ea90d0c621afe497b354aca2b5d85c4d27"/>
    <w:p>
      <w:pPr>
        <w:pStyle w:val="Heading3"/>
      </w:pPr>
      <w:r>
        <w:t xml:space="preserve">The single-failure assumption (DR-001)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programme plans for failure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production region within a geography at a time. Simultaneous</w:t>
      </w:r>
      <w:r>
        <w:t xml:space="preserve"> </w:t>
      </w:r>
      <w:r>
        <w:t xml:space="preserve">multi-region failure is outside the default guaranteed model.</w:t>
      </w:r>
    </w:p>
    <w:bookmarkEnd w:id="62"/>
    <w:bookmarkStart w:id="63" w:name="X2988676ab8f9c2a2bd14c0482ddc57d3a7a19e4"/>
    <w:p>
      <w:pPr>
        <w:pStyle w:val="Heading3"/>
      </w:pPr>
      <w:r>
        <w:t xml:space="preserve">A.6 DR destination requirement — corrected formula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Destination_DR_Requirement(d)</w:t>
      </w:r>
      <w:r>
        <w:br/>
      </w:r>
      <w:r>
        <w:rPr>
          <w:rStyle w:val="VerbatimChar"/>
        </w:rPr>
        <w:t xml:space="preserve">  = MAX over each non-concurrent source region s protected by d (</w:t>
      </w:r>
      <w:r>
        <w:br/>
      </w:r>
      <w:r>
        <w:rPr>
          <w:rStyle w:val="VerbatimChar"/>
        </w:rPr>
        <w:t xml:space="preserve">        Workload_Portion(s → d)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destination region hosting DR standby capacity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source region whose production customers have DR in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Workload_Portion(s → d)</w:t>
      </w:r>
      <w:r>
        <w:t xml:space="preserve"> </w:t>
      </w:r>
      <w:r>
        <w:t xml:space="preserve">= the quantity of VMs/vCPUs from source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that are assigned to land in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on failover (from the source→destination DR index, DR-018)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because only one region fails at a time,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simultaneously hosts</w:t>
      </w:r>
      <w:r>
        <w:t xml:space="preserve"> </w:t>
      </w:r>
      <w:r>
        <w:t xml:space="preserve">failover from more than one source. It therefore needs standby capacity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</w:t>
      </w:r>
      <w:r>
        <w:t xml:space="preserve"> </w:t>
      </w:r>
      <w:r>
        <w:t xml:space="preserve">source only — never the sum of all sources. The standby slots are</w:t>
      </w:r>
      <w:r>
        <w:t xml:space="preserve"> </w:t>
      </w:r>
      <w:r>
        <w:rPr>
          <w:bCs/>
          <w:b/>
        </w:rPr>
        <w:t xml:space="preserve">shared / overcommitted</w:t>
      </w:r>
      <w:r>
        <w:t xml:space="preserve"> </w:t>
      </w:r>
      <w:r>
        <w:t xml:space="preserve">across</w:t>
      </w:r>
      <w:r>
        <w:t xml:space="preserve"> </w:t>
      </w:r>
      <w:r>
        <w:t xml:space="preserve">mutually exclusive failure events.</w:t>
      </w:r>
      <w:r>
        <w:t xml:space="preserve"> </w:t>
      </w:r>
      <w:r>
        <w:rPr>
          <w:rStyle w:val="VerbatimChar"/>
        </w:rPr>
        <w:t xml:space="preserve">[Decided]</w:t>
      </w:r>
    </w:p>
    <w:bookmarkEnd w:id="63"/>
    <w:bookmarkStart w:id="64" w:name="a.7-dr-capacity-gap-decided"/>
    <w:p>
      <w:pPr>
        <w:pStyle w:val="Heading3"/>
      </w:pPr>
      <w:r>
        <w:t xml:space="preserve">A.7 DR capacity gap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DR_Capacity_Gap(d) = max(0,</w:t>
      </w:r>
      <w:r>
        <w:br/>
      </w:r>
      <w:r>
        <w:rPr>
          <w:rStyle w:val="VerbatimChar"/>
        </w:rPr>
        <w:t xml:space="preserve">    Destination_DR_Requirement(d) - Usable_Destination_Capacity(d)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Usable_Destination_Capacity(d)</w:t>
      </w:r>
      <w:r>
        <w:t xml:space="preserve"> </w:t>
      </w:r>
      <w:r>
        <w:t xml:space="preserve">may include approved bootstrap headroom, available CRG reservations,</w:t>
      </w:r>
      <w:r>
        <w:t xml:space="preserve"> </w:t>
      </w:r>
      <w:r>
        <w:t xml:space="preserve">releasable CVAL capacity (after earmark check, Scenario 9/PLC-010), and capacity acquired through</w:t>
      </w:r>
      <w:r>
        <w:t xml:space="preserve"> </w:t>
      </w:r>
      <w:r>
        <w:t xml:space="preserve">approved sharing or expansion.</w:t>
      </w:r>
    </w:p>
    <w:bookmarkEnd w:id="64"/>
    <w:bookmarkStart w:id="65" w:name="Xbc42d59f09b90549faa5496221b1ced8e058774"/>
    <w:p>
      <w:pPr>
        <w:pStyle w:val="Heading3"/>
      </w:pPr>
      <w:r>
        <w:t xml:space="preserve">A.8 Shared-DR overcommit ratio (informational)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SourceCode"/>
      </w:pPr>
      <w:r>
        <w:rPr>
          <w:rStyle w:val="VerbatimChar"/>
        </w:rPr>
        <w:t xml:space="preserve">Overcommit_Ratio(d) = SUM(Workload_Portion(s → d) for all s) / MAX(Workload_Portion(s → d))</w:t>
      </w:r>
    </w:p>
    <w:p>
      <w:pPr>
        <w:pStyle w:val="FirstParagraph"/>
      </w:pPr>
      <w:r>
        <w:t xml:space="preserve">A ratio &gt; 1 quantifies: (a) the capacity and cost saved by max-not-sum sizing, and (b) the exposure if</w:t>
      </w:r>
      <w:r>
        <w:t xml:space="preserve"> </w:t>
      </w:r>
      <w:r>
        <w:t xml:space="preserve">the single-failure assumption is ever violated. Required input for POC-011 risk sign-off.</w:t>
      </w:r>
    </w:p>
    <w:bookmarkEnd w:id="65"/>
    <w:bookmarkStart w:id="66" w:name="X4830a67188c49cad28f305859e15d5c02df0ead"/>
    <w:p>
      <w:pPr>
        <w:pStyle w:val="Heading3"/>
      </w:pPr>
      <w:r>
        <w:t xml:space="preserve">Observability requirement (OBS-002)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Alert when a destination’s usable capacity falls below</w:t>
      </w:r>
      <w:r>
        <w:t xml:space="preserve"> </w:t>
      </w:r>
      <w:r>
        <w:rPr>
          <w:rStyle w:val="VerbatimChar"/>
        </w:rPr>
        <w:t xml:space="preserve">Destination_DR_Requirement(d)</w:t>
      </w:r>
      <w:r>
        <w:t xml:space="preserve"> </w:t>
      </w:r>
      <w:r>
        <w:t xml:space="preserve">— the max</w:t>
      </w:r>
      <w:r>
        <w:t xml:space="preserve"> </w:t>
      </w:r>
      <w:r>
        <w:t xml:space="preserve">protected source — not below the sum. Dashboard must show per-destination max-source coverage (OBS-004).</w:t>
      </w:r>
    </w:p>
    <w:bookmarkEnd w:id="66"/>
    <w:bookmarkStart w:id="67" w:name="conservative-sum-override-c-11-decided"/>
    <w:p>
      <w:pPr>
        <w:pStyle w:val="Heading3"/>
      </w:pPr>
      <w:r>
        <w:t xml:space="preserve">Conservative SUM override (C-11)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Destination_DR_Requirement_Conservative(d) = SUM(Workload_Portion(s → d) for all s)</w:t>
      </w:r>
    </w:p>
    <w:p>
      <w:pPr>
        <w:pStyle w:val="FirstParagraph"/>
      </w:pPr>
      <w:r>
        <w:t xml:space="preserve">Used only where a customer or geography contract explicitly requires protection against concurrent</w:t>
      </w:r>
      <w:r>
        <w:t xml:space="preserve"> </w:t>
      </w:r>
      <w:r>
        <w:t xml:space="preserve">regional failures. Configured per-scope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; no code change required.</w:t>
      </w:r>
    </w:p>
    <w:bookmarkEnd w:id="67"/>
    <w:bookmarkStart w:id="68" w:name="X6161ea44e322b6b0d4d101b8fb7f94e9ad7a4a6"/>
    <w:p>
      <w:pPr>
        <w:pStyle w:val="Heading3"/>
      </w:pPr>
      <w:r>
        <w:t xml:space="preserve">Worked example (from Requirements Appendix D)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Region 2 holds DR standby for customers from Region 1 and Region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protected by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portion in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1 (Cust1 + Cust5)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3 (Cust6)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cores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SUM sizing (old):  Requirement(R2) = 120 + 80 = 200 cores   ← over-provisions; superseded</w:t>
      </w:r>
      <w:r>
        <w:br/>
      </w:r>
      <w:r>
        <w:rPr>
          <w:rStyle w:val="VerbatimChar"/>
        </w:rPr>
        <w:t xml:space="preserve">MAX sizing (new):  Requirement(R2) = max(120, 80) = 120 cores</w:t>
      </w:r>
      <w:r>
        <w:br/>
      </w:r>
      <w:r>
        <w:br/>
      </w:r>
      <w:r>
        <w:rPr>
          <w:rStyle w:val="VerbatimChar"/>
        </w:rPr>
        <w:t xml:space="preserve">Saving at R2: 200 → 120 = 80 cores (40%) removed with no loss of protection.</w:t>
      </w:r>
      <w:r>
        <w:br/>
      </w:r>
      <w:r>
        <w:br/>
      </w:r>
      <w:r>
        <w:rPr>
          <w:rStyle w:val="VerbatimChar"/>
        </w:rPr>
        <w:t xml:space="preserve">Overcommit_Ratio(R2) = 200 / 120 ≈ 1.67</w:t>
      </w:r>
      <w:r>
        <w:br/>
      </w:r>
      <w:r>
        <w:rPr>
          <w:rStyle w:val="VerbatimChar"/>
        </w:rPr>
        <w:t xml:space="preserve">→ R2's shared standby is 1.67× oversubscribed.</w:t>
      </w:r>
      <w:r>
        <w:br/>
      </w:r>
      <w:r>
        <w:rPr>
          <w:rStyle w:val="VerbatimChar"/>
        </w:rPr>
        <w:t xml:space="preserve">→ Platform-wide extrapolation: ~40–50% standby reduction ≈ $0.6M–$2.5M/year saved.</w:t>
      </w:r>
    </w:p>
    <w:bookmarkEnd w:id="68"/>
    <w:bookmarkStart w:id="69" w:name="Xd437d0aa86aa8f15dfb53ce7831ca10b7f00eaf"/>
    <w:p>
      <w:pPr>
        <w:pStyle w:val="Heading3"/>
      </w:pPr>
      <w:r>
        <w:t xml:space="preserve">Source→Destination DR Index entity (DR-018)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max-not-sum formula depends on an authoritative bidirectional mapping — a required state-store entity:</w:t>
      </w:r>
    </w:p>
    <w:p>
      <w:pPr>
        <w:pStyle w:val="SourceCode"/>
      </w:pPr>
      <w:r>
        <w:rPr>
          <w:rStyle w:val="VerbatimChar"/>
        </w:rPr>
        <w:t xml:space="preserve">SourceDestinationDRIndex {</w:t>
      </w:r>
      <w:r>
        <w:br/>
      </w:r>
      <w:r>
        <w:rPr>
          <w:rStyle w:val="VerbatimChar"/>
        </w:rPr>
        <w:t xml:space="preserve">    source_region          : string</w:t>
      </w:r>
      <w:r>
        <w:br/>
      </w:r>
      <w:r>
        <w:rPr>
          <w:rStyle w:val="VerbatimChar"/>
        </w:rPr>
        <w:t xml:space="preserve">    destination_region     : string</w:t>
      </w:r>
      <w:r>
        <w:br/>
      </w:r>
      <w:r>
        <w:rPr>
          <w:rStyle w:val="VerbatimChar"/>
        </w:rPr>
        <w:t xml:space="preserve">    customer_realm_id      : string</w:t>
      </w:r>
      <w:r>
        <w:br/>
      </w:r>
      <w:r>
        <w:rPr>
          <w:rStyle w:val="VerbatimChar"/>
        </w:rPr>
        <w:t xml:space="preserve">    standby_instance_set   : list&lt;InstanceRef&gt;</w:t>
      </w:r>
      <w:r>
        <w:br/>
      </w:r>
      <w:r>
        <w:rPr>
          <w:rStyle w:val="VerbatimChar"/>
        </w:rPr>
        <w:t xml:space="preserve">    sku_family             : string</w:t>
      </w:r>
      <w:r>
        <w:br/>
      </w:r>
      <w:r>
        <w:rPr>
          <w:rStyle w:val="VerbatimChar"/>
        </w:rPr>
        <w:t xml:space="preserve">    quantity_vcpu          : int</w:t>
      </w:r>
      <w:r>
        <w:br/>
      </w:r>
      <w:r>
        <w:rPr>
          <w:rStyle w:val="VerbatimChar"/>
        </w:rPr>
        <w:t xml:space="preserve">    activation_state       : STANDBY | ACTIVATING | ACTIVE | FAILBACK_PENDING</w:t>
      </w:r>
      <w:r>
        <w:br/>
      </w:r>
      <w:r>
        <w:rPr>
          <w:rStyle w:val="VerbatimChar"/>
        </w:rPr>
        <w:t xml:space="preserve">    last_updated           : datetime</w:t>
      </w:r>
      <w:r>
        <w:br/>
      </w:r>
      <w:r>
        <w:rPr>
          <w:rStyle w:val="VerbatimChar"/>
        </w:rPr>
        <w:t xml:space="preserve">    policy_version         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index is the reverse view of the customer seed record (Scenario 20). On a regional failure, the</w:t>
      </w:r>
      <w:r>
        <w:t xml:space="preserve"> </w:t>
      </w:r>
      <w:r>
        <w:t xml:space="preserve">engine queries this index to determine exactly which standby sets to activate and where.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850df5768184849a0433e692284e8efb69bcb0e"/>
    <w:p>
      <w:pPr>
        <w:pStyle w:val="Heading2"/>
      </w:pPr>
      <w:r>
        <w:t xml:space="preserve">Scenario 18 — Standby Activation (DR-019)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authorised DR declaration; engine mode transitions 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</w:t>
      </w:r>
    </w:p>
    <w:bookmarkStart w:id="71" w:name="per-customer-activation-workflow-decided"/>
    <w:p>
      <w:pPr>
        <w:pStyle w:val="Heading3"/>
      </w:pPr>
      <w:r>
        <w:t xml:space="preserve">Per-customer activation workflow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Each customer’s DR instances transition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 </w:t>
      </w:r>
      <w:r>
        <w:t xml:space="preserve">(standby → active) in approved</w:t>
      </w:r>
      <w:r>
        <w:t xml:space="preserve"> </w:t>
      </w:r>
      <w:r>
        <w:t xml:space="preserve">business-priority waves:</w:t>
      </w:r>
    </w:p>
    <w:p>
      <w:pPr>
        <w:pStyle w:val="SourceCode"/>
      </w:pPr>
      <w:r>
        <w:rPr>
          <w:rStyle w:val="VerbatimChar"/>
        </w:rPr>
        <w:t xml:space="preserve">Priority Wave 0 (P0):   Platform control planes and recovery orchestration infrastructure.</w:t>
      </w:r>
      <w:r>
        <w:br/>
      </w:r>
      <w:r>
        <w:rPr>
          <w:rStyle w:val="VerbatimChar"/>
        </w:rPr>
        <w:t xml:space="preserve">Priority Wave 1 (P-1):  Highest-priority customer workloads.</w:t>
      </w:r>
      <w:r>
        <w:br/>
      </w:r>
      <w:r>
        <w:rPr>
          <w:rStyle w:val="VerbatimChar"/>
        </w:rPr>
        <w:t xml:space="preserve">Priority Wave N:        Remaining customers in business-priority order.</w:t>
      </w:r>
    </w:p>
    <w:p>
      <w:pPr>
        <w:pStyle w:val="FirstParagraph"/>
      </w:pPr>
      <w:r>
        <w:rPr>
          <w:bCs/>
          <w:b/>
        </w:rPr>
        <w:t xml:space="preserve">DR-006 staged capacity acquisition per wave:</w:t>
      </w:r>
    </w:p>
    <w:p>
      <w:pPr>
        <w:pStyle w:val="SourceCode"/>
      </w:pPr>
      <w:r>
        <w:rPr>
          <w:rStyle w:val="VerbatimChar"/>
        </w:rPr>
        <w:t xml:space="preserve">Stage 1: Use approved bootstrap / pre-staged headroom (zero Azure wait time).</w:t>
      </w:r>
      <w:r>
        <w:br/>
      </w:r>
      <w:r>
        <w:rPr>
          <w:rStyle w:val="VerbatimChar"/>
        </w:rPr>
        <w:t xml:space="preserve">Stage 2: Allocate available reservation + quota already in the destination.</w:t>
      </w:r>
      <w:r>
        <w:br/>
      </w:r>
      <w:r>
        <w:rPr>
          <w:rStyle w:val="VerbatimChar"/>
        </w:rPr>
        <w:t xml:space="preserve">Stage 3: Shut down / disassociate eligible CVAL workloads (after DR-010 authorised trigger).</w:t>
      </w:r>
      <w:r>
        <w:br/>
      </w:r>
      <w:r>
        <w:rPr>
          <w:rStyle w:val="VerbatimChar"/>
        </w:rPr>
        <w:t xml:space="preserve">Stage 4: Share or reassign reservations within supported region/zone boundaries.</w:t>
      </w:r>
      <w:r>
        <w:br/>
      </w:r>
      <w:r>
        <w:rPr>
          <w:rStyle w:val="VerbatimChar"/>
        </w:rPr>
        <w:t xml:space="preserve">Stage 5: Allocate pooled quota to DR subscriptions.</w:t>
      </w:r>
      <w:r>
        <w:br/>
      </w:r>
      <w:r>
        <w:rPr>
          <w:rStyle w:val="VerbatimChar"/>
        </w:rPr>
        <w:t xml:space="preserve">Stage 6: Request additional Azure quota/capacity where required.</w:t>
      </w:r>
      <w:r>
        <w:br/>
      </w:r>
      <w:r>
        <w:rPr>
          <w:rStyle w:val="VerbatimChar"/>
        </w:rPr>
        <w:t xml:space="preserve">Stage 7: Report unrecoverable capacity gaps.</w:t>
      </w:r>
    </w:p>
    <w:p>
      <w:pPr>
        <w:pStyle w:val="FirstParagraph"/>
      </w:pPr>
      <w:r>
        <w:t xml:space="preserve">Stages 1–2 start immediately from bootstrap headroom — P0/P-1 customers begin recovery without waiting</w:t>
      </w:r>
      <w:r>
        <w:t xml:space="preserve"> </w:t>
      </w:r>
      <w:r>
        <w:t xml:space="preserve">on Azure deallocation/disassociation APIs (which are throttled during regional events).</w:t>
      </w:r>
      <w:r>
        <w:t xml:space="preserve"> </w:t>
      </w:r>
      <w:r>
        <w:rPr>
          <w:rStyle w:val="VerbatimChar"/>
        </w:rPr>
        <w:t xml:space="preserve">[Decided]</w:t>
      </w:r>
    </w:p>
    <w:bookmarkEnd w:id="71"/>
    <w:bookmarkStart w:id="72" w:name="activation-state-tracking-decided"/>
    <w:p>
      <w:pPr>
        <w:pStyle w:val="Heading3"/>
      </w:pPr>
      <w:r>
        <w:t xml:space="preserve">Activation state tracking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ActivationRecord {</w:t>
      </w:r>
      <w:r>
        <w:br/>
      </w:r>
      <w:r>
        <w:rPr>
          <w:rStyle w:val="VerbatimChar"/>
        </w:rPr>
        <w:t xml:space="preserve">    customer_realm_id   : string</w:t>
      </w:r>
      <w:r>
        <w:br/>
      </w:r>
      <w:r>
        <w:rPr>
          <w:rStyle w:val="VerbatimChar"/>
        </w:rPr>
        <w:t xml:space="preserve">    source_region       : string</w:t>
      </w:r>
      <w:r>
        <w:br/>
      </w:r>
      <w:r>
        <w:rPr>
          <w:rStyle w:val="VerbatimChar"/>
        </w:rPr>
        <w:t xml:space="preserve">    destination_region  : string</w:t>
      </w:r>
      <w:r>
        <w:br/>
      </w:r>
      <w:r>
        <w:rPr>
          <w:rStyle w:val="VerbatimChar"/>
        </w:rPr>
        <w:t xml:space="preserve">    priority_wave       : int</w:t>
      </w:r>
      <w:r>
        <w:br/>
      </w:r>
      <w:r>
        <w:rPr>
          <w:rStyle w:val="VerbatimChar"/>
        </w:rPr>
        <w:t xml:space="preserve">    activation_state    : PENDING | ACTIVATING | ACTIVE | FAILED | FAILBACK_PENDING</w:t>
      </w:r>
      <w:r>
        <w:br/>
      </w:r>
      <w:r>
        <w:rPr>
          <w:rStyle w:val="VerbatimChar"/>
        </w:rPr>
        <w:t xml:space="preserve">    stage_reached       : int           # 1–7 per DR-006</w:t>
      </w:r>
      <w:r>
        <w:br/>
      </w:r>
      <w:r>
        <w:rPr>
          <w:rStyle w:val="VerbatimChar"/>
        </w:rPr>
        <w:t xml:space="preserve">    capacity_gap_vcpu   : int           # 0 if fully provisioned</w:t>
      </w:r>
      <w:r>
        <w:br/>
      </w:r>
      <w:r>
        <w:rPr>
          <w:rStyle w:val="VerbatimChar"/>
        </w:rPr>
        <w:t xml:space="preserve">    activated_at        : datetime</w:t>
      </w:r>
      <w:r>
        <w:br/>
      </w:r>
      <w:r>
        <w:rPr>
          <w:rStyle w:val="VerbatimChar"/>
        </w:rPr>
        <w:t xml:space="preserve">    approved_by         : string</w:t>
      </w:r>
      <w:r>
        <w:br/>
      </w:r>
      <w:r>
        <w:rPr>
          <w:rStyle w:val="VerbatimChar"/>
        </w:rPr>
        <w:t xml:space="preserve">    incident_id         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Activation state is tracked per customer, auditable, and reversible on failback (DR-013).</w:t>
      </w:r>
      <w:r>
        <w:t xml:space="preserve"> </w:t>
      </w:r>
      <w:r>
        <w:rPr>
          <w:rStyle w:val="VerbatimChar"/>
        </w:rPr>
        <w:t xml:space="preserve">[Decided]</w:t>
      </w:r>
    </w:p>
    <w:bookmarkEnd w:id="72"/>
    <w:bookmarkStart w:id="73" w:name="failback-reversal-decided"/>
    <w:p>
      <w:pPr>
        <w:pStyle w:val="Heading3"/>
      </w:pPr>
      <w:r>
        <w:t xml:space="preserve">Failback reversal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On failback:</w:t>
      </w:r>
      <w:r>
        <w:t xml:space="preserve"> </w:t>
      </w:r>
      <w:r>
        <w:rPr>
          <w:rStyle w:val="VerbatimChar"/>
        </w:rPr>
        <w:t xml:space="preserve">ACTIVE → FAILBACK_PENDING → STANDBY</w:t>
      </w:r>
      <w:r>
        <w:t xml:space="preserve"> </w:t>
      </w:r>
      <w:r>
        <w:t xml:space="preserve">in reverse priority order. The seed record and DR</w:t>
      </w:r>
      <w:r>
        <w:t xml:space="preserve"> </w:t>
      </w:r>
      <w:r>
        <w:t xml:space="preserve">index are preserved; no re-derivation of placement. History, audit trail, and DR capacity state are</w:t>
      </w:r>
      <w:r>
        <w:t xml:space="preserve"> </w:t>
      </w:r>
      <w:r>
        <w:t xml:space="preserve">retained through the full failback cycle.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e5968fa27430c99635a82f9ee860a6bac44bcc4"/>
    <w:p>
      <w:pPr>
        <w:pStyle w:val="Heading2"/>
      </w:pPr>
      <w:r>
        <w:t xml:space="preserve">Scenario 19 — Deployment Readiness Gate (RDY-002)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AEP-triggered deployment before the first environment is provisioned.</w:t>
      </w:r>
    </w:p>
    <w:bookmarkStart w:id="75" w:name="X023891483691ecdaddc73f617c778a8401d13d4"/>
    <w:p>
      <w:pPr>
        <w:pStyle w:val="Heading3"/>
      </w:pPr>
      <w:r>
        <w:t xml:space="preserve">Machine-readable readiness states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READY                 All gates pass; deployment may proceed.</w:t>
      </w:r>
      <w:r>
        <w:br/>
      </w:r>
      <w:r>
        <w:rPr>
          <w:rStyle w:val="VerbatimChar"/>
        </w:rPr>
        <w:t xml:space="preserve">READY_WITH_RISK       All gates pass but one or more advisory risks detected (e.g. buffer below target).</w:t>
      </w:r>
      <w:r>
        <w:br/>
      </w:r>
      <w:r>
        <w:rPr>
          <w:rStyle w:val="VerbatimChar"/>
        </w:rPr>
        <w:t xml:space="preserve">QUOTA_DEFICIT         Required deployment quota &gt; available quota in the deploying subscription.</w:t>
      </w:r>
      <w:r>
        <w:br/>
      </w:r>
      <w:r>
        <w:rPr>
          <w:rStyle w:val="VerbatimChar"/>
        </w:rPr>
        <w:t xml:space="preserve">RESERVATION_DEFICIT   Reservation exists but quantity insufficient; approved over-allocation not in effect.</w:t>
      </w:r>
      <w:r>
        <w:br/>
      </w:r>
      <w:r>
        <w:rPr>
          <w:rStyle w:val="VerbatimChar"/>
        </w:rPr>
        <w:t xml:space="preserve">CAPACITY_UNAVAILABLE  Azure cannot supply the requested SKU/zone at this time.</w:t>
      </w:r>
      <w:r>
        <w:br/>
      </w:r>
      <w:r>
        <w:rPr>
          <w:rStyle w:val="VerbatimChar"/>
        </w:rPr>
        <w:t xml:space="preserve">STALE_STATE           Capacity/quota snapshot exceeds max-age threshold; cannot drive a safe placement.</w:t>
      </w:r>
      <w:r>
        <w:br/>
      </w:r>
      <w:r>
        <w:rPr>
          <w:rStyle w:val="VerbatimChar"/>
        </w:rPr>
        <w:t xml:space="preserve">POLICY_BLOCKED        A governance policy (hard constraint, exception, approval) blocks the deployment.</w:t>
      </w:r>
      <w:r>
        <w:br/>
      </w:r>
      <w:r>
        <w:rPr>
          <w:rStyle w:val="VerbatimChar"/>
        </w:rPr>
        <w:t xml:space="preserve">VALIDATION_REQUIRED   One or more validation steps (e.g., POC-gated behaviours) not yet confirmed.</w:t>
      </w:r>
    </w:p>
    <w:bookmarkEnd w:id="75"/>
    <w:bookmarkStart w:id="76" w:name="readiness-gate-logic-rdy-001-decided"/>
    <w:p>
      <w:pPr>
        <w:pStyle w:val="Heading3"/>
      </w:pPr>
      <w:r>
        <w:t xml:space="preserve">Readiness gate logic (RDY-001)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All of the following must pass for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target_region    ∈ approved_region_catalogue         (REG-001)</w:t>
      </w:r>
      <w:r>
        <w:br/>
      </w:r>
      <w:r>
        <w:rPr>
          <w:rStyle w:val="VerbatimChar"/>
        </w:rPr>
        <w:t xml:space="preserve">2. az_count         ≥ 1 in target_region                (CAP-011)</w:t>
      </w:r>
      <w:r>
        <w:br/>
      </w:r>
      <w:r>
        <w:rPr>
          <w:rStyle w:val="VerbatimChar"/>
        </w:rPr>
        <w:t xml:space="preserve">3. sku              ∈ supported_skus(target_region)</w:t>
      </w:r>
      <w:r>
        <w:br/>
      </w:r>
      <w:r>
        <w:rPr>
          <w:rStyle w:val="VerbatimChar"/>
        </w:rPr>
        <w:t xml:space="preserve">4. reservation_policy known for (subscription, region, zone, sku)</w:t>
      </w:r>
      <w:r>
        <w:br/>
      </w:r>
      <w:r>
        <w:rPr>
          <w:rStyle w:val="VerbatimChar"/>
        </w:rPr>
        <w:t xml:space="preserve">5. reservation exists (if required by policy)</w:t>
      </w:r>
      <w:r>
        <w:br/>
      </w:r>
      <w:r>
        <w:rPr>
          <w:rStyle w:val="VerbatimChar"/>
        </w:rPr>
        <w:t xml:space="preserve">6. reserved_quantity ≥ requested_count OR approved_over_allocation active</w:t>
      </w:r>
      <w:r>
        <w:br/>
      </w:r>
      <w:r>
        <w:rPr>
          <w:rStyle w:val="VerbatimChar"/>
        </w:rPr>
        <w:t xml:space="preserve">7. consumer_subscription_quota ≥ requested_units        (QUA-013 — POC-gated)</w:t>
      </w:r>
      <w:r>
        <w:br/>
      </w:r>
      <w:r>
        <w:rPr>
          <w:rStyle w:val="VerbatimChar"/>
        </w:rPr>
        <w:t xml:space="preserve">8. snapshot_age     ≤ max_snapshot_age_seconds           (RDY-004)</w:t>
      </w:r>
      <w:r>
        <w:br/>
      </w:r>
      <w:r>
        <w:rPr>
          <w:rStyle w:val="VerbatimChar"/>
        </w:rPr>
        <w:t xml:space="preserve">9. no blocking policy exception or hard constraint violation</w:t>
      </w:r>
    </w:p>
    <w:bookmarkEnd w:id="76"/>
    <w:bookmarkStart w:id="77" w:name="staleness-check-rdy-004-decided"/>
    <w:p>
      <w:pPr>
        <w:pStyle w:val="Heading3"/>
      </w:pPr>
      <w:r>
        <w:t xml:space="preserve">Staleness check (RDY-004)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now() - snapshot.collected_at &gt; max_snapshot_age:</w:t>
      </w:r>
      <w:r>
        <w:br/>
      </w:r>
      <w:r>
        <w:rPr>
          <w:rStyle w:val="VerbatimChar"/>
        </w:rPr>
        <w:t xml:space="preserve">    RETURN STALE_STATE</w:t>
      </w:r>
      <w:r>
        <w:br/>
      </w:r>
      <w:r>
        <w:rPr>
          <w:rStyle w:val="VerbatimChar"/>
        </w:rPr>
        <w:t xml:space="preserve">    ACTION: refresh synchronously OR block with STALE_STATE — never drive placement from stale data</w:t>
      </w:r>
    </w:p>
    <w:bookmarkEnd w:id="77"/>
    <w:bookmarkStart w:id="78" w:name="quota-deficit-formula-a.5-decided"/>
    <w:p>
      <w:pPr>
        <w:pStyle w:val="Heading3"/>
      </w:pPr>
      <w:r>
        <w:t xml:space="preserve">Quota deficit formula (A.5)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Quota_Deficit = max(0, Requested_Deployment_Units - Available_Quota)</w:t>
      </w:r>
      <w:r>
        <w:br/>
      </w:r>
      <w:r>
        <w:rPr>
          <w:rStyle w:val="VerbatimChar"/>
        </w:rPr>
        <w:t xml:space="preserve">Available_Quota = Assigned_Regional_VM_Family_Quota - Current_Regional_VM_Family_Usage   (A.4)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32a0504b1fbe1562d3248ad8c07343bdd782516"/>
    <w:p>
      <w:pPr>
        <w:pStyle w:val="Heading2"/>
      </w:pPr>
      <w:r>
        <w:t xml:space="preserve">Scenario 20 — Customer Placement Seed Record (PLC-003/004/005)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first approved production-region placement for a customer in a geography.</w:t>
      </w:r>
    </w:p>
    <w:bookmarkStart w:id="80" w:name="seed-record-creation-decided"/>
    <w:p>
      <w:pPr>
        <w:pStyle w:val="Heading3"/>
      </w:pPr>
      <w:r>
        <w:t xml:space="preserve">Seed record creation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CustomerSeedRecord {</w:t>
      </w:r>
      <w:r>
        <w:br/>
      </w:r>
      <w:r>
        <w:rPr>
          <w:rStyle w:val="VerbatimChar"/>
        </w:rPr>
        <w:t xml:space="preserve">    customer_realm_id       : string        # authoritative customer/realm identifier</w:t>
      </w:r>
      <w:r>
        <w:br/>
      </w:r>
      <w:r>
        <w:rPr>
          <w:rStyle w:val="VerbatimChar"/>
        </w:rPr>
        <w:t xml:space="preserve">    geography               : string        # one of: US, EU, Australia, "Asia Pacific", "Middle East"</w:t>
      </w:r>
      <w:r>
        <w:br/>
      </w:r>
      <w:r>
        <w:rPr>
          <w:rStyle w:val="VerbatimChar"/>
        </w:rPr>
        <w:t xml:space="preserve">    production_region       : string        # exact Azure region name</w:t>
      </w:r>
      <w:r>
        <w:br/>
      </w:r>
      <w:r>
        <w:rPr>
          <w:rStyle w:val="VerbatimChar"/>
        </w:rPr>
        <w:t xml:space="preserve">    cval_region             : string        # exact Azure region name</w:t>
      </w:r>
      <w:r>
        <w:br/>
      </w:r>
      <w:r>
        <w:rPr>
          <w:rStyle w:val="VerbatimChar"/>
        </w:rPr>
        <w:t xml:space="preserve">    dr_region               : string | "NOT_OFFERED"</w:t>
      </w:r>
      <w:r>
        <w:br/>
      </w:r>
      <w:r>
        <w:rPr>
          <w:rStyle w:val="VerbatimChar"/>
        </w:rPr>
        <w:t xml:space="preserve">    products_covered        : list&lt;string&gt;  # all products seeded by this record</w:t>
      </w:r>
      <w:r>
        <w:br/>
      </w:r>
      <w:r>
        <w:rPr>
          <w:rStyle w:val="VerbatimChar"/>
        </w:rPr>
        <w:t xml:space="preserve">    decision_timestamp      : datetime</w:t>
      </w:r>
      <w:r>
        <w:br/>
      </w:r>
      <w:r>
        <w:rPr>
          <w:rStyle w:val="VerbatimChar"/>
        </w:rPr>
        <w:t xml:space="preserve">    policy_version          : string        # PlacementPolicy version used</w:t>
      </w:r>
      <w:r>
        <w:br/>
      </w:r>
      <w:r>
        <w:rPr>
          <w:rStyle w:val="VerbatimChar"/>
        </w:rPr>
        <w:t xml:space="preserve">    capacity_snapshot_ref   : string        # snapshot ID that drove the decision</w:t>
      </w:r>
      <w:r>
        <w:br/>
      </w:r>
      <w:r>
        <w:rPr>
          <w:rStyle w:val="VerbatimChar"/>
        </w:rPr>
        <w:t xml:space="preserve">    exception_ref           : string | null # approval ID if Restricted region or geo-exception</w:t>
      </w:r>
      <w:r>
        <w:br/>
      </w:r>
      <w:r>
        <w:rPr>
          <w:rStyle w:val="VerbatimChar"/>
        </w:rPr>
        <w:t xml:space="preserve">    approval_metadata       : ApprovalRecord</w:t>
      </w:r>
      <w:r>
        <w:br/>
      </w:r>
      <w:r>
        <w:rPr>
          <w:rStyle w:val="VerbatimChar"/>
        </w:rPr>
        <w:t xml:space="preserve">    input_mode              : "SPECIFIC_REGION" | "GEOGRAPHY_EXCEPTION"</w:t>
      </w:r>
      <w:r>
        <w:br/>
      </w:r>
      <w:r>
        <w:rPr>
          <w:rStyle w:val="VerbatimChar"/>
        </w:rPr>
        <w:t xml:space="preserve">}</w:t>
      </w:r>
    </w:p>
    <w:bookmarkEnd w:id="80"/>
    <w:bookmarkStart w:id="81" w:name="seed-reuse-policy-plc-004-decided"/>
    <w:p>
      <w:pPr>
        <w:pStyle w:val="Heading3"/>
      </w:pPr>
      <w:r>
        <w:t xml:space="preserve">Seed reuse policy (PLC-004)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CustomerSeedRecord exists for (customer_realm_id, geography):</w:t>
      </w:r>
      <w:r>
        <w:br/>
      </w:r>
      <w:r>
        <w:rPr>
          <w:rStyle w:val="VerbatimChar"/>
        </w:rPr>
        <w:t xml:space="preserve">    READ seed record — do NOT re-invoke the placement engine.</w:t>
      </w:r>
      <w:r>
        <w:br/>
      </w:r>
      <w:r>
        <w:rPr>
          <w:rStyle w:val="VerbatimChar"/>
        </w:rPr>
        <w:t xml:space="preserve">    Subsequent products and environments use the seeded production/CVAL/DR regions.</w:t>
      </w:r>
      <w:r>
        <w:br/>
      </w:r>
      <w:r>
        <w:rPr>
          <w:rStyle w:val="VerbatimChar"/>
        </w:rPr>
        <w:t xml:space="preserve">    Engine is NOT re-run per product once seeded.</w:t>
      </w:r>
    </w:p>
    <w:bookmarkEnd w:id="81"/>
    <w:bookmarkStart w:id="82" w:name="controlled-seed-change-plc-005-decided"/>
    <w:p>
      <w:pPr>
        <w:pStyle w:val="Heading3"/>
      </w:pPr>
      <w:r>
        <w:t xml:space="preserve">Controlled seed change (PLC-005)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seed change requested:</w:t>
      </w:r>
      <w:r>
        <w:br/>
      </w:r>
      <w:r>
        <w:rPr>
          <w:rStyle w:val="VerbatimChar"/>
        </w:rPr>
        <w:t xml:space="preserve">    REQUIRE approved migration/exception workflow.</w:t>
      </w:r>
      <w:r>
        <w:br/>
      </w:r>
      <w:r>
        <w:rPr>
          <w:rStyle w:val="VerbatimChar"/>
        </w:rPr>
        <w:t xml:space="preserve">    REQUIRE impact analysis across all products covered by the seed.</w:t>
      </w:r>
      <w:r>
        <w:br/>
      </w:r>
      <w:r>
        <w:rPr>
          <w:rStyle w:val="VerbatimChar"/>
        </w:rPr>
        <w:t xml:space="preserve">    PROHIBIT automatic regeneration on: upgrades, rebuilds, routine deployments.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4726db8d329c6a588b375d47a5ca6a5ef52f99e"/>
    <w:p>
      <w:pPr>
        <w:pStyle w:val="Heading2"/>
      </w:pPr>
      <w:r>
        <w:t xml:space="preserve">A. Core Formula Reference (Appendix A — Requirements v2.1)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Reserved Capacity = Allocated VM Count + Configured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 Headroom = Reserved Quantity - Allocated VM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 Deficit = max(0, Target Reserved Capacity - Reserved Quantity)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 Quota = Assigned Regional VM-Family Quota - Current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 Deficit = max(0, Requested Deployment Units - Available Quota)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Destination_DR_Requirement(d) = MAX over s (Workload_Portion(s → 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DR_Capacity_Gap(d) = max(0, DR_Requirement(d) - Usable_Capacity(d))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Overcommit_Ratio(d) = SUM(portions) / MAX(portions)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Xe9c749eff39e6c457f9329d009515720fab9f11"/>
    <w:p>
      <w:pPr>
        <w:pStyle w:val="Heading2"/>
      </w:pPr>
      <w:r>
        <w:t xml:space="preserve">B. Consolidated Policy-Constant Table (v2.3)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Scenario(s)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 / beta / gamma / delta / epsilon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/ 0.20 / 0.25 / 0.15 /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emergency_transfer_pct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min_nonprod_quota_headroom_vcpu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min_dr_headroom_vcpu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prod/nonprod_autoincrease_threshold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Debounce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loop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read / write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per 5 min / 1,200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60 /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0.40]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bootstrap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per product/workload — no fixed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Max-not-sum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MAX(source 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override (C-11)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SUM(source portions)</w:t>
            </w:r>
            <w:r>
              <w:t xml:space="preserve"> </w:t>
            </w:r>
            <w:r>
              <w:t xml:space="preserve">— per-scope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cross-geo DR extension region (Middle East)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Switzerland North</w:t>
            </w:r>
            <w:r>
              <w:t xml:space="preserve"> </w:t>
            </w:r>
            <w:r>
              <w:t xml:space="preserve">— pre-configured but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; conditional on DEC-001 (current position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 (was Belgium Central; now gated by DEC-001)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= three-region; EU / Australia / Asia Pacific / Middle East = two-region (CVAL+DR co-located, PLC-010a)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(v2.3)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c.-evidence-maturity-summary"/>
    <w:p>
      <w:pPr>
        <w:pStyle w:val="Heading2"/>
      </w:pPr>
      <w:r>
        <w:t xml:space="preserve">C. Evidence &amp; Maturity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PS_NonProd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PS_DR</w:t>
            </w:r>
            <w:r>
              <w:t xml:space="preserve"> </w:t>
            </w:r>
            <w:r>
              <w:t xml:space="preserve">(scoring)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  <w:r>
              <w:t xml:space="preserve"> </w:t>
            </w:r>
            <w:r>
              <w:t xml:space="preserve">— design-of-record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Shadow/recommendation mode until empirically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HC-3, HC-6, HC-7 (hard constraints)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floor accounting (Scenario 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use max-not-sum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quota-neutral math (Scenario 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POC-31/POC-32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Max-not-sum DR sizing (Scenario 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POC-011 required before production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Consumer-subscription quota (QUA-013)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—</w:t>
            </w:r>
            <w:r>
              <w:t xml:space="preserve"> </w:t>
            </w:r>
            <w:r>
              <w:rPr>
                <w:bCs/>
                <w:b/>
              </w:rPr>
              <w:t xml:space="preserve">top technical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target floor (Scenario 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Standby activation staging (Scenario 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on POC-005 (VM state semantics)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readiness gate (Scenario 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seed record (Scenario 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3</w:t>
            </w:r>
          </w:p>
        </w:tc>
      </w:tr>
    </w:tbl>
    <w:p>
      <w:pPr>
        <w:pStyle w:val="BodyText"/>
      </w:pPr>
      <w:r>
        <w:t xml:space="preserve">All constants are policy defaults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(config-as-code, versioned). Tuning any</w:t>
      </w:r>
      <w:r>
        <w:t xml:space="preserve"> </w:t>
      </w:r>
      <w:r>
        <w:t xml:space="preserve">constant requires updating the config; no code change is needed. The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are retained</w:t>
      </w:r>
      <w:r>
        <w:t xml:space="preserve"> </w:t>
      </w:r>
      <w:r>
        <w:t xml:space="preserve">in the codebase as fallback references for the SUM override (C-11)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2.2 — 27 August 2026. Next review: upon POC-001 / POC-011 results.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2026-09-07T08:39:03Z</dcterms:created>
  <dcterms:modified xsi:type="dcterms:W3CDTF">2026-09-07T08:39:03Z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