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6080033861d0651081ccd1a91c37fab48f9dc1"/>
    <w:p>
      <w:pPr>
        <w:pStyle w:val="Heading1"/>
      </w:pPr>
      <w:r>
        <w:t xml:space="preserve">ACRME — Full Project Research &amp; Design Prompt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Master Research &amp; Design Prompt</w:t>
      </w:r>
      <w:r>
        <w:br/>
      </w:r>
      <w:r>
        <w:rPr>
          <w:bCs/>
          <w:b/>
        </w:rPr>
        <w:t xml:space="preserve">Intended For:</w:t>
      </w:r>
      <w:r>
        <w:t xml:space="preserve"> </w:t>
      </w:r>
      <w:r>
        <w:t xml:space="preserve">AI assistants, new architects, platform engineers, and technical researchers picking up this project cold</w:t>
      </w:r>
      <w:r>
        <w:br/>
      </w:r>
      <w:r>
        <w:rPr>
          <w:bCs/>
          <w:b/>
        </w:rPr>
        <w:t xml:space="preserve">Baseline:</w:t>
      </w:r>
      <w:r>
        <w:t xml:space="preserve"> </w:t>
      </w:r>
      <w:r>
        <w:t xml:space="preserve">Azure Capacity &amp; Quota Management Consolidated Requirements Baseline v2.4 (amended)</w:t>
      </w:r>
      <w:r>
        <w:br/>
      </w: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vishnu4573/acrme-capacity-reservation</w:t>
      </w:r>
      <w:r>
        <w:t xml:space="preserve"> </w:t>
      </w:r>
      <w:r>
        <w:t xml:space="preserve">(branch: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6 October 2026</w:t>
      </w:r>
    </w:p>
    <w:p>
      <w:r>
        <w:pict>
          <v:rect style="width:0;height:1.5pt" o:hralign="center" o:hrstd="t" o:hr="t"/>
        </w:pict>
      </w:r>
    </w:p>
    <w:bookmarkStart w:id="20" w:name="how-to-use-this-prompt"/>
    <w:p>
      <w:pPr>
        <w:pStyle w:val="Heading2"/>
      </w:pPr>
      <w:r>
        <w:t xml:space="preserve">How to Use This Prompt</w:t>
      </w:r>
    </w:p>
    <w:p>
      <w:pPr>
        <w:pStyle w:val="FirstParagraph"/>
      </w:pPr>
      <w:r>
        <w:t xml:space="preserve">Read the entire prompt before asking any questions or producing any outputs. It is written in two layers: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Context Layer (Sections 1–6):</w:t>
      </w:r>
      <w:r>
        <w:t xml:space="preserve"> </w:t>
      </w:r>
      <w:r>
        <w:t xml:space="preserve">What the project is, what problem it solves, and what has already been decided. Read this to build a grounded mental model.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Task Layer (Section 7):</w:t>
      </w:r>
      <w:r>
        <w:t xml:space="preserve"> </w:t>
      </w:r>
      <w:r>
        <w:t xml:space="preserve">The specific research or design work you are being asked to do. Your task is defined there.</w:t>
      </w:r>
    </w:p>
    <w:p>
      <w:pPr>
        <w:pStyle w:val="FirstParagraph"/>
      </w:pPr>
      <w:r>
        <w:rPr>
          <w:bCs/>
          <w:b/>
        </w:rPr>
        <w:t xml:space="preserve">Source of truth hierarchy:</w:t>
      </w:r>
    </w:p>
    <w:p>
      <w:pPr>
        <w:numPr>
          <w:ilvl w:val="0"/>
          <w:numId w:val="1002"/>
        </w:numPr>
      </w:pPr>
      <w:r>
        <w:t xml:space="preserve">Microsoft Learn / Azure documentation (supersedes everything)</w:t>
      </w:r>
    </w:p>
    <w:p>
      <w:pPr>
        <w:numPr>
          <w:ilvl w:val="0"/>
          <w:numId w:val="1002"/>
        </w:numPr>
      </w:pPr>
      <w:r>
        <w:t xml:space="preserve">Azure Blogs, Product Group Guidance, Azure Updates, Microsoft GitHub Samples</w:t>
      </w:r>
    </w:p>
    <w:p>
      <w:pPr>
        <w:numPr>
          <w:ilvl w:val="0"/>
          <w:numId w:val="1002"/>
        </w:numPr>
      </w:pPr>
      <w:r>
        <w:t xml:space="preserve">Internal project documents (repo</w:t>
      </w:r>
      <w:r>
        <w:t xml:space="preserve"> </w:t>
      </w:r>
      <w:r>
        <w:rPr>
          <w:rStyle w:val="VerbatimChar"/>
        </w:rPr>
        <w:t xml:space="preserve">Reference-Material/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Requirements/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Community sources (only when official guidance does not exist)</w:t>
      </w:r>
    </w:p>
    <w:p>
      <w:pPr>
        <w:pStyle w:val="FirstParagraph"/>
      </w:pPr>
      <w:r>
        <w:rPr>
          <w:bCs/>
          <w:b/>
        </w:rPr>
        <w:t xml:space="preserve">Confidence tagging — every claim you produce must carry one of these labels: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backed by Microsoft Learn or Azure platform documentation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an approved design decision recorded in the project ADR log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— a logical consequence of the design; requires POC validation where noted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a policy default or working hypothesis; not yet empirically validated</w:t>
      </w:r>
    </w:p>
    <w:p>
      <w:pPr>
        <w:pStyle w:val="FirstParagraph"/>
      </w:pPr>
      <w:r>
        <w:t xml:space="preserve">Never produce a recommendation without identifying its confidence level. Distinguish clearly between what is confirmed and what needs a proof-of-concept (POC).</w:t>
      </w:r>
    </w:p>
    <w:p>
      <w:r>
        <w:pict>
          <v:rect style="width:0;height:1.5pt" o:hralign="center" o:hrstd="t" o:hr="t"/>
        </w:pict>
      </w:r>
    </w:p>
    <w:bookmarkEnd w:id="20"/>
    <w:bookmarkStart w:id="24" w:name="section-1-project-identity"/>
    <w:p>
      <w:pPr>
        <w:pStyle w:val="Heading2"/>
      </w:pPr>
      <w:r>
        <w:t xml:space="preserve">Section 1 — Project Identity</w:t>
      </w:r>
    </w:p>
    <w:bookmarkStart w:id="21" w:name="what-acrme-is"/>
    <w:p>
      <w:pPr>
        <w:pStyle w:val="Heading3"/>
      </w:pPr>
      <w:r>
        <w:t xml:space="preserve">What ACRME Is</w:t>
      </w:r>
    </w:p>
    <w:p>
      <w:pPr>
        <w:pStyle w:val="FirstParagraph"/>
      </w:pPr>
      <w:r>
        <w:rPr>
          <w:bCs/>
          <w:b/>
        </w:rPr>
        <w:t xml:space="preserve">ACRME</w:t>
      </w:r>
      <w:r>
        <w:t xml:space="preserve"> </w:t>
      </w:r>
      <w:r>
        <w:t xml:space="preserve">(Azure Capacity Reservation Management Engine) is a</w:t>
      </w:r>
      <w:r>
        <w:t xml:space="preserve"> </w:t>
      </w:r>
      <w:r>
        <w:rPr>
          <w:bCs/>
          <w:b/>
        </w:rPr>
        <w:t xml:space="preserve">SaaS platform capacity governance engine</w:t>
      </w:r>
      <w:r>
        <w:t xml:space="preserve"> </w:t>
      </w:r>
      <w:r>
        <w:t xml:space="preserve">built on top of Azure VM Capacity Reservations and Azure VM Quota. It manages capacity and quota for a multi-region, multi-environment production SaaS platform — protecting deployment capacity for production workloads, governing DR reserves, automating quota pooling, and feeding placement decisions into the AEP (Azure Engineering Platform) provisioning workflow.</w:t>
      </w:r>
    </w:p>
    <w:bookmarkEnd w:id="21"/>
    <w:bookmarkStart w:id="22" w:name="what-problem-it-solves"/>
    <w:p>
      <w:pPr>
        <w:pStyle w:val="Heading3"/>
      </w:pPr>
      <w:r>
        <w:t xml:space="preserve">What Problem It Solves</w:t>
      </w:r>
    </w:p>
    <w:p>
      <w:pPr>
        <w:pStyle w:val="FirstParagraph"/>
      </w:pPr>
      <w:r>
        <w:t xml:space="preserve">Without ACRME, the platform faces three compounding risks: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Deployment failures at scale</w:t>
      </w:r>
      <w:r>
        <w:t xml:space="preserve"> </w:t>
      </w:r>
      <w:r>
        <w:t xml:space="preserve">— Azure does not guarantee VM capacity on-demand. Without capacity reservations, Prod deployments can fail because the required SKU is unavailable in the target region at deployment time.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Uncontrolled DR cost</w:t>
      </w:r>
      <w:r>
        <w:t xml:space="preserve"> </w:t>
      </w:r>
      <w:r>
        <w:t xml:space="preserve">— Fixed large DR reserves are estimated in the millions of dollars per year in idle reservation cost. ACRME replaces fixed large reserves with a minimal bootstrap that dynamically scales on demand.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Quota exhaustion at deployment time</w:t>
      </w:r>
      <w:r>
        <w:t xml:space="preserve"> </w:t>
      </w:r>
      <w:r>
        <w:t xml:space="preserve">— Regional VM quota is shared across hundreds of subscriptions. Without centralized governance, individual teams can exhaust quota, blocking deployments silently. ACRME treats quota as a centrally governed resource (</w:t>
      </w:r>
      <w:r>
        <w:t xml:space="preserve">“</w:t>
      </w:r>
      <w:r>
        <w:t xml:space="preserve">quota-as-governor</w:t>
      </w:r>
      <w:r>
        <w:t xml:space="preserve">”</w:t>
      </w:r>
      <w:r>
        <w:t xml:space="preserve"> </w:t>
      </w:r>
      <w:r>
        <w:t xml:space="preserve">strategy per Melvin Stephen, CVP).</w:t>
      </w:r>
    </w:p>
    <w:bookmarkEnd w:id="22"/>
    <w:bookmarkStart w:id="23" w:name="what-acrme-is-not"/>
    <w:p>
      <w:pPr>
        <w:pStyle w:val="Heading3"/>
      </w:pPr>
      <w:r>
        <w:t xml:space="preserve">What ACRME Is Not</w:t>
      </w:r>
    </w:p>
    <w:p>
      <w:pPr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Cs/>
          <w:b/>
        </w:rPr>
        <w:t xml:space="preserve">not a multi-cloud solution</w:t>
      </w:r>
      <w:r>
        <w:t xml:space="preserve">. Multi-cloud DR is explicitly out of scope (rejected at ELT level).</w:t>
      </w:r>
    </w:p>
    <w:p>
      <w:pPr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Cs/>
          <w:b/>
        </w:rPr>
        <w:t xml:space="preserve">not a VM scheduler or orchestrator</w:t>
      </w:r>
      <w:r>
        <w:t xml:space="preserve">. It manages the reservation and quota envelope, not the deployment pipeline itself.</w:t>
      </w:r>
    </w:p>
    <w:p>
      <w:pPr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Cs/>
          <w:b/>
        </w:rPr>
        <w:t xml:space="preserve">not static or configuration-fixed</w:t>
      </w:r>
      <w:r>
        <w:t xml:space="preserve">. It is designed to be configuration-driven because region scope, DR decisions, and customer commitments change frequently.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d324b89f83d003a233804cc7b072973641c9152"/>
    <w:p>
      <w:pPr>
        <w:pStyle w:val="Heading2"/>
      </w:pPr>
      <w:r>
        <w:t xml:space="preserve">Section 2 — The Azure Primitives ACRME Operates On</w:t>
      </w:r>
    </w:p>
    <w:p>
      <w:pPr>
        <w:pStyle w:val="FirstParagraph"/>
      </w:pPr>
      <w:r>
        <w:t xml:space="preserve">Understanding these Azure concepts is prerequisite to any design or research on this project.</w:t>
      </w:r>
    </w:p>
    <w:bookmarkStart w:id="25" w:name="azure-vm-capacity-reservation"/>
    <w:p>
      <w:pPr>
        <w:pStyle w:val="Heading3"/>
      </w:pPr>
      <w:r>
        <w:t xml:space="preserve">2.1 Azure VM Capacity Reservation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Capacity Reservation</w:t>
      </w:r>
      <w:r>
        <w:t xml:space="preserve"> </w:t>
      </w:r>
      <w:r>
        <w:t xml:space="preserve">is a commitment to hold a specific quantity of a specific VM SKU in a specific Azure region and Availability Zone. Key facts: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Reserved capacity is billed whether or not VMs are deployed against it.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Capacity Reservations are zonal by default (tied to an Availability Zone). A no-zone group is pinned by Azure to one zone it selects.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Only VMs deployed in an Availability Zone (Zonal VMs) are eligible. VMs in Availability Sets are</w:t>
      </w:r>
      <w:r>
        <w:t xml:space="preserve"> </w:t>
      </w:r>
      <w:r>
        <w:rPr>
          <w:bCs/>
          <w:b/>
        </w:rPr>
        <w:t xml:space="preserve">ineligible</w:t>
      </w:r>
      <w:r>
        <w:t xml:space="preserve"> </w:t>
      </w:r>
      <w:r>
        <w:t xml:space="preserve">(CAP-020).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VMs must be deallocated or migrated to a zone before they can be associated (CAP-021).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Deallocated VMs that are still</w:t>
      </w:r>
      <w:r>
        <w:t xml:space="preserve"> </w:t>
      </w:r>
      <w:r>
        <w:rPr>
          <w:iCs/>
          <w:i/>
        </w:rPr>
        <w:t xml:space="preserve">associated</w:t>
      </w:r>
      <w:r>
        <w:t xml:space="preserve"> </w:t>
      </w:r>
      <w:r>
        <w:t xml:space="preserve">to a reservation continue to hold quota until explicitly dissociated (CAP-004).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CRG naming convention:</w:t>
      </w:r>
      <w:r>
        <w:t xml:space="preserve"> </w:t>
      </w:r>
      <w:r>
        <w:rPr>
          <w:rStyle w:val="VerbatimChar"/>
        </w:rPr>
        <w:t xml:space="preserve">crg-{geo}-{region_short}-{env}-{az}</w:t>
      </w:r>
      <w:r>
        <w:t xml:space="preserve"> </w:t>
      </w:r>
      <w:r>
        <w:t xml:space="preserve">for per-AZ groups;</w:t>
      </w:r>
      <w:r>
        <w:t xml:space="preserve"> </w:t>
      </w:r>
      <w:r>
        <w:rPr>
          <w:rStyle w:val="VerbatimChar"/>
        </w:rPr>
        <w:t xml:space="preserve">crg-{geo}-{region_short}-{env}-reg</w:t>
      </w:r>
      <w:r>
        <w:t xml:space="preserve"> </w:t>
      </w:r>
      <w:r>
        <w:t xml:space="preserve">for regional groups (OPS-006, C-12).</w:t>
      </w:r>
    </w:p>
    <w:bookmarkEnd w:id="25"/>
    <w:bookmarkStart w:id="26" w:name="capacity-reservation-group-crg"/>
    <w:p>
      <w:pPr>
        <w:pStyle w:val="Heading3"/>
      </w:pPr>
      <w:r>
        <w:t xml:space="preserve">2.2 Capacity Reservation Group (CRG)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Capacity Reservation Group</w:t>
      </w:r>
      <w:r>
        <w:t xml:space="preserve"> </w:t>
      </w:r>
      <w:r>
        <w:t xml:space="preserve">is the container that holds one or more Capacity Reservations and the VMs associated with them.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Structure:</w:t>
      </w:r>
      <w:r>
        <w:t xml:space="preserve"> </w:t>
      </w:r>
      <w:r>
        <w:rPr>
          <w:bCs/>
          <w:b/>
        </w:rPr>
        <w:t xml:space="preserve">regional CRG</w:t>
      </w:r>
      <w:r>
        <w:t xml:space="preserve"> </w:t>
      </w:r>
      <w:r>
        <w:t xml:space="preserve">(</w:t>
      </w:r>
      <w:r>
        <w:rPr>
          <w:rStyle w:val="VerbatimChar"/>
        </w:rPr>
        <w:t xml:space="preserve">crg-…-reg</w:t>
      </w:r>
      <w:r>
        <w:t xml:space="preserve">) for most reservation management +</w:t>
      </w:r>
      <w:r>
        <w:t xml:space="preserve"> </w:t>
      </w:r>
      <w:r>
        <w:rPr>
          <w:bCs/>
          <w:b/>
        </w:rPr>
        <w:t xml:space="preserve">per-AZ CRGs</w:t>
      </w:r>
      <w:r>
        <w:t xml:space="preserve"> </w:t>
      </w:r>
      <w:r>
        <w:t xml:space="preserve">(</w:t>
      </w:r>
      <w:r>
        <w:rPr>
          <w:rStyle w:val="VerbatimChar"/>
        </w:rPr>
        <w:t xml:space="preserve">crg-…-az1/az2/az3</w:t>
      </w:r>
      <w:r>
        <w:t xml:space="preserve">) for zone-level capacity (CAP-023).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The managed SKU/AZ matrix is seeded at zero (count=0) when a region is onboarded, then reconciled reactively (CAP-022, CAP-024).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[Preview — unvalidated]</w:t>
      </w:r>
      <w:r>
        <w:t xml:space="preserve"> </w:t>
      </w:r>
      <w:r>
        <w:rPr>
          <w:bCs/>
          <w:b/>
        </w:rPr>
        <w:t xml:space="preserve">Capacity Reservation Sharing</w:t>
      </w:r>
      <w:r>
        <w:t xml:space="preserve"> </w:t>
      </w:r>
      <w:r>
        <w:t xml:space="preserve">(the ability for VMs in one subscription to consume a reservation owned by a different subscription) is a</w:t>
      </w:r>
      <w:r>
        <w:t xml:space="preserve"> </w:t>
      </w:r>
      <w:r>
        <w:rPr>
          <w:bCs/>
          <w:b/>
        </w:rPr>
        <w:t xml:space="preserve">Microsoft Preview feature</w:t>
      </w:r>
      <w:r>
        <w:t xml:space="preserve">. The top technical unknown (POC-001) is whether the</w:t>
      </w:r>
      <w:r>
        <w:t xml:space="preserve"> </w:t>
      </w:r>
      <w:r>
        <w:rPr>
          <w:iCs/>
          <w:i/>
        </w:rPr>
        <w:t xml:space="preserve">consumer</w:t>
      </w:r>
      <w:r>
        <w:t xml:space="preserve"> </w:t>
      </w:r>
      <w:r>
        <w:t xml:space="preserve">subscription must hold its own quota when consuming a shared reservation.</w:t>
      </w:r>
    </w:p>
    <w:bookmarkEnd w:id="26"/>
    <w:bookmarkStart w:id="27" w:name="azure-vm-quota"/>
    <w:p>
      <w:pPr>
        <w:pStyle w:val="Heading3"/>
      </w:pPr>
      <w:r>
        <w:t xml:space="preserve">2.3 Azure VM Quota</w:t>
      </w:r>
    </w:p>
    <w:p>
      <w:pPr>
        <w:pStyle w:val="FirstParagraph"/>
      </w:pPr>
      <w:r>
        <w:rPr>
          <w:bCs/>
          <w:b/>
        </w:rPr>
        <w:t xml:space="preserve">Quota</w:t>
      </w:r>
      <w:r>
        <w:t xml:space="preserve"> </w:t>
      </w:r>
      <w:r>
        <w:t xml:space="preserve">is a regional cap on how many vCPUs of a given VM family a subscription can deploy.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Quota has two caps: a</w:t>
      </w:r>
      <w:r>
        <w:t xml:space="preserve"> </w:t>
      </w:r>
      <w:r>
        <w:rPr>
          <w:bCs/>
          <w:b/>
        </w:rPr>
        <w:t xml:space="preserve">VM family cap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ESv5 family — max 1000 vCPUs in East US 2</w:t>
      </w:r>
      <w:r>
        <w:t xml:space="preserve">”</w:t>
      </w:r>
      <w:r>
        <w:t xml:space="preserve">) and a</w:t>
      </w:r>
      <w:r>
        <w:t xml:space="preserve"> </w:t>
      </w:r>
      <w:r>
        <w:rPr>
          <w:bCs/>
          <w:b/>
        </w:rPr>
        <w:t xml:space="preserve">regional total vCPU cap</w:t>
      </w:r>
      <w:r>
        <w:t xml:space="preserve"> </w:t>
      </w:r>
      <w:r>
        <w:t xml:space="preserve">across all families.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Quota Group</w:t>
      </w:r>
      <w:r>
        <w:t xml:space="preserve"> </w:t>
      </w:r>
      <w:r>
        <w:t xml:space="preserve">is an Azure mechanism for transferring quota between subscriptions under the same Entra ID tenant.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ACRME uses a</w:t>
      </w:r>
      <w:r>
        <w:t xml:space="preserve"> </w:t>
      </w:r>
      <w:r>
        <w:rPr>
          <w:bCs/>
          <w:b/>
        </w:rPr>
        <w:t xml:space="preserve">single governed quota pool per region per VM family</w:t>
      </w:r>
      <w:r>
        <w:t xml:space="preserve">, shared across Prod, CVAL/NonProd, and DR (QUA-004). Prod and DR capacity are protected by logical earmarks within this pool, not by separate Azure quota groups (except as a narrow governance exception).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The consumer subscription must hold its own quota at deployment time — sharing does not transfer quota (QUA-013, resolved from POC-001;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per Microsoft Learn corrections in v2.5).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ection-3-architecture-the-three-domains"/>
    <w:p>
      <w:pPr>
        <w:pStyle w:val="Heading2"/>
      </w:pPr>
      <w:r>
        <w:t xml:space="preserve">Section 3 — Architecture: The Three Domains</w:t>
      </w:r>
    </w:p>
    <w:p>
      <w:pPr>
        <w:pStyle w:val="FirstParagraph"/>
      </w:pPr>
      <w:r>
        <w:t xml:space="preserve">ACRME operates across three tightly coupled domains. Any design or research that touches one typically has implications for the others.</w:t>
      </w:r>
    </w:p>
    <w:bookmarkStart w:id="29" w:name="X3dd2eddf2fd25275006319522215450b83872f8"/>
    <w:p>
      <w:pPr>
        <w:pStyle w:val="Heading3"/>
      </w:pPr>
      <w:r>
        <w:t xml:space="preserve">3.1 Domain 1 — Region Selection (Placement Scoring)</w:t>
      </w:r>
    </w:p>
    <w:p>
      <w:pPr>
        <w:pStyle w:val="FirstParagraph"/>
      </w:pPr>
      <w:r>
        <w:t xml:space="preserve">Before any customer is deployed, ACRME scores candidate regions using a weighted placement formula and selects the best available region per environment. This is the</w:t>
      </w:r>
      <w:r>
        <w:t xml:space="preserve"> </w:t>
      </w:r>
      <w:r>
        <w:rPr>
          <w:bCs/>
          <w:b/>
        </w:rPr>
        <w:t xml:space="preserve">output interface</w:t>
      </w:r>
      <w:r>
        <w:t xml:space="preserve"> </w:t>
      </w:r>
      <w:r>
        <w:t xml:space="preserve">to AEP provisioning.</w:t>
      </w:r>
    </w:p>
    <w:p>
      <w:pPr>
        <w:pStyle w:val="BodyText"/>
      </w:pPr>
      <w:r>
        <w:rPr>
          <w:bCs/>
          <w:b/>
        </w:rPr>
        <w:t xml:space="preserve">Two input paths: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Default (customer supplies exact region):</w:t>
      </w:r>
      <w:r>
        <w:t xml:space="preserve"> </w:t>
      </w:r>
      <w:r>
        <w:t xml:space="preserve">ACRME validates the region against hard constraints (HC-1..HC-10) and computes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as a post-validation readiness check.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Exception (customer picks a geography only):</w:t>
      </w:r>
      <w:r>
        <w:t xml:space="preserve"> </w:t>
      </w:r>
      <w:r>
        <w:t xml:space="preserve">ACRME runs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in-scope Standard regions in that geography, with explicit approval + customer acknowledgement required.</w:t>
      </w:r>
    </w:p>
    <w:p>
      <w:pPr>
        <w:pStyle w:val="FirstParagraph"/>
      </w:pPr>
      <w:r>
        <w:rPr>
          <w:bCs/>
          <w:b/>
        </w:rPr>
        <w:t xml:space="preserve">Placement Score formula (Prod):</w:t>
      </w:r>
    </w:p>
    <w:p>
      <w:pPr>
        <w:pStyle w:val="SourceCode"/>
      </w:pPr>
      <w:r>
        <w:rPr>
          <w:rStyle w:val="VerbatimChar"/>
        </w:rPr>
        <w:t xml:space="preserve">PS_Prod(r) = α·Clamp(nonprod_crg.effective_free / prod_crg.quantity)</w:t>
      </w:r>
      <w:r>
        <w:br/>
      </w:r>
      <w:r>
        <w:rPr>
          <w:rStyle w:val="VerbatimChar"/>
        </w:rPr>
        <w:t xml:space="preserve">           + β·Clamp(prod_crg.quota_headroom / prod_crg.quota_limit)</w:t>
      </w:r>
      <w:r>
        <w:br/>
      </w:r>
      <w:r>
        <w:rPr>
          <w:rStyle w:val="VerbatimChar"/>
        </w:rPr>
        <w:t xml:space="preserve">           + γ·(1 − prod_customer_count / total_customers)          [total_customers: UNDEFINED in v2.4 — spec gap]</w:t>
      </w:r>
      <w:r>
        <w:br/>
      </w:r>
      <w:r>
        <w:rPr>
          <w:rStyle w:val="VerbatimChar"/>
        </w:rPr>
        <w:t xml:space="preserve">           + δ·dr_crg.coverage_ratio</w:t>
      </w:r>
      <w:r>
        <w:br/>
      </w:r>
      <w:r>
        <w:rPr>
          <w:rStyle w:val="VerbatimChar"/>
        </w:rPr>
        <w:t xml:space="preserve">           + ε·(az_count / 3)</w:t>
      </w:r>
    </w:p>
    <w:p>
      <w:pPr>
        <w:pStyle w:val="FirstParagraph"/>
      </w:pPr>
      <w:r>
        <w:t xml:space="preserve">Default weights: α=0.30, β=0.20, γ=0.25, δ=0.15, ε=0.10. All components clamped to [0,1]. Weights sum to 1.00.</w:t>
      </w:r>
    </w:p>
    <w:p>
      <w:pPr>
        <w:pStyle w:val="BodyText"/>
      </w:pPr>
      <w:r>
        <w:rPr>
          <w:bCs/>
          <w:b/>
        </w:rPr>
        <w:t xml:space="preserve">Critical design decision — why α uses NonProd headroom (not Prod headroom):</w:t>
      </w:r>
      <w:r>
        <w:br/>
      </w:r>
      <w:r>
        <w:t xml:space="preserve">Using Prod headroom in α would be circular (measuring the thing you’re about to allocate against itself) and would create high correlation between α and β (combined 0.50 weight measuring the same Prod dimension). NonProd headroom is an independent signal of regional capacity health and provides forward-looking overflow/failover capacity. See</w:t>
      </w:r>
      <w:r>
        <w:t xml:space="preserve"> </w:t>
      </w:r>
      <w:r>
        <w:rPr>
          <w:rStyle w:val="VerbatimChar"/>
        </w:rPr>
        <w:t xml:space="preserve">Reference-Material/reference/ps_prod_nonprod_headroom_design_rationale.md</w:t>
      </w:r>
      <w:r>
        <w:t xml:space="preserve"> </w:t>
      </w:r>
      <w:r>
        <w:t xml:space="preserve">for the full worked rationale.</w:t>
      </w:r>
    </w:p>
    <w:p>
      <w:pPr>
        <w:pStyle w:val="BodyText"/>
      </w:pPr>
      <w:r>
        <w:rPr>
          <w:rStyle w:val="VerbatimChar"/>
          <w:bCs/>
          <w:b/>
        </w:rPr>
        <w:t xml:space="preserve">total_customers</w:t>
      </w:r>
      <w:r>
        <w:rPr>
          <w:bCs/>
          <w:b/>
        </w:rPr>
        <w:t xml:space="preserve"> </w:t>
      </w:r>
      <w:r>
        <w:rPr>
          <w:bCs/>
          <w:b/>
        </w:rPr>
        <w:t xml:space="preserve">is an open specification gap.</w:t>
      </w:r>
      <w:r>
        <w:t xml:space="preserve"> </w:t>
      </w:r>
      <w:r>
        <w:t xml:space="preserve">The γ term references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which has no defined source, scope, or data type in baseline v2.4. This is a blocker for γ in production scoring. Flag this gap in any design output.</w:t>
      </w:r>
    </w:p>
    <w:p>
      <w:pPr>
        <w:pStyle w:val="BodyText"/>
      </w:pPr>
      <w:r>
        <w:rPr>
          <w:bCs/>
          <w:b/>
        </w:rPr>
        <w:t xml:space="preserve">Environment-specific PS functions: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PS_DR</w:t>
      </w:r>
      <w:r>
        <w:t xml:space="preserve"> </w:t>
      </w:r>
      <w:r>
        <w:t xml:space="preserve">use the same weight structure with the relevant environment’s CRG metrics substituted.</w:t>
      </w:r>
    </w:p>
    <w:bookmarkEnd w:id="29"/>
    <w:bookmarkStart w:id="30" w:name="domain-2-quota-management"/>
    <w:p>
      <w:pPr>
        <w:pStyle w:val="Heading3"/>
      </w:pPr>
      <w:r>
        <w:t xml:space="preserve">3.2 Domain 2 — Quota Management</w:t>
      </w:r>
    </w:p>
    <w:p>
      <w:pPr>
        <w:pStyle w:val="FirstParagraph"/>
      </w:pPr>
      <w:r>
        <w:t xml:space="preserve">Quota is managed as a central, pooled resource governed across all subscriptions. The engine:</w:t>
      </w:r>
    </w:p>
    <w:p>
      <w:pPr>
        <w:numPr>
          <w:ilvl w:val="0"/>
          <w:numId w:val="1010"/>
        </w:numPr>
      </w:pPr>
      <w:r>
        <w:t xml:space="preserve">Maintains a single quota pool per region per VM family (QUA-004)</w:t>
      </w:r>
    </w:p>
    <w:p>
      <w:pPr>
        <w:numPr>
          <w:ilvl w:val="0"/>
          <w:numId w:val="1010"/>
        </w:numPr>
      </w:pPr>
      <w:r>
        <w:t xml:space="preserve">Tracks</w:t>
      </w:r>
      <w:r>
        <w:t xml:space="preserve"> </w:t>
      </w:r>
      <w:r>
        <w:rPr>
          <w:rStyle w:val="VerbatimChar"/>
        </w:rPr>
        <w:t xml:space="preserve">Available Quota = Assigned Regional VM-Family Quota − Current Regional VM-Family Usage</w:t>
      </w:r>
    </w:p>
    <w:p>
      <w:pPr>
        <w:numPr>
          <w:ilvl w:val="0"/>
          <w:numId w:val="1010"/>
        </w:numPr>
      </w:pPr>
      <w:r>
        <w:t xml:space="preserve">Manages a production quota buffer for growth (POC-008 defines initial buffer targets)</w:t>
      </w:r>
    </w:p>
    <w:p>
      <w:pPr>
        <w:numPr>
          <w:ilvl w:val="0"/>
          <w:numId w:val="1010"/>
        </w:numPr>
      </w:pPr>
      <w:r>
        <w:t xml:space="preserve">Enforces DR floor accounting (</w:t>
      </w:r>
      <w:r>
        <w:rPr>
          <w:rStyle w:val="VerbatimChar"/>
        </w:rPr>
        <w:t xml:space="preserve">DR_Floor_vCPU</w:t>
      </w:r>
      <w:r>
        <w:t xml:space="preserve">) to protect DR allocation</w:t>
      </w:r>
    </w:p>
    <w:p>
      <w:pPr>
        <w:numPr>
          <w:ilvl w:val="0"/>
          <w:numId w:val="1010"/>
        </w:numPr>
      </w:pPr>
      <w:r>
        <w:t xml:space="preserve">Triggers emergency quota transfers and tier escalations when thresholds are breached</w:t>
      </w:r>
    </w:p>
    <w:p>
      <w:pPr>
        <w:pStyle w:val="FirstParagraph"/>
      </w:pPr>
      <w:r>
        <w:t xml:space="preserve">Key formula:</w:t>
      </w:r>
    </w:p>
    <w:p>
      <w:pPr>
        <w:pStyle w:val="SourceCode"/>
      </w:pPr>
      <w:r>
        <w:rPr>
          <w:rStyle w:val="VerbatimChar"/>
        </w:rPr>
        <w:t xml:space="preserve">Quota Deficit = max(0, Requested Deployment Units − Available Quota)</w:t>
      </w:r>
    </w:p>
    <w:bookmarkEnd w:id="30"/>
    <w:bookmarkStart w:id="31" w:name="domain-3-capacity-reservation-management"/>
    <w:p>
      <w:pPr>
        <w:pStyle w:val="Heading3"/>
      </w:pPr>
      <w:r>
        <w:t xml:space="preserve">3.3 Domain 3 — Capacity Reservation Management</w:t>
      </w:r>
    </w:p>
    <w:p>
      <w:pPr>
        <w:pStyle w:val="FirstParagraph"/>
      </w:pPr>
      <w:r>
        <w:t xml:space="preserve">The engine manages the lifecycle of Capacity Reservations: creation, reconciliation, growth, scale-down, and decommissioning.</w:t>
      </w:r>
    </w:p>
    <w:p>
      <w:pPr>
        <w:pStyle w:val="BodyText"/>
      </w:pPr>
      <w:r>
        <w:rPr>
          <w:bCs/>
          <w:b/>
        </w:rPr>
        <w:t xml:space="preserve">Reservation target (CAP-003):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Buffer Target</w:t>
      </w:r>
      <w:r>
        <w:br/>
      </w:r>
      <w:r>
        <w:rPr>
          <w:rStyle w:val="VerbatimChar"/>
        </w:rPr>
        <w:t xml:space="preserve">Reservation Headroom = Reserved Quantity − Allocated VM Count</w:t>
      </w:r>
      <w:r>
        <w:br/>
      </w:r>
      <w:r>
        <w:rPr>
          <w:rStyle w:val="VerbatimChar"/>
        </w:rPr>
        <w:t xml:space="preserve">Reservation Deficit  = max(0, Target Reserved Capacity − Reserved Quantity)</w:t>
      </w:r>
    </w:p>
    <w:p>
      <w:pPr>
        <w:pStyle w:val="FirstParagraph"/>
      </w:pPr>
      <w:r>
        <w:rPr>
          <w:bCs/>
          <w:b/>
        </w:rPr>
        <w:t xml:space="preserve">Reconciliation:</w:t>
      </w:r>
      <w:r>
        <w:t xml:space="preserve"> </w:t>
      </w:r>
      <w:r>
        <w:t xml:space="preserve">The engine continuously reconciles</w:t>
      </w:r>
      <w:r>
        <w:t xml:space="preserve"> </w:t>
      </w:r>
      <w:r>
        <w:rPr>
          <w:rStyle w:val="VerbatimChar"/>
        </w:rPr>
        <w:t xml:space="preserve">Reserved Quantity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Target Reserved Capacity</w:t>
      </w:r>
      <w:r>
        <w:t xml:space="preserve">. Reconciliation is dynamic — scale-up is reactive to growth; scale-down is governed (not automatic, CAP-008/CAP-010).</w:t>
      </w:r>
    </w:p>
    <w:p>
      <w:pPr>
        <w:pStyle w:val="BodyText"/>
      </w:pPr>
      <w:r>
        <w:rPr>
          <w:bCs/>
          <w:b/>
        </w:rPr>
        <w:t xml:space="preserve">Seed-at-zero matrix (CAP-022):</w:t>
      </w:r>
      <w:r>
        <w:t xml:space="preserve"> </w:t>
      </w:r>
      <w:r>
        <w:t xml:space="preserve">When a region is onboarded, the eligible-SKU/AZ matrix is seeded at count=0. Product teams must approve budget before quantity is increased.</w:t>
      </w:r>
    </w:p>
    <w:p>
      <w:pPr>
        <w:pStyle w:val="BodyText"/>
      </w:pPr>
      <w:r>
        <w:rPr>
          <w:bCs/>
          <w:b/>
        </w:rPr>
        <w:t xml:space="preserve">Reactive discovery (CAP-024):</w:t>
      </w:r>
      <w:r>
        <w:t xml:space="preserve"> </w:t>
      </w:r>
      <w:r>
        <w:t xml:space="preserve">New SKUs or AZ combinations are auto-discovered and added to the matrix, subject to CAP-019 governance approval.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c3ab9f2bc71d609d16e5cd673f8873d3307dbfa"/>
    <w:p>
      <w:pPr>
        <w:pStyle w:val="Heading2"/>
      </w:pPr>
      <w:r>
        <w:t xml:space="preserve">Section 4 — Region Model &amp; Distribution Topology</w:t>
      </w:r>
    </w:p>
    <w:p>
      <w:pPr>
        <w:pStyle w:val="FirstParagraph"/>
      </w:pPr>
      <w:r>
        <w:t xml:space="preserve">Five geographies are in scope. The distribution model differs by geography.</w:t>
      </w:r>
    </w:p>
    <w:bookmarkStart w:id="33" w:name="us-three-region-model"/>
    <w:p>
      <w:pPr>
        <w:pStyle w:val="Heading3"/>
      </w:pPr>
      <w:r>
        <w:t xml:space="preserve">4.1 US — Three-Region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Prod/CVAL/DR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Prod/CVAL/DR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Prod/CVAL/DR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Exception-only (REG-003)</w:t>
            </w:r>
          </w:p>
        </w:tc>
      </w:tr>
    </w:tbl>
    <w:p>
      <w:pPr>
        <w:pStyle w:val="BodyText"/>
      </w:pPr>
      <w:r>
        <w:t xml:space="preserve">Prod, CVAL, and DR each score independently across the three Standard regions. DR uses distributed-portion sizing (max-not-sum, A.6).</w:t>
      </w:r>
    </w:p>
    <w:bookmarkEnd w:id="33"/>
    <w:bookmarkStart w:id="34" w:name="X5443fba4701f5715861447df8f1eb9413fcb0b3"/>
    <w:p>
      <w:pPr>
        <w:pStyle w:val="Heading3"/>
      </w:pPr>
      <w:r>
        <w:t xml:space="preserve">4.2 Europe, Australia, Asia Pacific — Two-Region Co-Located Model</w:t>
      </w:r>
    </w:p>
    <w:p>
      <w:pPr>
        <w:pStyle w:val="FirstParagraph"/>
      </w:pPr>
      <w:r>
        <w:t xml:space="preserve">In every two-region geography,</w:t>
      </w:r>
      <w:r>
        <w:t xml:space="preserve"> </w:t>
      </w:r>
      <w:r>
        <w:rPr>
          <w:bCs/>
          <w:b/>
        </w:rPr>
        <w:t xml:space="preserve">CVAL and DR co-locate in the non-production region</w:t>
      </w:r>
      <w:r>
        <w:t xml:space="preserve"> </w:t>
      </w:r>
      <w:r>
        <w:t xml:space="preserve">(PLC-010a):</w:t>
      </w:r>
    </w:p>
    <w:p>
      <w:pPr>
        <w:numPr>
          <w:ilvl w:val="0"/>
          <w:numId w:val="1011"/>
        </w:numPr>
      </w:pPr>
      <w:r>
        <w:t xml:space="preserve">Prod → Region A (weighted selected)</w:t>
      </w:r>
    </w:p>
    <w:p>
      <w:pPr>
        <w:numPr>
          <w:ilvl w:val="0"/>
          <w:numId w:val="1011"/>
        </w:numPr>
      </w:pPr>
      <w:r>
        <w:t xml:space="preserve">CVAL + DR → Region B (the other Standard region)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+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Europe, West 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 +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 +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(pending confirmation)</w:t>
            </w:r>
          </w:p>
        </w:tc>
      </w:tr>
    </w:tbl>
    <w:bookmarkEnd w:id="34"/>
    <w:bookmarkStart w:id="35" w:name="X18a558a8e9ea636a91e3d49f8e586deb767b989"/>
    <w:p>
      <w:pPr>
        <w:pStyle w:val="Heading3"/>
      </w:pPr>
      <w:r>
        <w:t xml:space="preserve">4.3 Middle East — Cross-Geography DR Model (DEC-001, resolved v2.4)</w:t>
      </w:r>
    </w:p>
    <w:p>
      <w:pPr>
        <w:numPr>
          <w:ilvl w:val="0"/>
          <w:numId w:val="1012"/>
        </w:numPr>
      </w:pPr>
      <w:r>
        <w:t xml:space="preserve">Prod + CVAL → co-located in a</w:t>
      </w:r>
      <w:r>
        <w:t xml:space="preserve"> </w:t>
      </w:r>
      <w:r>
        <w:rPr>
          <w:bCs/>
          <w:b/>
        </w:rPr>
        <w:t xml:space="preserve">weighted-selected Middle East</w:t>
      </w:r>
      <w:r>
        <w:t xml:space="preserve"> </w:t>
      </w:r>
      <w:r>
        <w:t xml:space="preserve">Standard region</w:t>
      </w:r>
    </w:p>
    <w:p>
      <w:pPr>
        <w:numPr>
          <w:ilvl w:val="0"/>
          <w:numId w:val="1012"/>
        </w:numPr>
      </w:pPr>
      <w:r>
        <w:t xml:space="preserve">DR → placed in a</w:t>
      </w:r>
      <w:r>
        <w:t xml:space="preserve"> </w:t>
      </w:r>
      <w:r>
        <w:rPr>
          <w:bCs/>
          <w:b/>
        </w:rPr>
        <w:t xml:space="preserve">weighted-selected Europe Standard</w:t>
      </w:r>
      <w:r>
        <w:t xml:space="preserve"> </w:t>
      </w:r>
      <w:r>
        <w:t xml:space="preserve">region (cross-geo, DR-020, PLC-010b)</w:t>
      </w:r>
    </w:p>
    <w:p>
      <w:pPr>
        <w:numPr>
          <w:ilvl w:val="0"/>
          <w:numId w:val="1012"/>
        </w:numPr>
      </w:pPr>
      <w:r>
        <w:t xml:space="preserve">Per-country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(DR-014) retained for residual legal carve-outs</w:t>
      </w:r>
    </w:p>
    <w:p>
      <w:pPr>
        <w:numPr>
          <w:ilvl w:val="0"/>
          <w:numId w:val="1012"/>
        </w:numPr>
      </w:pPr>
      <w:r>
        <w:t xml:space="preserve">Data-residency clearance required for applicable customer classes (assumption A-ME1)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 East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section-5-dr-capacity-model"/>
    <w:p>
      <w:pPr>
        <w:pStyle w:val="Heading2"/>
      </w:pPr>
      <w:r>
        <w:t xml:space="preserve">Section 5 — DR Capacity Model</w:t>
      </w:r>
    </w:p>
    <w:bookmarkStart w:id="37" w:name="bootstrap-dynamic-reconciliation"/>
    <w:p>
      <w:pPr>
        <w:pStyle w:val="Heading3"/>
      </w:pPr>
      <w:r>
        <w:t xml:space="preserve">5.1 Bootstrap + Dynamic Reconciliation</w:t>
      </w:r>
    </w:p>
    <w:p>
      <w:pPr>
        <w:pStyle w:val="FirstParagraph"/>
      </w:pPr>
      <w:r>
        <w:t xml:space="preserve">DR capacity starts with a</w:t>
      </w:r>
      <w:r>
        <w:t xml:space="preserve"> </w:t>
      </w:r>
      <w:r>
        <w:rPr>
          <w:bCs/>
          <w:b/>
        </w:rPr>
        <w:t xml:space="preserve">minimal bootstrap</w:t>
      </w:r>
      <w:r>
        <w:t xml:space="preserve"> </w:t>
      </w:r>
      <w:r>
        <w:t xml:space="preserve">(POC-007 defines minimum per product) and scales on demand. Fixed large DR reserves have been rejected for cost reasons (Appendix D).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fixed percentage of Prod.</w:t>
      </w:r>
      <w:r>
        <w:t xml:space="preserve"> </w:t>
      </w:r>
      <w:r>
        <w:t xml:space="preserve">DR must not default to a fixed 30–40% copy of production (ENV-005). That model is</w:t>
      </w:r>
      <w:r>
        <w:t xml:space="preserve"> </w:t>
      </w:r>
      <w:r>
        <w:rPr>
          <w:bCs/>
          <w:b/>
        </w:rPr>
        <w:t xml:space="preserve">retired</w:t>
      </w:r>
      <w:r>
        <w:t xml:space="preserve"> </w:t>
      </w:r>
      <w:r>
        <w:t xml:space="preserve">(Calc Logic Reference Scenario 15 → 17; POC workbook A-09).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Bootstrap is a configurable target</w:t>
      </w:r>
      <w:r>
        <w:t xml:space="preserve">, not a ratio: a node count, SKU-specific quantity, vCPU value, workload tier, or approved percentage, set by product and region (DR-007; C-1</w:t>
      </w:r>
      <w:r>
        <w:t xml:space="preserve"> </w:t>
      </w:r>
      <w:r>
        <w:t xml:space="preserve">“</w:t>
      </w:r>
      <w:r>
        <w:t xml:space="preserve">Configurable — no fixed value</w:t>
      </w:r>
      <w:r>
        <w:t xml:space="preserve">”</w:t>
      </w:r>
      <w:r>
        <w:t xml:space="preserve">). It holds only the minimum needed to bring up control planes and recovery orchestration first (DR-008) —</w:t>
      </w:r>
      <w:r>
        <w:t xml:space="preserve"> </w:t>
      </w:r>
      <w:r>
        <w:t xml:space="preserve">“</w:t>
      </w:r>
      <w:r>
        <w:t xml:space="preserve">whatever is needed to bootstrap and is used = effectively free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Beyond bootstrap, capacity is acquired in stages</w:t>
      </w:r>
      <w:r>
        <w:t xml:space="preserve"> </w:t>
      </w:r>
      <w:r>
        <w:t xml:space="preserve">on activation: bootstrap headroom → existing reservation/quota in the destination → CVAL sacrifice → sharing/reassignment → pooled quota → Azure request (DR-006, DR-019).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Destination sizing is max-not-sum</w:t>
      </w:r>
      <w:r>
        <w:t xml:space="preserve"> </w:t>
      </w:r>
      <w:r>
        <w:t xml:space="preserve">(DR-017, A.6, §5.2 below); a SUM override exists only where a contract requires concurrent-failure protection (C-11).</w:t>
      </w:r>
      <w:r>
        <w:t xml:space="preserve"> </w:t>
      </w:r>
      <w:r>
        <w:rPr>
          <w:rStyle w:val="VerbatimChar"/>
        </w:rPr>
        <w:t xml:space="preserve">[Decided]</w:t>
      </w:r>
    </w:p>
    <w:bookmarkEnd w:id="37"/>
    <w:bookmarkStart w:id="38" w:name="X41957179c43cb28aad72c98e0f842e98da34999"/>
    <w:p>
      <w:pPr>
        <w:pStyle w:val="Heading3"/>
      </w:pPr>
      <w:r>
        <w:t xml:space="preserve">5.2 Distributed DR — Max-Not-Sum Sizing (DR-017, Appendix A.6)</w:t>
      </w:r>
    </w:p>
    <w:p>
      <w:pPr>
        <w:pStyle w:val="FirstParagraph"/>
      </w:pPr>
      <w:r>
        <w:t xml:space="preserve">Under the single-region-failure assumption (DR-001),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needs to host more than one source region’s failover simultaneously. The DR requirement is therefore:</w:t>
      </w:r>
    </w:p>
    <w:p>
      <w:pPr>
        <w:pStyle w:val="SourceCode"/>
      </w:pPr>
      <w:r>
        <w:rPr>
          <w:rStyle w:val="VerbatimChar"/>
        </w:rPr>
        <w:t xml:space="preserve">Destination DR Requirement(d) = MAX over each non-concurrent source region s</w:t>
      </w:r>
      <w:r>
        <w:br/>
      </w:r>
      <w:r>
        <w:rPr>
          <w:rStyle w:val="VerbatimChar"/>
        </w:rPr>
        <w:t xml:space="preserve">                                     (Workload portion of s assigned to destination d)</w:t>
      </w:r>
    </w:p>
    <w:p>
      <w:pPr>
        <w:pStyle w:val="FirstParagraph"/>
      </w:pPr>
      <w:r>
        <w:rPr>
          <w:bCs/>
          <w:b/>
        </w:rPr>
        <w:t xml:space="preserve">NOT</w:t>
      </w:r>
      <w:r>
        <w:t xml:space="preserve"> </w:t>
      </w:r>
      <w:r>
        <w:t xml:space="preserve">the sum. A conservative SUM override (C-11) is available only where a customer contract explicitly requires protection against concurrent failures.</w:t>
      </w:r>
    </w:p>
    <w:bookmarkEnd w:id="38"/>
    <w:bookmarkStart w:id="39" w:name="reciprocal-multi-source-hosting-dr-016"/>
    <w:p>
      <w:pPr>
        <w:pStyle w:val="Heading3"/>
      </w:pPr>
      <w:r>
        <w:t xml:space="preserve">5.3 Reciprocal Multi-Source Hosting (DR-016)</w:t>
      </w:r>
    </w:p>
    <w:p>
      <w:pPr>
        <w:pStyle w:val="FirstParagraph"/>
      </w:pPr>
      <w:r>
        <w:t xml:space="preserve">A destination region can host DR failover for multiple source regions simultaneously (at max-not-sum sizing). The overcommit ratio:</w:t>
      </w:r>
    </w:p>
    <w:p>
      <w:pPr>
        <w:pStyle w:val="SourceCode"/>
      </w:pPr>
      <w:r>
        <w:rPr>
          <w:rStyle w:val="VerbatimChar"/>
        </w:rPr>
        <w:t xml:space="preserve">Overcommit Ratio(d) = SUM(source portions on d) / MAX(source portions on d)</w:t>
      </w:r>
    </w:p>
    <w:p>
      <w:pPr>
        <w:pStyle w:val="FirstParagraph"/>
      </w:pPr>
      <w:r>
        <w:t xml:space="preserve">A ratio &gt; 1 quantifies the capacity saved relative to a sum-sized reserve.</w:t>
      </w:r>
    </w:p>
    <w:bookmarkEnd w:id="39"/>
    <w:bookmarkStart w:id="40" w:name="standby-activation-dr-019"/>
    <w:p>
      <w:pPr>
        <w:pStyle w:val="Heading3"/>
      </w:pPr>
      <w:r>
        <w:t xml:space="preserve">5.4 Standby Activation (DR-019)</w:t>
      </w:r>
    </w:p>
    <w:p>
      <w:pPr>
        <w:pStyle w:val="FirstParagraph"/>
      </w:pPr>
      <w:r>
        <w:t xml:space="preserve">DR failover proceeds in staged waves: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. Standby VMs are pre-associated to reservations, then activated (powered on, quota consumed) during a DR event. POC-011 must validate that shared/overcommitted DR reservations behave correctly under standby activation.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62e3f040960fd14824d2c676b6750eac1591782"/>
    <w:p>
      <w:pPr>
        <w:pStyle w:val="Heading2"/>
      </w:pPr>
      <w:r>
        <w:t xml:space="preserve">Section 6 — Open POCs and Specification Gaps</w:t>
      </w:r>
    </w:p>
    <w:p>
      <w:pPr>
        <w:pStyle w:val="FirstParagraph"/>
      </w:pPr>
      <w:r>
        <w:t xml:space="preserve">These items are</w:t>
      </w:r>
      <w:r>
        <w:t xml:space="preserve"> </w:t>
      </w:r>
      <w:r>
        <w:rPr>
          <w:bCs/>
          <w:b/>
        </w:rPr>
        <w:t xml:space="preserve">unresolved</w:t>
      </w:r>
      <w:r>
        <w:t xml:space="preserve"> </w:t>
      </w:r>
      <w:r>
        <w:t xml:space="preserve">in baseline v2.4. Any design output must flag them explicitly rather than assuming a resolution.</w:t>
      </w:r>
    </w:p>
    <w:bookmarkStart w:id="42" w:name="critical-open-pocs"/>
    <w:p>
      <w:pPr>
        <w:pStyle w:val="Heading3"/>
      </w:pPr>
      <w:r>
        <w:t xml:space="preserve">Critical Open POCs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Needs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Quota behaviour for shared reservations — does the consumer subscription need its own quota?</w:t>
            </w:r>
            <w:r>
              <w:t xml:space="preserve"> </w:t>
            </w:r>
            <w:r>
              <w:rPr>
                <w:bCs/>
                <w:b/>
              </w:rPr>
              <w:t xml:space="preserve">Resolved by v2.5 Microsoft Learn corrections:</w:t>
            </w:r>
            <w:r>
              <w:t xml:space="preserve"> </w:t>
            </w:r>
            <w:r>
              <w:t xml:space="preserve">consumer must hold its own quota (QUA-013,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consumption order — how Azure allocates shared capacity when multiple consumers request the same SKU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Zone/subscription boundary combinations supported by the current preview feature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reconciliation + retry during Azure API throttling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reservation/guarantee behaviour across allocated/stopped/deallocated/associated/disassociated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subscription + cluster vs shared production subscription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bootstrap sizing per product (including required control-plane nodes and SKUs)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safety — validate shared/overcommitted DR reservations behave correctly under standby activation</w:t>
            </w:r>
          </w:p>
        </w:tc>
      </w:tr>
    </w:tbl>
    <w:bookmarkEnd w:id="42"/>
    <w:bookmarkStart w:id="43" w:name="open-specification-gaps"/>
    <w:p>
      <w:pPr>
        <w:pStyle w:val="Heading3"/>
      </w:pPr>
      <w:r>
        <w:t xml:space="preserve">Open Specification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total_customers</w:t>
            </w:r>
            <w:r>
              <w:t xml:space="preserve"> </w:t>
            </w: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term in PS_Prod/PS_NonProd/PS_DR is uncomputable. Scoring is partial until this is defined.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Reservation Sharing is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use requires GA confirmation or explicit Microsoft supportability agreement (DEP-001)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drill duration and failback (DEC-002)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run vs earlier failback not yet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exception approver (DEC-003)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customer acknowledgement process not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 East (Asia Pacific)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confirmation as in-scope Standard 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section-7-delivery-phases"/>
    <w:p>
      <w:pPr>
        <w:pStyle w:val="Heading2"/>
      </w:pPr>
      <w:r>
        <w:t xml:space="preserve">Section 7 — Delivery Phases</w:t>
      </w:r>
    </w:p>
    <w:p>
      <w:pPr>
        <w:pStyle w:val="FirstParagraph"/>
      </w:pPr>
      <w:r>
        <w:t xml:space="preserve">ACRME is structured in four sequential delivery phases. Design outputs must be tagged to the applicable phase.</w:t>
      </w:r>
    </w:p>
    <w:bookmarkStart w:id="45" w:name="Xd2706b5befa703f21912b538195bd84a04f338f"/>
    <w:p>
      <w:pPr>
        <w:pStyle w:val="Heading3"/>
      </w:pPr>
      <w:r>
        <w:t xml:space="preserve">Phase 1 — Capacity Visibility &amp; Production Protection</w:t>
      </w:r>
    </w:p>
    <w:p>
      <w:pPr>
        <w:pStyle w:val="FirstParagraph"/>
      </w:pPr>
      <w:r>
        <w:t xml:space="preserve">Read-only capacity/quota inventory · managed scope file · production reservation reconciliation (</w:t>
      </w:r>
      <w:r>
        <w:rPr>
          <w:rStyle w:val="VerbatimChar"/>
        </w:rPr>
        <w:t xml:space="preserve">Allocated + Buffer</w:t>
      </w:r>
      <w:r>
        <w:t xml:space="preserve">) · missing-resource validation · alerts, audit logging, dashboards, dry-run · AEP readiness API.</w:t>
      </w:r>
      <w:r>
        <w:t xml:space="preserve"> </w:t>
      </w:r>
      <w:r>
        <w:rPr>
          <w:bCs/>
          <w:b/>
        </w:rPr>
        <w:t xml:space="preserve">Objective: protect production first.</w:t>
      </w:r>
    </w:p>
    <w:bookmarkEnd w:id="45"/>
    <w:bookmarkStart w:id="46" w:name="phase-2-quota-pool-automation"/>
    <w:p>
      <w:pPr>
        <w:pStyle w:val="Heading3"/>
      </w:pPr>
      <w:r>
        <w:t xml:space="preserve">Phase 2 — Quota Pool Automation</w:t>
      </w:r>
    </w:p>
    <w:p>
      <w:pPr>
        <w:pStyle w:val="FirstParagraph"/>
      </w:pPr>
      <w:r>
        <w:t xml:space="preserve">Quota-group inventory · dynamic allocation and reclamation · production growth buffer · quota-request workflow · correlated quota–reservation readiness.</w:t>
      </w:r>
      <w:r>
        <w:t xml:space="preserve"> </w:t>
      </w:r>
      <w:r>
        <w:rPr>
          <w:bCs/>
          <w:b/>
        </w:rPr>
        <w:t xml:space="preserve">Objective: treat quota as a centrally governed resource (quota-as-governor).</w:t>
      </w:r>
    </w:p>
    <w:bookmarkEnd w:id="46"/>
    <w:bookmarkStart w:id="47" w:name="phase-3-placement-customer-seed"/>
    <w:p>
      <w:pPr>
        <w:pStyle w:val="Heading3"/>
      </w:pPr>
      <w:r>
        <w:t xml:space="preserve">Phase 3 — Placement &amp; Customer Seed</w:t>
      </w:r>
    </w:p>
    <w:p>
      <w:pPr>
        <w:pStyle w:val="FirstParagraph"/>
      </w:pPr>
      <w:r>
        <w:t xml:space="preserve">Exact production-region input · seed-record creation and reuse · CVAL/DR weighted placement ·</w:t>
      </w:r>
      <w:r>
        <w:t xml:space="preserve"> </w:t>
      </w:r>
      <w:r>
        <w:rPr>
          <w:bCs/>
          <w:b/>
        </w:rPr>
        <w:t xml:space="preserve">CVAL/DR co-location (PLC-010)</w:t>
      </w:r>
      <w:r>
        <w:t xml:space="preserve"> </w:t>
      </w:r>
      <w:r>
        <w:t xml:space="preserve">· concurrent-deployment controls · capacity commitment workflow.</w:t>
      </w:r>
      <w:r>
        <w:t xml:space="preserve"> </w:t>
      </w:r>
      <w:r>
        <w:rPr>
          <w:bCs/>
          <w:b/>
        </w:rPr>
        <w:t xml:space="preserve">Objective: deterministic customer placement.</w:t>
      </w:r>
    </w:p>
    <w:bookmarkEnd w:id="47"/>
    <w:bookmarkStart w:id="48" w:name="X996b29a950f5fa84182bdebaa216733f493300d"/>
    <w:p>
      <w:pPr>
        <w:pStyle w:val="Heading3"/>
      </w:pPr>
      <w:r>
        <w:t xml:space="preserve">Phase 4 — Distributed DR Capacity Management</w:t>
      </w:r>
    </w:p>
    <w:p>
      <w:pPr>
        <w:pStyle w:val="FirstParagraph"/>
      </w:pPr>
      <w:r>
        <w:t xml:space="preserve">Destination workload distribution ·</w:t>
      </w:r>
      <w:r>
        <w:t xml:space="preserve"> </w:t>
      </w:r>
      <w:r>
        <w:rPr>
          <w:bCs/>
          <w:b/>
        </w:rPr>
        <w:t xml:space="preserve">source→destination DR index (DR-018)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reciprocal multi-source hosting (DR-016)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max-not-sum sizing (DR-017)</w:t>
      </w:r>
      <w:r>
        <w:t xml:space="preserve"> </w:t>
      </w:r>
      <w:r>
        <w:t xml:space="preserve">· CVAL release modelling · bootstrap and recovery waves ·</w:t>
      </w:r>
      <w:r>
        <w:t xml:space="preserve"> </w:t>
      </w:r>
      <w:r>
        <w:rPr>
          <w:bCs/>
          <w:b/>
        </w:rPr>
        <w:t xml:space="preserve">standby activation (DR-019)</w:t>
      </w:r>
      <w:r>
        <w:t xml:space="preserve"> </w:t>
      </w:r>
      <w:r>
        <w:t xml:space="preserve">· DR declaration workflow · capacity sharing + DR quota allocation (post-POC) · DR simulation and compliance evidence.</w:t>
      </w:r>
      <w:r>
        <w:t xml:space="preserve"> </w:t>
      </w:r>
      <w:r>
        <w:rPr>
          <w:bCs/>
          <w:b/>
        </w:rPr>
        <w:t xml:space="preserve">Objective: enterprise-scale DR capacity governance.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89fbb4c66803ed8781e5a68f4d6be31dcca511d"/>
    <w:p>
      <w:pPr>
        <w:pStyle w:val="Heading2"/>
      </w:pPr>
      <w:r>
        <w:t xml:space="preserve">Section 8 — What-If Mockups (Current Feasibility Work)</w:t>
      </w:r>
    </w:p>
    <w:p>
      <w:pPr>
        <w:pStyle w:val="FirstParagraph"/>
      </w:pPr>
      <w:r>
        <w:t xml:space="preserve">Two Excel what-if models have been built to validate the scoring formulas against synthetic data. These are</w:t>
      </w:r>
      <w:r>
        <w:t xml:space="preserve"> </w:t>
      </w:r>
      <w:r>
        <w:rPr>
          <w:bCs/>
          <w:b/>
        </w:rPr>
        <w:t xml:space="preserve">feasibility only</w:t>
      </w:r>
      <w:r>
        <w:t xml:space="preserve"> </w:t>
      </w:r>
      <w:r>
        <w:t xml:space="preserve">— they do not modify the v2.4 baseline and are not connected to live Azure state.</w:t>
      </w:r>
    </w:p>
    <w:bookmarkStart w:id="50" w:name="X38568ffe8cd6c6c775c825f7559254ce7b8fadf"/>
    <w:p>
      <w:pPr>
        <w:pStyle w:val="Heading3"/>
      </w:pPr>
      <w:r>
        <w:t xml:space="preserve">Phase 1 What-If — Region Selection (</w:t>
      </w:r>
      <w:r>
        <w:rPr>
          <w:rStyle w:val="VerbatimChar"/>
        </w:rPr>
        <w:t xml:space="preserve">acrme_region_selection_whatif_acrme_regions.xlsx</w:t>
      </w:r>
      <w:r>
        <w:t xml:space="preserve">)</w:t>
      </w:r>
    </w:p>
    <w:p>
      <w:pPr>
        <w:numPr>
          <w:ilvl w:val="0"/>
          <w:numId w:val="1014"/>
        </w:numPr>
      </w:pPr>
      <w:r>
        <w:t xml:space="preserve">Evaluates PS_Prod, PS_NonProd, PS_DR across 8 candidate regions using blended capacity/quota numbers</w:t>
      </w:r>
    </w:p>
    <w:p>
      <w:pPr>
        <w:numPr>
          <w:ilvl w:val="0"/>
          <w:numId w:val="1014"/>
        </w:numPr>
      </w:pPr>
      <w:r>
        <w:t xml:space="preserve">Produces Prod/CVAL/DR recommendations and a ranked candidate table</w:t>
      </w:r>
    </w:p>
    <w:p>
      <w:pPr>
        <w:numPr>
          <w:ilvl w:val="0"/>
          <w:numId w:val="1014"/>
        </w:numPr>
      </w:pPr>
      <w:r>
        <w:t xml:space="preserve">Builder:</w:t>
      </w:r>
      <w:r>
        <w:t xml:space="preserve"> </w:t>
      </w:r>
      <w:r>
        <w:rPr>
          <w:rStyle w:val="VerbatimChar"/>
        </w:rPr>
        <w:t xml:space="preserve">Mockups/build_acrme_whatif_acrme_regions.py</w:t>
      </w:r>
    </w:p>
    <w:bookmarkEnd w:id="50"/>
    <w:bookmarkStart w:id="51" w:name="X69d3e1d33f37268151976f555a1297d9edb4f75"/>
    <w:p>
      <w:pPr>
        <w:pStyle w:val="Heading3"/>
      </w:pPr>
      <w:r>
        <w:t xml:space="preserve">Phase 2 What-If — SKU-Level Placement (</w:t>
      </w:r>
      <w:r>
        <w:rPr>
          <w:rStyle w:val="VerbatimChar"/>
        </w:rPr>
        <w:t xml:space="preserve">acrme_sku_placement_whatif.xlsx</w:t>
      </w:r>
      <w:r>
        <w:t xml:space="preserve">)</w:t>
      </w:r>
    </w:p>
    <w:p>
      <w:pPr>
        <w:numPr>
          <w:ilvl w:val="0"/>
          <w:numId w:val="1015"/>
        </w:numPr>
      </w:pPr>
      <w:r>
        <w:t xml:space="preserve">Evaluates placement at</w:t>
      </w:r>
      <w:r>
        <w:t xml:space="preserve"> </w:t>
      </w:r>
      <w:r>
        <w:rPr>
          <w:bCs/>
          <w:b/>
        </w:rPr>
        <w:t xml:space="preserve">per-SKU grain</w:t>
      </w:r>
      <w:r>
        <w:t xml:space="preserve"> </w:t>
      </w:r>
      <w:r>
        <w:t xml:space="preserve">(CAP-022/CAP-023):</w:t>
      </w:r>
      <w:r>
        <w:t xml:space="preserve"> </w:t>
      </w:r>
      <w:r>
        <w:rPr>
          <w:rStyle w:val="VerbatimChar"/>
        </w:rPr>
        <w:t xml:space="preserve">GROUP AVAIL = MIN(reserved-free, family quota-available)</w:t>
      </w:r>
    </w:p>
    <w:p>
      <w:pPr>
        <w:numPr>
          <w:ilvl w:val="0"/>
          <w:numId w:val="1015"/>
        </w:numPr>
      </w:pPr>
      <w:r>
        <w:t xml:space="preserve">Supports</w:t>
      </w:r>
      <w:r>
        <w:t xml:space="preserve"> </w:t>
      </w:r>
      <w:r>
        <w:rPr>
          <w:bCs/>
          <w:b/>
        </w:rPr>
        <w:t xml:space="preserve">up to 8 concurrent SKU lines per run</w:t>
      </w:r>
      <w:r>
        <w:t xml:space="preserve"> </w:t>
      </w:r>
      <w:r>
        <w:t xml:space="preserve">(multi-SKU workload)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Meets-All gate:</w:t>
      </w:r>
      <w:r>
        <w:t xml:space="preserve"> </w:t>
      </w:r>
      <w:r>
        <w:t xml:space="preserve">a region is eligible only when every active SKU line has</w:t>
      </w:r>
      <w:r>
        <w:t xml:space="preserve"> </w:t>
      </w:r>
      <w:r>
        <w:rPr>
          <w:rStyle w:val="VerbatimChar"/>
        </w:rPr>
        <w:t xml:space="preserve">GROUP AVAIL ≥ Line Cores</w:t>
      </w:r>
    </w:p>
    <w:p>
      <w:pPr>
        <w:numPr>
          <w:ilvl w:val="0"/>
          <w:numId w:val="1015"/>
        </w:numPr>
      </w:pPr>
      <w:r>
        <w:t xml:space="preserve">α/β/ε each aggregated as</w:t>
      </w:r>
      <w:r>
        <w:t xml:space="preserve"> </w:t>
      </w:r>
      <w:r>
        <w:rPr>
          <w:bCs/>
          <w:b/>
        </w:rPr>
        <w:t xml:space="preserve">MIN across active lines</w:t>
      </w:r>
      <w:r>
        <w:t xml:space="preserve"> </w:t>
      </w:r>
      <w:r>
        <w:t xml:space="preserve">(bottleneck semantics — the tightest SKU drives the score)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6-state RDY-002 readiness hierarchy:</w:t>
      </w:r>
      <w:r>
        <w:t xml:space="preserve"> </w:t>
      </w:r>
      <w:r>
        <w:rPr>
          <w:rStyle w:val="VerbatimChar"/>
        </w:rPr>
        <w:t xml:space="preserve">NO_REQUEST → RESERVATION_DEFICIT → QUOTA_DEFICIT → CAPACITY_DEFICIT → READY_WITH_RISK → READY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risk_threshold = 0.10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 </w:t>
      </w:r>
      <w:r>
        <w:t xml:space="preserve">fires when</w:t>
      </w:r>
      <w:r>
        <w:t xml:space="preserve"> </w:t>
      </w:r>
      <w:r>
        <w:rPr>
          <w:rStyle w:val="VerbatimChar"/>
        </w:rPr>
        <w:t xml:space="preserve">MIN(α_i) &lt; 0.10</w:t>
      </w:r>
    </w:p>
    <w:p>
      <w:pPr>
        <w:numPr>
          <w:ilvl w:val="0"/>
          <w:numId w:val="1015"/>
        </w:numPr>
      </w:pPr>
      <w:r>
        <w:t xml:space="preserve">Builder:</w:t>
      </w:r>
      <w:r>
        <w:t xml:space="preserve"> </w:t>
      </w:r>
      <w:r>
        <w:rPr>
          <w:rStyle w:val="VerbatimChar"/>
        </w:rPr>
        <w:t xml:space="preserve">Mockups/build_acrme_sku_scoring_whatif.py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tion-9-key-repository-artefacts"/>
    <w:p>
      <w:pPr>
        <w:pStyle w:val="Heading2"/>
      </w:pPr>
      <w:r>
        <w:t xml:space="preserve">Section 9 — Key Repository Artefacts</w:t>
      </w:r>
    </w:p>
    <w:p>
      <w:pPr>
        <w:pStyle w:val="FirstParagraph"/>
      </w:pPr>
      <w:r>
        <w:t xml:space="preserve">All documents are under</w:t>
      </w:r>
      <w:r>
        <w:t xml:space="preserve"> </w:t>
      </w:r>
      <w:r>
        <w:rPr>
          <w:rStyle w:val="VerbatimChar"/>
        </w:rPr>
        <w:t xml:space="preserve">vishnu4573/acrme-capacity-reservation</w:t>
      </w:r>
      <w:r>
        <w:t xml:space="preserve"> </w:t>
      </w:r>
      <w:r>
        <w:t xml:space="preserve">(branch: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Requirements/acrme_requirements_baseline_v2_4.md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requirements baseline —</w:t>
            </w:r>
            <w:r>
              <w:t xml:space="preserve"> </w:t>
            </w:r>
            <w:r>
              <w:rPr>
                <w:bCs/>
                <w:b/>
              </w:rPr>
              <w:t xml:space="preserve">read before any design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Reference-Material/reference/acrme_calculation_logic_reference.md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formula, tagged</w:t>
            </w:r>
            <w:r>
              <w:t xml:space="preserve"> </w:t>
            </w:r>
            <w:r>
              <w:rPr>
                <w:rStyle w:val="VerbatimChar"/>
              </w:rPr>
              <w:t xml:space="preserve">[Documented/Decided/Derived/Assumed]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Reference-Material/reference/acrme_plain_english_walkthrough.md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companion to the formula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Reference-Material/reference/ps_prod_nonprod_headroom_design_rationale.md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rationale for why PS_Prod α uses NonProd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Design/acrme_sku_level_capacity_quota_design.md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SKU-level capacity &amp; quota design doc (Phase 2 grain)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Mockups/acrme_sku_placement_whatif.xlsx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what-if workbook (multi-SKU, 8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Mockups/acrme_sku_placement_whatif_user_guide.md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 for Phase 2 what-if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Mockups/acrme_region_selection_whatif_acrme_regions.xlsx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what-if workbook (region-level blended scoring)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Mockups/acrme_region_selection_whatif_acrme_regions_user_guide.md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 for Phase 1 what-if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f6dcbb4e11502b571ad74a1f12df5387fda853e"/>
    <w:p>
      <w:pPr>
        <w:pStyle w:val="Heading2"/>
      </w:pPr>
      <w:r>
        <w:t xml:space="preserve">Section 10 — Design Principles (Non-Negotiable)</w:t>
      </w:r>
    </w:p>
    <w:p>
      <w:pPr>
        <w:pStyle w:val="FirstParagraph"/>
      </w:pPr>
      <w:r>
        <w:t xml:space="preserve">These principles govern every design decision in ACRME. Any design output that violates one of these requires an explicit ADR and approval.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Production first.</w:t>
      </w:r>
      <w:r>
        <w:t xml:space="preserve"> </w:t>
      </w:r>
      <w:r>
        <w:t xml:space="preserve">Prod capacity reservations are never voluntarily released without an approved workflow. Prod deployment failures are the worst outcome.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Configuration-driven, not fixed.</w:t>
      </w:r>
      <w:r>
        <w:t xml:space="preserve"> </w:t>
      </w:r>
      <w:r>
        <w:t xml:space="preserve">Region scope, DR ratios, buffer targets, and scoring weights are all configurable (see the Configurable Items Register, Section 22 of the baseline). Hard-coded constants that are not in the register require an ADR.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Cost is a primary constraint.</w:t>
      </w:r>
      <w:r>
        <w:t xml:space="preserve"> </w:t>
      </w:r>
      <w:r>
        <w:t xml:space="preserve">Idle reservation cost must be minimised. Minimal bootstrap + dynamic reconciliation is the governing model. Fixed large reserves require explicit business approval.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Quota as a governor.</w:t>
      </w:r>
      <w:r>
        <w:t xml:space="preserve"> </w:t>
      </w:r>
      <w:r>
        <w:t xml:space="preserve">Quota is centrally governed. Individual teams may not independently acquire quota. The engine allocates quota on demand from the governed pool.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Audit trail required.</w:t>
      </w:r>
      <w:r>
        <w:t xml:space="preserve"> </w:t>
      </w:r>
      <w:r>
        <w:t xml:space="preserve">Every capacity change, quota allocation, and placement decision must produce an auditable record (SOC 2 DR assertions are a compliance target).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Single-region failure assumption.</w:t>
      </w:r>
      <w:r>
        <w:t xml:space="preserve"> </w:t>
      </w:r>
      <w:r>
        <w:t xml:space="preserve">DR is designed for single-region failure (DR-001). Multi-region simultaneous failure is explicitly out of scope. The max-not-sum DR sizing follows directly from this assumption.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Preview features need production-readiness gates.</w:t>
      </w:r>
      <w:r>
        <w:t xml:space="preserve"> </w:t>
      </w:r>
      <w:r>
        <w:t xml:space="preserve">Capacity Reservation Sharing is still Preview. Any design that depends on it must be gated on DEP-001 (GA confirmation or explicit Microsoft supportability agreement).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No multi-cloud.</w:t>
      </w:r>
      <w:r>
        <w:t xml:space="preserve"> </w:t>
      </w:r>
      <w:r>
        <w:t xml:space="preserve">Rejected at ELT level. Do not propose multi-cloud alternatives.</w:t>
      </w:r>
    </w:p>
    <w:p>
      <w:r>
        <w:pict>
          <v:rect style="width:0;height:1.5pt" o:hralign="center" o:hrstd="t" o:hr="t"/>
        </w:pict>
      </w:r>
    </w:p>
    <w:bookmarkEnd w:id="54"/>
    <w:bookmarkStart w:id="58" w:name="section-11-your-task"/>
    <w:p>
      <w:pPr>
        <w:pStyle w:val="Heading2"/>
      </w:pPr>
      <w:r>
        <w:t xml:space="preserve">Section 11 — Your Task</w:t>
      </w:r>
    </w:p>
    <w:p>
      <w:pPr>
        <w:pStyle w:val="BlockText"/>
      </w:pPr>
      <w:r>
        <w:rPr>
          <w:bCs/>
          <w:b/>
        </w:rPr>
        <w:t xml:space="preserve">Define your task here before sending this prompt.</w:t>
      </w:r>
      <w:r>
        <w:t xml:space="preserve"> </w:t>
      </w:r>
      <w:r>
        <w:t xml:space="preserve">Replace this section with a specific, scoped description of the research or design work required. Examples below show the expected format.</w:t>
      </w:r>
    </w:p>
    <w:p>
      <w:r>
        <w:pict>
          <v:rect style="width:0;height:1.5pt" o:hralign="center" o:hrstd="t" o:hr="t"/>
        </w:pict>
      </w:r>
    </w:p>
    <w:bookmarkStart w:id="55" w:name="example-task-a-technical-research"/>
    <w:p>
      <w:pPr>
        <w:pStyle w:val="Heading3"/>
      </w:pPr>
      <w:r>
        <w:t xml:space="preserve">Example Task A — Technical Research</w:t>
      </w:r>
    </w:p>
    <w:p>
      <w:pPr>
        <w:pStyle w:val="SourceCode"/>
      </w:pPr>
      <w:r>
        <w:rPr>
          <w:rStyle w:val="VerbatimChar"/>
        </w:rPr>
        <w:t xml:space="preserve">TASK: Research and document the current Azure Capacity Reservation Sharing </w:t>
      </w:r>
      <w:r>
        <w:br/>
      </w:r>
      <w:r>
        <w:rPr>
          <w:rStyle w:val="VerbatimChar"/>
        </w:rPr>
        <w:t xml:space="preserve">      feature (as of October 2026) against the ACRME design.</w:t>
      </w:r>
      <w:r>
        <w:br/>
      </w:r>
      <w:r>
        <w:br/>
      </w:r>
      <w:r>
        <w:rPr>
          <w:rStyle w:val="VerbatimChar"/>
        </w:rPr>
        <w:t xml:space="preserve">Specifically:</w:t>
      </w:r>
      <w:r>
        <w:br/>
      </w:r>
      <w:r>
        <w:rPr>
          <w:rStyle w:val="VerbatimChar"/>
        </w:rPr>
        <w:t xml:space="preserve">1. What is the current Preview status and expected GA timeline?</w:t>
      </w:r>
      <w:r>
        <w:br/>
      </w:r>
      <w:r>
        <w:rPr>
          <w:rStyle w:val="VerbatimChar"/>
        </w:rPr>
        <w:t xml:space="preserve">2. Does the consumer subscription require its own quota when consuming </w:t>
      </w:r>
      <w:r>
        <w:br/>
      </w:r>
      <w:r>
        <w:rPr>
          <w:rStyle w:val="VerbatimChar"/>
        </w:rPr>
        <w:t xml:space="preserve">   a shared reservation? (POC-001 / QUA-013)</w:t>
      </w:r>
      <w:r>
        <w:br/>
      </w:r>
      <w:r>
        <w:rPr>
          <w:rStyle w:val="VerbatimChar"/>
        </w:rPr>
        <w:t xml:space="preserve">3. What are the supported sharing topologies (cross-subscription, </w:t>
      </w:r>
      <w:r>
        <w:br/>
      </w:r>
      <w:r>
        <w:rPr>
          <w:rStyle w:val="VerbatimChar"/>
        </w:rPr>
        <w:t xml:space="preserve">   cross-resource-group, cross-region)?</w:t>
      </w:r>
      <w:r>
        <w:br/>
      </w:r>
      <w:r>
        <w:rPr>
          <w:rStyle w:val="VerbatimChar"/>
        </w:rPr>
        <w:t xml:space="preserve">4. What are the known limitations relevant to ACRME's multi-subscription </w:t>
      </w:r>
      <w:r>
        <w:br/>
      </w:r>
      <w:r>
        <w:rPr>
          <w:rStyle w:val="VerbatimChar"/>
        </w:rPr>
        <w:t xml:space="preserve">   DR model?</w:t>
      </w:r>
      <w:r>
        <w:br/>
      </w:r>
      <w:r>
        <w:br/>
      </w:r>
      <w:r>
        <w:rPr>
          <w:rStyle w:val="VerbatimChar"/>
        </w:rPr>
        <w:t xml:space="preserve">For each finding, tag confidence: [Documented], [Derived], [Assumed].</w:t>
      </w:r>
      <w:r>
        <w:br/>
      </w:r>
      <w:r>
        <w:rPr>
          <w:rStyle w:val="VerbatimChar"/>
        </w:rPr>
        <w:t xml:space="preserve">Flag any finding that contradicts or expands the current ACRME design.</w:t>
      </w:r>
      <w:r>
        <w:br/>
      </w:r>
      <w:r>
        <w:rPr>
          <w:rStyle w:val="VerbatimChar"/>
        </w:rPr>
        <w:t xml:space="preserve">Produce a structured findings report targeting 1000–1500 words.</w:t>
      </w:r>
    </w:p>
    <w:p>
      <w:r>
        <w:pict>
          <v:rect style="width:0;height:1.5pt" o:hralign="center" o:hrstd="t" o:hr="t"/>
        </w:pict>
      </w:r>
    </w:p>
    <w:bookmarkEnd w:id="55"/>
    <w:bookmarkStart w:id="56" w:name="example-task-b-architecture-design"/>
    <w:p>
      <w:pPr>
        <w:pStyle w:val="Heading3"/>
      </w:pPr>
      <w:r>
        <w:t xml:space="preserve">Example Task B — Architecture Design</w:t>
      </w:r>
    </w:p>
    <w:p>
      <w:pPr>
        <w:pStyle w:val="SourceCode"/>
      </w:pPr>
      <w:r>
        <w:rPr>
          <w:rStyle w:val="VerbatimChar"/>
        </w:rPr>
        <w:t xml:space="preserve">TASK: Design the Phase 3 Placement Engine component for ACRME.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Customer seed record creation and reuse (PLC-003, Scenario 20)</w:t>
      </w:r>
      <w:r>
        <w:br/>
      </w:r>
      <w:r>
        <w:rPr>
          <w:rStyle w:val="VerbatimChar"/>
        </w:rPr>
        <w:t xml:space="preserve">- CVAL/DR weighted placement and co-location (PLC-010a, PLC-010b)</w:t>
      </w:r>
      <w:r>
        <w:br/>
      </w:r>
      <w:r>
        <w:rPr>
          <w:rStyle w:val="VerbatimChar"/>
        </w:rPr>
        <w:t xml:space="preserve">- Hard constraint gate (HC-1..HC-10)</w:t>
      </w:r>
      <w:r>
        <w:br/>
      </w:r>
      <w:r>
        <w:rPr>
          <w:rStyle w:val="VerbatimChar"/>
        </w:rPr>
        <w:t xml:space="preserve">- Concurrent deployment control</w:t>
      </w:r>
      <w:r>
        <w:br/>
      </w:r>
      <w:r>
        <w:rPr>
          <w:rStyle w:val="VerbatimChar"/>
        </w:rPr>
        <w:t xml:space="preserve">- Capacity commitment workflow</w:t>
      </w:r>
      <w:r>
        <w:br/>
      </w:r>
      <w:r>
        <w:br/>
      </w:r>
      <w:r>
        <w:rPr>
          <w:rStyle w:val="VerbatimChar"/>
        </w:rPr>
        <w:t xml:space="preserve">Required outputs:</w:t>
      </w:r>
      <w:r>
        <w:br/>
      </w:r>
      <w:r>
        <w:rPr>
          <w:rStyle w:val="VerbatimChar"/>
        </w:rPr>
        <w:t xml:space="preserve">1. Component model (inputs, outputs, internal state)</w:t>
      </w:r>
      <w:r>
        <w:br/>
      </w:r>
      <w:r>
        <w:rPr>
          <w:rStyle w:val="VerbatimChar"/>
        </w:rPr>
        <w:t xml:space="preserve">2. API design (REST endpoints, request/response schema)</w:t>
      </w:r>
      <w:r>
        <w:br/>
      </w:r>
      <w:r>
        <w:rPr>
          <w:rStyle w:val="VerbatimChar"/>
        </w:rPr>
        <w:t xml:space="preserve">3. Data model (seed record, placement decision, commitment record)</w:t>
      </w:r>
      <w:r>
        <w:br/>
      </w:r>
      <w:r>
        <w:rPr>
          <w:rStyle w:val="VerbatimChar"/>
        </w:rPr>
        <w:t xml:space="preserve">4. Failure handling and rollback strategy</w:t>
      </w:r>
      <w:r>
        <w:br/>
      </w:r>
      <w:r>
        <w:rPr>
          <w:rStyle w:val="VerbatimChar"/>
        </w:rPr>
        <w:t xml:space="preserve">5. DR implications and WAF assessment (Security / Reliability / </w:t>
      </w:r>
      <w:r>
        <w:br/>
      </w:r>
      <w:r>
        <w:rPr>
          <w:rStyle w:val="VerbatimChar"/>
        </w:rPr>
        <w:t xml:space="preserve">   Performance / Cost / Operational Excellence)</w:t>
      </w:r>
      <w:r>
        <w:br/>
      </w:r>
      <w:r>
        <w:br/>
      </w:r>
      <w:r>
        <w:rPr>
          <w:rStyle w:val="VerbatimChar"/>
        </w:rPr>
        <w:t xml:space="preserve">Follow the 5-phase research methodology before designing:</w:t>
      </w:r>
      <w:r>
        <w:br/>
      </w:r>
      <w:r>
        <w:rPr>
          <w:rStyle w:val="VerbatimChar"/>
        </w:rPr>
        <w:t xml:space="preserve">Phase 0 (knowledge), Phase 1 (capacity research), Phase 2 (quota), </w:t>
      </w:r>
      <w:r>
        <w:br/>
      </w:r>
      <w:r>
        <w:rPr>
          <w:rStyle w:val="VerbatimChar"/>
        </w:rPr>
        <w:t xml:space="preserve">Phase 3 (sharing), Phase 4 (POC definition), Phase 5 (architecture).</w:t>
      </w:r>
    </w:p>
    <w:p>
      <w:r>
        <w:pict>
          <v:rect style="width:0;height:1.5pt" o:hralign="center" o:hrstd="t" o:hr="t"/>
        </w:pict>
      </w:r>
    </w:p>
    <w:bookmarkEnd w:id="56"/>
    <w:bookmarkStart w:id="57" w:name="example-task-c-formula-validation"/>
    <w:p>
      <w:pPr>
        <w:pStyle w:val="Heading3"/>
      </w:pPr>
      <w:r>
        <w:t xml:space="preserve">Example Task C — Formula Validation</w:t>
      </w:r>
    </w:p>
    <w:p>
      <w:pPr>
        <w:pStyle w:val="SourceCode"/>
      </w:pPr>
      <w:r>
        <w:rPr>
          <w:rStyle w:val="VerbatimChar"/>
        </w:rPr>
        <w:t xml:space="preserve">TASK: Validate the PS_Prod scoring formula against the stated design </w:t>
      </w:r>
      <w:r>
        <w:br/>
      </w:r>
      <w:r>
        <w:rPr>
          <w:rStyle w:val="VerbatimChar"/>
        </w:rPr>
        <w:t xml:space="preserve">      principles and produce a sensitivity analysis.</w:t>
      </w:r>
      <w:r>
        <w:br/>
      </w:r>
      <w:r>
        <w:br/>
      </w:r>
      <w:r>
        <w:rPr>
          <w:rStyle w:val="VerbatimChar"/>
        </w:rPr>
        <w:t xml:space="preserve">Questions to answer:</w:t>
      </w:r>
      <w:r>
        <w:br/>
      </w:r>
      <w:r>
        <w:rPr>
          <w:rStyle w:val="VerbatimChar"/>
        </w:rPr>
        <w:t xml:space="preserve">1. Under what conditions does the γ (distribution fairness) term </w:t>
      </w:r>
      <w:r>
        <w:br/>
      </w:r>
      <w:r>
        <w:rPr>
          <w:rStyle w:val="VerbatimChar"/>
        </w:rPr>
        <w:t xml:space="preserve">   dominate the score and produce a non-intuitive result?</w:t>
      </w:r>
      <w:r>
        <w:br/>
      </w:r>
      <w:r>
        <w:rPr>
          <w:rStyle w:val="VerbatimChar"/>
        </w:rPr>
        <w:t xml:space="preserve">2. If total_customers is defined as "currently active customers in the </w:t>
      </w:r>
      <w:r>
        <w:br/>
      </w:r>
      <w:r>
        <w:rPr>
          <w:rStyle w:val="VerbatimChar"/>
        </w:rPr>
        <w:t xml:space="preserve">   geography", how does the score behave when a geography has 1 customer </w:t>
      </w:r>
      <w:r>
        <w:br/>
      </w:r>
      <w:r>
        <w:rPr>
          <w:rStyle w:val="VerbatimChar"/>
        </w:rPr>
        <w:t xml:space="preserve">   vs 100 customers?</w:t>
      </w:r>
      <w:r>
        <w:br/>
      </w:r>
      <w:r>
        <w:rPr>
          <w:rStyle w:val="VerbatimChar"/>
        </w:rPr>
        <w:t xml:space="preserve">3. What weight configuration produces the most stable ranking across </w:t>
      </w:r>
      <w:r>
        <w:br/>
      </w:r>
      <w:r>
        <w:rPr>
          <w:rStyle w:val="VerbatimChar"/>
        </w:rPr>
        <w:t xml:space="preserve">   the US three-region model?</w:t>
      </w:r>
      <w:r>
        <w:br/>
      </w:r>
      <w:r>
        <w:br/>
      </w:r>
      <w:r>
        <w:rPr>
          <w:rStyle w:val="VerbatimChar"/>
        </w:rPr>
        <w:t xml:space="preserve">Produce a worked numeric example for each question using the US three-</w:t>
      </w:r>
      <w:r>
        <w:br/>
      </w:r>
      <w:r>
        <w:rPr>
          <w:rStyle w:val="VerbatimChar"/>
        </w:rPr>
        <w:t xml:space="preserve">region model (West US 3, Central US, Canada Central).</w:t>
      </w:r>
      <w:r>
        <w:br/>
      </w:r>
      <w:r>
        <w:rPr>
          <w:rStyle w:val="VerbatimChar"/>
        </w:rPr>
        <w:t xml:space="preserve">Tag all assumptions. Flag the total_customers spec gap explicitly.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X790dddc5d8150abb0daf8006a7c7d9dbaccd2dc"/>
    <w:p>
      <w:pPr>
        <w:pStyle w:val="Heading2"/>
      </w:pPr>
      <w:r>
        <w:t xml:space="preserve">WAF Assessment Template (Mandatory for Architecture Tasks)</w:t>
      </w:r>
    </w:p>
    <w:p>
      <w:pPr>
        <w:pStyle w:val="FirstParagraph"/>
      </w:pPr>
      <w:r>
        <w:t xml:space="preserve">Every architectural recommendation must be evaluated against all five WAF pillars. Include this structure in any architecture output:</w:t>
      </w:r>
    </w:p>
    <w:bookmarkStart w:id="59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7"/>
        </w:numPr>
      </w:pPr>
      <w:r>
        <w:t xml:space="preserve">Identity and RBAC requirements</w:t>
      </w:r>
    </w:p>
    <w:p>
      <w:pPr>
        <w:numPr>
          <w:ilvl w:val="0"/>
          <w:numId w:val="1017"/>
        </w:numPr>
      </w:pPr>
      <w:r>
        <w:t xml:space="preserve">Managed Identity usage</w:t>
      </w:r>
    </w:p>
    <w:p>
      <w:pPr>
        <w:numPr>
          <w:ilvl w:val="0"/>
          <w:numId w:val="1017"/>
        </w:numPr>
      </w:pPr>
      <w:r>
        <w:t xml:space="preserve">Key Vault / secret management</w:t>
      </w:r>
    </w:p>
    <w:p>
      <w:pPr>
        <w:numPr>
          <w:ilvl w:val="0"/>
          <w:numId w:val="1017"/>
        </w:numPr>
      </w:pPr>
      <w:r>
        <w:t xml:space="preserve">Network isolation requirements</w:t>
      </w:r>
    </w:p>
    <w:p>
      <w:pPr>
        <w:numPr>
          <w:ilvl w:val="0"/>
          <w:numId w:val="1017"/>
        </w:numPr>
      </w:pPr>
      <w:r>
        <w:t xml:space="preserve">Policy and governance controls</w:t>
      </w:r>
    </w:p>
    <w:bookmarkEnd w:id="59"/>
    <w:bookmarkStart w:id="60" w:name="reliability"/>
    <w:p>
      <w:pPr>
        <w:pStyle w:val="Heading3"/>
      </w:pPr>
      <w:r>
        <w:t xml:space="preserve">Reliability</w:t>
      </w:r>
    </w:p>
    <w:p>
      <w:pPr>
        <w:numPr>
          <w:ilvl w:val="0"/>
          <w:numId w:val="1018"/>
        </w:numPr>
      </w:pPr>
      <w:r>
        <w:t xml:space="preserve">Availability Zone coverage</w:t>
      </w:r>
    </w:p>
    <w:p>
      <w:pPr>
        <w:numPr>
          <w:ilvl w:val="0"/>
          <w:numId w:val="1018"/>
        </w:numPr>
      </w:pPr>
      <w:r>
        <w:t xml:space="preserve">Failure mode analysis (what happens when this component fails?)</w:t>
      </w:r>
    </w:p>
    <w:p>
      <w:pPr>
        <w:numPr>
          <w:ilvl w:val="0"/>
          <w:numId w:val="1018"/>
        </w:numPr>
      </w:pPr>
      <w:r>
        <w:t xml:space="preserve">RTO / RPO implications</w:t>
      </w:r>
    </w:p>
    <w:p>
      <w:pPr>
        <w:numPr>
          <w:ilvl w:val="0"/>
          <w:numId w:val="1018"/>
        </w:numPr>
      </w:pPr>
      <w:r>
        <w:t xml:space="preserve">Reconciliation and self-healing behaviour</w:t>
      </w:r>
    </w:p>
    <w:bookmarkEnd w:id="60"/>
    <w:bookmarkStart w:id="61" w:name="performance-efficiency"/>
    <w:p>
      <w:pPr>
        <w:pStyle w:val="Heading3"/>
      </w:pPr>
      <w:r>
        <w:t xml:space="preserve">Performance Efficiency</w:t>
      </w:r>
    </w:p>
    <w:p>
      <w:pPr>
        <w:numPr>
          <w:ilvl w:val="0"/>
          <w:numId w:val="1019"/>
        </w:numPr>
      </w:pPr>
      <w:r>
        <w:t xml:space="preserve">Throughput and latency targets</w:t>
      </w:r>
    </w:p>
    <w:p>
      <w:pPr>
        <w:numPr>
          <w:ilvl w:val="0"/>
          <w:numId w:val="1019"/>
        </w:numPr>
      </w:pPr>
      <w:r>
        <w:t xml:space="preserve">API rate limits (Azure control plane throttling is a known risk — POC-004)</w:t>
      </w:r>
    </w:p>
    <w:p>
      <w:pPr>
        <w:numPr>
          <w:ilvl w:val="0"/>
          <w:numId w:val="1019"/>
        </w:numPr>
      </w:pPr>
      <w:r>
        <w:t xml:space="preserve">Scaling model</w:t>
      </w:r>
    </w:p>
    <w:bookmarkEnd w:id="61"/>
    <w:bookmarkStart w:id="62" w:name="cost-optimization"/>
    <w:p>
      <w:pPr>
        <w:pStyle w:val="Heading3"/>
      </w:pPr>
      <w:r>
        <w:t xml:space="preserve">Cost Optimization</w:t>
      </w:r>
    </w:p>
    <w:p>
      <w:pPr>
        <w:numPr>
          <w:ilvl w:val="0"/>
          <w:numId w:val="1020"/>
        </w:numPr>
      </w:pPr>
      <w:r>
        <w:t xml:space="preserve">Reservation idle cost implications</w:t>
      </w:r>
    </w:p>
    <w:p>
      <w:pPr>
        <w:numPr>
          <w:ilvl w:val="0"/>
          <w:numId w:val="1020"/>
        </w:numPr>
      </w:pPr>
      <w:r>
        <w:t xml:space="preserve">Quota allocation cost implications</w:t>
      </w:r>
    </w:p>
    <w:p>
      <w:pPr>
        <w:numPr>
          <w:ilvl w:val="0"/>
          <w:numId w:val="1020"/>
        </w:numPr>
      </w:pPr>
      <w:r>
        <w:t xml:space="preserve">FinOps tagging and tracking requirements</w:t>
      </w:r>
    </w:p>
    <w:bookmarkEnd w:id="62"/>
    <w:bookmarkStart w:id="63" w:name="operational-excellence"/>
    <w:p>
      <w:pPr>
        <w:pStyle w:val="Heading3"/>
      </w:pPr>
      <w:r>
        <w:t xml:space="preserve">Operational Excellence</w:t>
      </w:r>
    </w:p>
    <w:p>
      <w:pPr>
        <w:numPr>
          <w:ilvl w:val="0"/>
          <w:numId w:val="1021"/>
        </w:numPr>
      </w:pPr>
      <w:r>
        <w:t xml:space="preserve">Automation opportunities</w:t>
      </w:r>
    </w:p>
    <w:p>
      <w:pPr>
        <w:numPr>
          <w:ilvl w:val="0"/>
          <w:numId w:val="1021"/>
        </w:numPr>
      </w:pPr>
      <w:r>
        <w:t xml:space="preserve">Monitoring and observability requirements</w:t>
      </w:r>
    </w:p>
    <w:p>
      <w:pPr>
        <w:numPr>
          <w:ilvl w:val="0"/>
          <w:numId w:val="1021"/>
        </w:numPr>
      </w:pPr>
      <w:r>
        <w:t xml:space="preserve">Deployment model (IaC, CI/CD)</w:t>
      </w:r>
    </w:p>
    <w:p>
      <w:pPr>
        <w:numPr>
          <w:ilvl w:val="0"/>
          <w:numId w:val="1021"/>
        </w:numPr>
      </w:pPr>
      <w:r>
        <w:t xml:space="preserve">Dry-run capability requirements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nti-patterns-never-do-these"/>
    <w:p>
      <w:pPr>
        <w:pStyle w:val="Heading2"/>
      </w:pPr>
      <w:r>
        <w:t xml:space="preserve">Anti-Patterns — Never Do These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assume undocumented Azure behaviour.</w:t>
      </w:r>
      <w:r>
        <w:t xml:space="preserve"> </w:t>
      </w:r>
      <w:r>
        <w:t xml:space="preserve">If it is not on Microsoft Learn or confirmed by a POC, tag it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and flag it for validation.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skip quota validation.</w:t>
      </w:r>
      <w:r>
        <w:t xml:space="preserve"> </w:t>
      </w:r>
      <w:r>
        <w:t xml:space="preserve">Every capacity design has quota implications — they are not separable.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skip the WAF assessment.</w:t>
      </w:r>
      <w:r>
        <w:t xml:space="preserve"> </w:t>
      </w:r>
      <w:r>
        <w:t xml:space="preserve">Architecture outputs without WAF analysis are incomplete.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ignore DR implications.</w:t>
      </w:r>
      <w:r>
        <w:t xml:space="preserve"> </w:t>
      </w:r>
      <w:r>
        <w:t xml:space="preserve">Phase 1-only changes can have Phase 4 consequences.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treat Preview features as production-ready.</w:t>
      </w:r>
      <w:r>
        <w:t xml:space="preserve"> </w:t>
      </w:r>
      <w:r>
        <w:t xml:space="preserve">Capacity Reservation Sharing is Preview — gate any design on POC/GA confirmation.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generate production code before architecture is understood.</w:t>
      </w:r>
      <w:r>
        <w:t xml:space="preserve"> </w:t>
      </w:r>
      <w:r>
        <w:t xml:space="preserve">Follow the research → design → POC → implementation sequence.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define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total_customers</w:t>
      </w:r>
      <w:r>
        <w:rPr>
          <w:bCs/>
          <w:b/>
        </w:rPr>
        <w:t xml:space="preserve"> </w:t>
      </w:r>
      <w:r>
        <w:rPr>
          <w:bCs/>
          <w:b/>
        </w:rPr>
        <w:t xml:space="preserve">without flagging it as a spec gap.</w:t>
      </w:r>
      <w:r>
        <w:t xml:space="preserve"> </w:t>
      </w:r>
      <w:r>
        <w:t xml:space="preserve">It has no authoritative definition in baseline v2.4.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propose a fixed large DR reserve.</w:t>
      </w:r>
      <w:r>
        <w:t xml:space="preserve"> </w:t>
      </w:r>
      <w:r>
        <w:t xml:space="preserve">This has been rejected for cost reasons. Minimal bootstrap + dynamic reconciliation is the only approved DR model.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propose multi-cloud.</w:t>
      </w:r>
      <w:r>
        <w:t xml:space="preserve"> </w:t>
      </w:r>
      <w:r>
        <w:t xml:space="preserve">Rejected at ELT level.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Do not modify the v2.4 baseline document directly.</w:t>
      </w:r>
      <w:r>
        <w:t xml:space="preserve"> </w:t>
      </w:r>
      <w:r>
        <w:t xml:space="preserve">Changes to baseline require an approved ADR and version increment.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Master research &amp; design prompt — ACRME v2.4 baseline · compiled 6 October 2026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2026-10-07T09:17:41Z</dcterms:created>
  <dcterms:modified xsi:type="dcterms:W3CDTF">2026-10-07T09:17:41Z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